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60"/>
        <w:jc w:val="center"/>
      </w:pPr>
      <w:r>
        <w:rPr>
          <w:rFonts w:ascii="Arial" w:cs="Arial" w:eastAsia="Arial" w:hAnsi="Arial"/>
          <w:b/>
          <w:bCs/>
          <w:caps/>
          <w:color w:val="555555"/>
          <w:sz w:val="20"/>
          <w:szCs w:val="20"/>
        </w:rPr>
        <w:t xml:space="preserve">PROYECTO DE TESIS</w:t>
      </w:r>
    </w:p>
    <w:p>
      <w:pPr>
        <w:spacing w:after="60" w:before="0"/>
        <w:jc w:val="center"/>
      </w:pPr>
      <w:r>
        <w:rPr>
          <w:rFonts w:ascii="Arial" w:cs="Arial" w:eastAsia="Arial" w:hAnsi="Arial"/>
          <w:i/>
          <w:iCs/>
          <w:color w:val="1F3864"/>
          <w:sz w:val="22"/>
          <w:szCs w:val="22"/>
        </w:rPr>
        <w:t xml:space="preserve">Medición del impacto de técnicas de memoria y gestión de contexto sobre la degradación de respuestas en agentes LLM conectados a múltiples servidores MCP</w:t>
      </w:r>
    </w:p>
    <w:p>
      <w:pPr>
        <w:pBdr>
          <w:bottom w:val="single" w:color="2E75B6" w:sz="8" w:space="4"/>
        </w:pBdr>
        <w:spacing w:after="200" w:before="0"/>
        <w:jc w:val="center"/>
      </w:pPr>
      <w:r>
        <w:rPr>
          <w:rFonts w:ascii="Arial" w:cs="Arial" w:eastAsia="Arial" w:hAnsi="Arial"/>
          <w:b/>
          <w:bCs/>
          <w:color w:val="1F3864"/>
          <w:sz w:val="30"/>
          <w:szCs w:val="30"/>
        </w:rPr>
        <w:t xml:space="preserve">DOC-02  ·  CATÁLOGO DE FUENTES</w:t>
      </w:r>
    </w:p>
    <w:p>
      <w:pPr>
        <w:spacing w:after="60" w:before="60"/>
      </w:pPr>
      <w:r>
        <w:t xml:space="preserve"/>
      </w:r>
    </w:p>
    <w:p>
      <w:pPr>
        <w:pStyle w:val="Heading1"/>
        <w:spacing w:after="160" w:before="320"/>
      </w:pPr>
      <w:r>
        <w:rPr>
          <w:rFonts w:ascii="Arial" w:cs="Arial" w:eastAsia="Arial" w:hAnsi="Arial"/>
          <w:b/>
          <w:bCs/>
          <w:color w:val="1F3864"/>
          <w:sz w:val="28"/>
          <w:szCs w:val="28"/>
        </w:rPr>
        <w:t xml:space="preserve">1. Introducción</w:t>
      </w:r>
    </w:p>
    <w:p>
      <w:pPr>
        <w:spacing w:after="80" w:before="80"/>
        <w:jc w:val="both"/>
      </w:pPr>
      <w:r>
        <w:rPr>
          <w:rFonts w:ascii="Arial" w:cs="Arial" w:eastAsia="Arial" w:hAnsi="Arial"/>
          <w:color w:val="1A1A1A"/>
          <w:sz w:val="20"/>
          <w:szCs w:val="20"/>
        </w:rPr>
        <w:t xml:space="preserve">Este catálogo centraliza todas las fuentes primarias y secundarias relevantes para la investigación: papers científicos, benchmarks, frameworks, SDKs y especificaciones técnicas. Para cada fuente se documenta: identificador, título, autores, institución, fecha, tipo, URL, descripción técnica, conclusiones clave y relevancia directa para la tesis.</w:t>
      </w:r>
    </w:p>
    <w:p>
      <w:pPr>
        <w:spacing w:after="80" w:before="80"/>
        <w:jc w:val="both"/>
      </w:pPr>
      <w:r>
        <w:rPr>
          <w:rFonts w:ascii="Arial" w:cs="Arial" w:eastAsia="Arial" w:hAnsi="Arial"/>
          <w:color w:val="1A1A1A"/>
          <w:sz w:val="20"/>
          <w:szCs w:val="20"/>
        </w:rPr>
        <w:t xml:space="preserve">Las fuentes están organizadas en seis categorías temáticas, ordenadas por su función en el marco teórico y metodológico de la investigación.</w:t>
      </w:r>
    </w:p>
    <w:p>
      <w:pPr>
        <w:spacing w:after="60" w:before="60"/>
      </w:pPr>
      <w:r>
        <w:t xml:space="preserve"/>
      </w:r>
    </w:p>
    <w:p>
      <w:pPr>
        <w:pStyle w:val="Heading1"/>
        <w:spacing w:after="160" w:before="320"/>
      </w:pPr>
      <w:r>
        <w:rPr>
          <w:rFonts w:ascii="Arial" w:cs="Arial" w:eastAsia="Arial" w:hAnsi="Arial"/>
          <w:b/>
          <w:bCs/>
          <w:color w:val="1F3864"/>
          <w:sz w:val="28"/>
          <w:szCs w:val="28"/>
        </w:rPr>
        <w:t xml:space="preserve">2. Resumen por categoría</w:t>
      </w:r>
    </w:p>
    <w:tbl>
      <w:tblPr>
        <w:tblW w:type="dxa" w:w="13360"/>
        <w:tblBorders>
          <w:top w:val="single" w:color="auto" w:sz="4"/>
          <w:left w:val="single" w:color="auto" w:sz="4"/>
          <w:bottom w:val="single" w:color="auto" w:sz="4"/>
          <w:right w:val="single" w:color="auto" w:sz="4"/>
          <w:insideH w:val="single" w:color="auto" w:sz="4"/>
          <w:insideV w:val="single" w:color="auto" w:sz="4"/>
        </w:tblBorders>
      </w:tblPr>
      <w:tblGrid>
        <w:gridCol w:w="800"/>
        <w:gridCol w:w="5000"/>
        <w:gridCol w:w="1200"/>
        <w:gridCol w:w="6360"/>
      </w:tblGrid>
      <w:tr>
        <w:trPr>
          <w:tblHeader/>
        </w:trP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Cat.</w:t>
            </w:r>
          </w:p>
        </w:tc>
        <w:tc>
          <w:tcPr>
            <w:tcW w:type="dxa" w:w="5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Nombre de la categoría</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 fuentes</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Tipos principales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center"/>
            </w:pPr>
            <w:r>
              <w:rPr>
                <w:rFonts w:ascii="Arial" w:cs="Arial" w:eastAsia="Arial" w:hAnsi="Arial"/>
                <w:b/>
                <w:bCs/>
                <w:color w:val="1A1A1A"/>
                <w:sz w:val="18"/>
                <w:szCs w:val="18"/>
              </w:rPr>
              <w:t xml:space="preserve">A</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val="false"/>
                <w:bCs w:val="false"/>
                <w:color w:val="1A1A1A"/>
                <w:sz w:val="18"/>
                <w:szCs w:val="18"/>
              </w:rPr>
              <w:t xml:space="preserve">Papers Fundacionales – Razonamiento y Uso de Herramientas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center"/>
            </w:pPr>
            <w:r>
              <w:rPr>
                <w:rFonts w:ascii="Arial" w:cs="Arial" w:eastAsia="Arial" w:hAnsi="Arial"/>
                <w:b w:val="false"/>
                <w:bCs w:val="false"/>
                <w:color w:val="1A1A1A"/>
                <w:sz w:val="18"/>
                <w:szCs w:val="18"/>
              </w:rPr>
              <w:t xml:space="preserve">2</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val="false"/>
                <w:bCs w:val="false"/>
                <w:color w:val="1A1A1A"/>
                <w:sz w:val="18"/>
                <w:szCs w:val="18"/>
              </w:rPr>
              <w:t xml:space="preserve">Paper</w:t>
            </w:r>
          </w:p>
        </w:tc>
      </w:tr>
      <w:tr>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center"/>
            </w:pPr>
            <w:r>
              <w:rPr>
                <w:rFonts w:ascii="Arial" w:cs="Arial" w:eastAsia="Arial" w:hAnsi="Arial"/>
                <w:b/>
                <w:bCs/>
                <w:color w:val="1A1A1A"/>
                <w:sz w:val="18"/>
                <w:szCs w:val="18"/>
              </w:rPr>
              <w:t xml:space="preserve">B</w:t>
            </w:r>
          </w:p>
        </w:tc>
        <w:tc>
          <w:tcPr>
            <w:tcW w:type="dxa" w:w="5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val="false"/>
                <w:bCs w:val="false"/>
                <w:color w:val="1A1A1A"/>
                <w:sz w:val="18"/>
                <w:szCs w:val="18"/>
              </w:rPr>
              <w:t xml:space="preserve">Memoria en LLMs – Sistemas y Arquitecturas</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center"/>
            </w:pPr>
            <w:r>
              <w:rPr>
                <w:rFonts w:ascii="Arial" w:cs="Arial" w:eastAsia="Arial" w:hAnsi="Arial"/>
                <w:b w:val="false"/>
                <w:bCs w:val="false"/>
                <w:color w:val="1A1A1A"/>
                <w:sz w:val="18"/>
                <w:szCs w:val="18"/>
              </w:rPr>
              <w:t xml:space="preserve">4</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val="false"/>
                <w:bCs w:val="false"/>
                <w:color w:val="1A1A1A"/>
                <w:sz w:val="18"/>
                <w:szCs w:val="18"/>
              </w:rPr>
              <w:t xml:space="preserve">Paper</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center"/>
            </w:pPr>
            <w:r>
              <w:rPr>
                <w:rFonts w:ascii="Arial" w:cs="Arial" w:eastAsia="Arial" w:hAnsi="Arial"/>
                <w:b/>
                <w:bCs/>
                <w:color w:val="1A1A1A"/>
                <w:sz w:val="18"/>
                <w:szCs w:val="18"/>
              </w:rPr>
              <w:t xml:space="preserve">C</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val="false"/>
                <w:bCs w:val="false"/>
                <w:color w:val="1A1A1A"/>
                <w:sz w:val="18"/>
                <w:szCs w:val="18"/>
              </w:rPr>
              <w:t xml:space="preserve">Recuperación Aumentada (RAG) y Variantes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center"/>
            </w:pPr>
            <w:r>
              <w:rPr>
                <w:rFonts w:ascii="Arial" w:cs="Arial" w:eastAsia="Arial" w:hAnsi="Arial"/>
                <w:b w:val="false"/>
                <w:bCs w:val="false"/>
                <w:color w:val="1A1A1A"/>
                <w:sz w:val="18"/>
                <w:szCs w:val="18"/>
              </w:rPr>
              <w:t xml:space="preserve">4</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val="false"/>
                <w:bCs w:val="false"/>
                <w:color w:val="1A1A1A"/>
                <w:sz w:val="18"/>
                <w:szCs w:val="18"/>
              </w:rPr>
              <w:t xml:space="preserve">Paper, Framework / Documentación técnica</w:t>
            </w:r>
          </w:p>
        </w:tc>
      </w:tr>
      <w:tr>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center"/>
            </w:pPr>
            <w:r>
              <w:rPr>
                <w:rFonts w:ascii="Arial" w:cs="Arial" w:eastAsia="Arial" w:hAnsi="Arial"/>
                <w:b/>
                <w:bCs/>
                <w:color w:val="1A1A1A"/>
                <w:sz w:val="18"/>
                <w:szCs w:val="18"/>
              </w:rPr>
              <w:t xml:space="preserve">D</w:t>
            </w:r>
          </w:p>
        </w:tc>
        <w:tc>
          <w:tcPr>
            <w:tcW w:type="dxa" w:w="5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val="false"/>
                <w:bCs w:val="false"/>
                <w:color w:val="1A1A1A"/>
                <w:sz w:val="18"/>
                <w:szCs w:val="18"/>
              </w:rPr>
              <w:t xml:space="preserve">Benchmarks de Herramientas y Evaluación</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center"/>
            </w:pPr>
            <w:r>
              <w:rPr>
                <w:rFonts w:ascii="Arial" w:cs="Arial" w:eastAsia="Arial" w:hAnsi="Arial"/>
                <w:b w:val="false"/>
                <w:bCs w:val="false"/>
                <w:color w:val="1A1A1A"/>
                <w:sz w:val="18"/>
                <w:szCs w:val="18"/>
              </w:rPr>
              <w:t xml:space="preserve">5</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val="false"/>
                <w:bCs w:val="false"/>
                <w:color w:val="1A1A1A"/>
                <w:sz w:val="18"/>
                <w:szCs w:val="18"/>
              </w:rPr>
              <w:t xml:space="preserve">Paper</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center"/>
            </w:pPr>
            <w:r>
              <w:rPr>
                <w:rFonts w:ascii="Arial" w:cs="Arial" w:eastAsia="Arial" w:hAnsi="Arial"/>
                <w:b/>
                <w:bCs/>
                <w:color w:val="1A1A1A"/>
                <w:sz w:val="18"/>
                <w:szCs w:val="18"/>
              </w:rPr>
              <w:t xml:space="preserve">E</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val="false"/>
                <w:bCs w:val="false"/>
                <w:color w:val="1A1A1A"/>
                <w:sz w:val="18"/>
                <w:szCs w:val="18"/>
              </w:rPr>
              <w:t xml:space="preserve">Protocolos, Frameworks y Especificaciones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center"/>
            </w:pPr>
            <w:r>
              <w:rPr>
                <w:rFonts w:ascii="Arial" w:cs="Arial" w:eastAsia="Arial" w:hAnsi="Arial"/>
                <w:b w:val="false"/>
                <w:bCs w:val="false"/>
                <w:color w:val="1A1A1A"/>
                <w:sz w:val="18"/>
                <w:szCs w:val="18"/>
              </w:rPr>
              <w:t xml:space="preserve">5</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val="false"/>
                <w:bCs w:val="false"/>
                <w:color w:val="1A1A1A"/>
                <w:sz w:val="18"/>
                <w:szCs w:val="18"/>
              </w:rPr>
              <w:t xml:space="preserve">Especificación técnica / Estándar abierto, Framework OSS / Documentación técnica, SDK / Documentación técnica, Plataforma / Framework OSS</w:t>
            </w:r>
          </w:p>
        </w:tc>
      </w:tr>
      <w:tr>
        <w:tc>
          <w:tcPr>
            <w:tcW w:type="dxa" w:w="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center"/>
            </w:pPr>
            <w:r>
              <w:rPr>
                <w:rFonts w:ascii="Arial" w:cs="Arial" w:eastAsia="Arial" w:hAnsi="Arial"/>
                <w:b/>
                <w:bCs/>
                <w:color w:val="1A1A1A"/>
                <w:sz w:val="18"/>
                <w:szCs w:val="18"/>
              </w:rPr>
              <w:t xml:space="preserve">F</w:t>
            </w:r>
          </w:p>
        </w:tc>
        <w:tc>
          <w:tcPr>
            <w:tcW w:type="dxa" w:w="5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val="false"/>
                <w:bCs w:val="false"/>
                <w:color w:val="1A1A1A"/>
                <w:sz w:val="18"/>
                <w:szCs w:val="18"/>
              </w:rPr>
              <w:t xml:space="preserve">Herramientas de Evaluación y Observabilidad</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center"/>
            </w:pPr>
            <w:r>
              <w:rPr>
                <w:rFonts w:ascii="Arial" w:cs="Arial" w:eastAsia="Arial" w:hAnsi="Arial"/>
                <w:b w:val="false"/>
                <w:bCs w:val="false"/>
                <w:color w:val="1A1A1A"/>
                <w:sz w:val="18"/>
                <w:szCs w:val="18"/>
              </w:rPr>
              <w:t xml:space="preserve">3</w:t>
            </w:r>
          </w:p>
        </w:tc>
        <w:tc>
          <w:tcPr>
            <w:tcW w:type="dxa" w:w="63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val="false"/>
                <w:bCs w:val="false"/>
                <w:color w:val="1A1A1A"/>
                <w:sz w:val="18"/>
                <w:szCs w:val="18"/>
              </w:rPr>
              <w:t xml:space="preserve">Paper + Framework OSS, Plataforma / Documentación técnica, Framework OSS / Documentación</w:t>
            </w:r>
          </w:p>
        </w:tc>
      </w:tr>
    </w:tbl>
    <w:p>
      <w:pPr>
        <w:spacing w:after="120" w:before="120"/>
      </w:pPr>
      <w:r>
        <w:t xml:space="preserve"/>
      </w:r>
    </w:p>
    <w:p>
      <w:r>
        <w:br w:type="page"/>
      </w:r>
    </w:p>
    <w:p>
      <w:pPr>
        <w:pStyle w:val="Heading1"/>
        <w:spacing w:after="160" w:before="320"/>
      </w:pPr>
      <w:r>
        <w:rPr>
          <w:rFonts w:ascii="Arial" w:cs="Arial" w:eastAsia="Arial" w:hAnsi="Arial"/>
          <w:b/>
          <w:bCs/>
          <w:color w:val="1F3864"/>
          <w:sz w:val="28"/>
          <w:szCs w:val="28"/>
        </w:rPr>
        <w:t xml:space="preserve">3. Catálogo detallado de fuentes</w:t>
      </w:r>
    </w:p>
    <w:p>
      <w:pPr>
        <w:pStyle w:val="Heading2"/>
        <w:spacing w:after="120" w:before="240"/>
      </w:pPr>
      <w:r>
        <w:rPr>
          <w:rFonts w:ascii="Arial" w:cs="Arial" w:eastAsia="Arial" w:hAnsi="Arial"/>
          <w:b/>
          <w:bCs/>
          <w:color w:val="2E75B6"/>
          <w:sz w:val="24"/>
          <w:szCs w:val="24"/>
        </w:rPr>
        <w:t xml:space="preserve">Categoría A: Papers Fundacionales – Razonamiento y Uso de Herramientas</w:t>
      </w:r>
    </w:p>
    <w:tbl>
      <w:tblPr>
        <w:tblW w:type="dxa" w:w="13360"/>
        <w:tblBorders>
          <w:top w:val="single" w:color="auto" w:sz="4"/>
          <w:left w:val="single" w:color="auto" w:sz="4"/>
          <w:bottom w:val="single" w:color="auto" w:sz="4"/>
          <w:right w:val="single" w:color="auto" w:sz="4"/>
          <w:insideH w:val="single" w:color="auto" w:sz="4"/>
          <w:insideV w:val="single" w:color="auto" w:sz="4"/>
        </w:tblBorders>
      </w:tblPr>
      <w:tblGrid>
        <w:gridCol w:w="1000"/>
        <w:gridCol w:w="5180"/>
        <w:gridCol w:w="2280"/>
        <w:gridCol w:w="1500"/>
        <w:gridCol w:w="3400"/>
      </w:tblGrid>
      <w:tr>
        <w:tc>
          <w:tcPr>
            <w:tcW w:type="dxa" w:w="100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vAlign w:val="center"/>
          </w:tcPr>
          <w:p>
            <w:pPr>
              <w:jc w:val="center"/>
            </w:pPr>
            <w:r>
              <w:rPr>
                <w:rFonts w:ascii="Arial" w:cs="Arial" w:eastAsia="Arial" w:hAnsi="Arial"/>
                <w:b/>
                <w:bCs/>
                <w:color w:val="FFFFFF"/>
                <w:sz w:val="22"/>
                <w:szCs w:val="22"/>
              </w:rPr>
              <w:t xml:space="preserve">A01</w:t>
            </w:r>
          </w:p>
        </w:tc>
        <w:tc>
          <w:tcPr>
            <w:tcW w:type="dxa" w:w="51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3864"/>
                <w:sz w:val="20"/>
                <w:szCs w:val="20"/>
              </w:rPr>
              <w:t xml:space="preserve">ReAct: Synergizing Reasoning and Acting in Language Models</w:t>
            </w:r>
          </w:p>
        </w:tc>
        <w:tc>
          <w:tcPr>
            <w:tcW w:type="dxa" w:w="22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555555"/>
                <w:sz w:val="18"/>
                <w:szCs w:val="18"/>
              </w:rPr>
              <w:t xml:space="preserve">Paper – Conferencia (ICLR)</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center"/>
            </w:pPr>
            <w:r>
              <w:rPr>
                <w:rFonts w:ascii="Arial" w:cs="Arial" w:eastAsia="Arial" w:hAnsi="Arial"/>
                <w:b w:val="false"/>
                <w:bCs w:val="false"/>
                <w:color w:val="1A1A1A"/>
                <w:sz w:val="18"/>
                <w:szCs w:val="18"/>
              </w:rPr>
              <w:t xml:space="preserve">Octubre 2022 (ICLR 2023)</w:t>
            </w:r>
          </w:p>
        </w:tc>
        <w:tc>
          <w:tcPr>
            <w:tcW w:type="dxa" w:w="3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1A1A1A"/>
                <w:sz w:val="18"/>
                <w:szCs w:val="18"/>
              </w:rPr>
              <w:t xml:space="preserve">Google Brain / Princeton University</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1F3864"/>
                <w:sz w:val="18"/>
                <w:szCs w:val="18"/>
              </w:rPr>
              <w:t xml:space="preserve">Autores</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i/>
                <w:iCs/>
                <w:color w:val="1A1A1A"/>
                <w:sz w:val="18"/>
                <w:szCs w:val="18"/>
              </w:rPr>
              <w:t xml:space="preserve">Shunyu Yao, Jeffrey Zhao, Dian Yu, Nan Du, Izhak Shafran, Karthik Narasimhan, Yuan Cao</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1F3864"/>
                <w:sz w:val="18"/>
                <w:szCs w:val="18"/>
              </w:rPr>
              <w:t xml:space="preserve">URL / DOI</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hyperlink w:history="1" r:id="rIdphdx-pjz2qb2upkpxrjex">
              <w:r>
                <w:rPr>
                  <w:rFonts w:ascii="Arial" w:cs="Arial" w:eastAsia="Arial" w:hAnsi="Arial"/>
                  <w:color w:val="2E75B6"/>
                  <w:sz w:val="16"/>
                  <w:szCs w:val="16"/>
                  <w:u w:val="single"/>
                </w:rPr>
                <w:t xml:space="preserve">https://arxiv.org/abs/2210.03629</w:t>
              </w:r>
            </w:hyperlink>
            <w:r>
              <w:rPr>
                <w:rFonts w:ascii="Arial" w:cs="Arial" w:eastAsia="Arial" w:hAnsi="Arial"/>
                <w:color w:val="555555"/>
                <w:sz w:val="16"/>
                <w:szCs w:val="16"/>
              </w:rPr>
              <w:t xml:space="preserve">  |  GitHub: </w:t>
            </w:r>
            <w:hyperlink w:history="1" r:id="rIdldnxich6tgvweg-mufzb9">
              <w:r>
                <w:rPr>
                  <w:rFonts w:ascii="Arial" w:cs="Arial" w:eastAsia="Arial" w:hAnsi="Arial"/>
                  <w:color w:val="006666"/>
                  <w:sz w:val="16"/>
                  <w:szCs w:val="16"/>
                  <w:u w:val="single"/>
                </w:rPr>
                <w:t xml:space="preserve">https://github.com/ysymyth/ReAct</w:t>
              </w:r>
            </w:hyperlink>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1F3864"/>
                <w:sz w:val="18"/>
                <w:szCs w:val="18"/>
              </w:rPr>
              <w:t xml:space="preserve">Descripción</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color w:val="1A1A1A"/>
                <w:sz w:val="18"/>
                <w:szCs w:val="18"/>
              </w:rPr>
              <w:t xml:space="preserve">Propone el paradigma ReAct que intercala trazas de razonamiento (chain-of-thought) y acciones sobre herramientas externas en un solo framework, permitiendo que el modelo razone sobre qué acción tomar y actualice su plan con los resultados obtenidos.</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1F3864"/>
                <w:sz w:val="18"/>
                <w:szCs w:val="18"/>
              </w:rPr>
              <w:t xml:space="preserve">Conclusiones clave</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color w:val="1A1A1A"/>
                <w:sz w:val="18"/>
                <w:szCs w:val="18"/>
              </w:rPr>
              <w:t xml:space="preserve">Los modelos que combinan razonamiento y acción superan a los baselines de solo-razonamiento o solo-acción en cuatro benchmarks (HotPotQA, Fever, ALFWorld, WebShop). ReAct reduce alucin aciones y mejora la interpretabilidad al exponer las trazas de pensamiento antes de actuar. Es el trabajo fundacional que justifica los modern agent loops.</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1F3864"/>
                <w:sz w:val="18"/>
                <w:szCs w:val="18"/>
              </w:rPr>
              <w:t xml:space="preserve">Relevancia</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i/>
                <w:iCs/>
                <w:color w:val="1F3864"/>
                <w:sz w:val="18"/>
                <w:szCs w:val="18"/>
              </w:rPr>
              <w:t xml:space="preserve">Base teórica directa para entender por qué los agentes LLM necesitan razonamiento explícito antes de invocar tools MCP.</w:t>
            </w:r>
          </w:p>
        </w:tc>
      </w:tr>
    </w:tbl>
    <w:p>
      <w:pPr>
        <w:spacing w:after="60" w:before="60"/>
      </w:pPr>
      <w:r>
        <w:t xml:space="preserve"/>
      </w:r>
    </w:p>
    <w:tbl>
      <w:tblPr>
        <w:tblW w:type="dxa" w:w="13360"/>
        <w:tblBorders>
          <w:top w:val="single" w:color="auto" w:sz="4"/>
          <w:left w:val="single" w:color="auto" w:sz="4"/>
          <w:bottom w:val="single" w:color="auto" w:sz="4"/>
          <w:right w:val="single" w:color="auto" w:sz="4"/>
          <w:insideH w:val="single" w:color="auto" w:sz="4"/>
          <w:insideV w:val="single" w:color="auto" w:sz="4"/>
        </w:tblBorders>
      </w:tblPr>
      <w:tblGrid>
        <w:gridCol w:w="1000"/>
        <w:gridCol w:w="5180"/>
        <w:gridCol w:w="2280"/>
        <w:gridCol w:w="1500"/>
        <w:gridCol w:w="3400"/>
      </w:tblGrid>
      <w:tr>
        <w:tc>
          <w:tcPr>
            <w:tcW w:type="dxa" w:w="1000"/>
            <w:tcBorders>
              <w:top w:val="single" w:color="CCCCCC" w:sz="1"/>
              <w:left w:val="single" w:color="CCCCCC" w:sz="1"/>
              <w:bottom w:val="single" w:color="CCCCCC" w:sz="1"/>
              <w:right w:val="single" w:color="CCCCCC" w:sz="1"/>
            </w:tcBorders>
            <w:shd w:fill="1F3864" w:val="clear"/>
            <w:tcMar>
              <w:top w:type="dxa" w:w="80"/>
              <w:left w:type="dxa" w:w="100"/>
              <w:bottom w:type="dxa" w:w="80"/>
              <w:right w:type="dxa" w:w="100"/>
            </w:tcMar>
            <w:vAlign w:val="center"/>
          </w:tcPr>
          <w:p>
            <w:pPr>
              <w:jc w:val="center"/>
            </w:pPr>
            <w:r>
              <w:rPr>
                <w:rFonts w:ascii="Arial" w:cs="Arial" w:eastAsia="Arial" w:hAnsi="Arial"/>
                <w:b/>
                <w:bCs/>
                <w:color w:val="FFFFFF"/>
                <w:sz w:val="22"/>
                <w:szCs w:val="22"/>
              </w:rPr>
              <w:t xml:space="preserve">A02</w:t>
            </w:r>
          </w:p>
        </w:tc>
        <w:tc>
          <w:tcPr>
            <w:tcW w:type="dxa" w:w="51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3864"/>
                <w:sz w:val="20"/>
                <w:szCs w:val="20"/>
              </w:rPr>
              <w:t xml:space="preserve">Toolformer: Language Models Can Teach Themselves to Use Tools</w:t>
            </w:r>
          </w:p>
        </w:tc>
        <w:tc>
          <w:tcPr>
            <w:tcW w:type="dxa" w:w="22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555555"/>
                <w:sz w:val="18"/>
                <w:szCs w:val="18"/>
              </w:rPr>
              <w:t xml:space="preserve">Paper – Conferencia (NeurIPS)</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center"/>
            </w:pPr>
            <w:r>
              <w:rPr>
                <w:rFonts w:ascii="Arial" w:cs="Arial" w:eastAsia="Arial" w:hAnsi="Arial"/>
                <w:b w:val="false"/>
                <w:bCs w:val="false"/>
                <w:color w:val="1A1A1A"/>
                <w:sz w:val="18"/>
                <w:szCs w:val="18"/>
              </w:rPr>
              <w:t xml:space="preserve">Febrero 2023 (NeurIPS 2023)</w:t>
            </w:r>
          </w:p>
        </w:tc>
        <w:tc>
          <w:tcPr>
            <w:tcW w:type="dxa" w:w="3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1A1A1A"/>
                <w:sz w:val="18"/>
                <w:szCs w:val="18"/>
              </w:rPr>
              <w:t xml:space="preserve">Meta AI Research</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1F3864"/>
                <w:sz w:val="18"/>
                <w:szCs w:val="18"/>
              </w:rPr>
              <w:t xml:space="preserve">Autores</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r>
              <w:rPr>
                <w:rFonts w:ascii="Arial" w:cs="Arial" w:eastAsia="Arial" w:hAnsi="Arial"/>
                <w:i/>
                <w:iCs/>
                <w:color w:val="1A1A1A"/>
                <w:sz w:val="18"/>
                <w:szCs w:val="18"/>
              </w:rPr>
              <w:t xml:space="preserve">Timo Schick, Jane Dwivedi-Yu, Roberto Dessì, Roberta Raileanu, Maria Lomeli, Luke Zettlemoyer, Nicola Cancedda, Thomas Scialom</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1F3864"/>
                <w:sz w:val="18"/>
                <w:szCs w:val="18"/>
              </w:rPr>
              <w:t xml:space="preserve">URL / DOI</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hyperlink w:history="1" r:id="rIdydcx8fmgir2cwnv2jb2z0">
              <w:r>
                <w:rPr>
                  <w:rFonts w:ascii="Arial" w:cs="Arial" w:eastAsia="Arial" w:hAnsi="Arial"/>
                  <w:color w:val="2E75B6"/>
                  <w:sz w:val="16"/>
                  <w:szCs w:val="16"/>
                  <w:u w:val="single"/>
                </w:rPr>
                <w:t xml:space="preserve">https://arxiv.org/abs/2302.04761</w:t>
              </w:r>
            </w:hyperlink>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1F3864"/>
                <w:sz w:val="18"/>
                <w:szCs w:val="18"/>
              </w:rPr>
              <w:t xml:space="preserve">Descripción</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pPr>
              <w:jc w:val="both"/>
            </w:pPr>
            <w:r>
              <w:rPr>
                <w:rFonts w:ascii="Arial" w:cs="Arial" w:eastAsia="Arial" w:hAnsi="Arial"/>
                <w:color w:val="1A1A1A"/>
                <w:sz w:val="18"/>
                <w:szCs w:val="18"/>
              </w:rPr>
              <w:t xml:space="preserve">Presenta Toolformer, un modelo entrenado de forma autosupervisada para decidir qué APIs llamar, cuándo hacerlo, con qué argumentos y cómo integrar los resultados. Las herramientas incluyen calculadora, Q&amp;A, motores de búsqueda, traducción y calendario.</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1F3864"/>
                <w:sz w:val="18"/>
                <w:szCs w:val="18"/>
              </w:rPr>
              <w:t xml:space="preserve">Conclusiones clave</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pPr>
              <w:jc w:val="both"/>
            </w:pPr>
            <w:r>
              <w:rPr>
                <w:rFonts w:ascii="Arial" w:cs="Arial" w:eastAsia="Arial" w:hAnsi="Arial"/>
                <w:color w:val="1A1A1A"/>
                <w:sz w:val="18"/>
                <w:szCs w:val="18"/>
              </w:rPr>
              <w:t xml:space="preserve">Toolformer logra rendimiento competitivo en zero-shot en múltiples benchmarks sin sacrificar capacidades core de lenguaje. Demuestra que el uso de herramientas puede aprenderse con pocos ejemplos por herramienta. Fundamento empírico para el diseño de agentes con tool-use selectivo.</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1F3864"/>
                <w:sz w:val="18"/>
                <w:szCs w:val="18"/>
              </w:rPr>
              <w:t xml:space="preserve">Relevancia</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pPr>
              <w:jc w:val="both"/>
            </w:pPr>
            <w:r>
              <w:rPr>
                <w:rFonts w:ascii="Arial" w:cs="Arial" w:eastAsia="Arial" w:hAnsi="Arial"/>
                <w:i/>
                <w:iCs/>
                <w:color w:val="1F3864"/>
                <w:sz w:val="18"/>
                <w:szCs w:val="18"/>
              </w:rPr>
              <w:t xml:space="preserve">Justifica el diseño de arquitecturas de tool-gating: los modelos no necesitan ver todas las tools para usarlas eficientemente.</w:t>
            </w:r>
          </w:p>
        </w:tc>
      </w:tr>
    </w:tbl>
    <w:p>
      <w:pPr>
        <w:spacing w:after="60" w:before="60"/>
      </w:pPr>
      <w:r>
        <w:t xml:space="preserve"/>
      </w:r>
    </w:p>
    <w:p>
      <w:r>
        <w:br w:type="page"/>
      </w:r>
    </w:p>
    <w:p>
      <w:pPr>
        <w:pStyle w:val="Heading2"/>
        <w:spacing w:after="120" w:before="240"/>
      </w:pPr>
      <w:r>
        <w:rPr>
          <w:rFonts w:ascii="Arial" w:cs="Arial" w:eastAsia="Arial" w:hAnsi="Arial"/>
          <w:b/>
          <w:bCs/>
          <w:color w:val="2E75B6"/>
          <w:sz w:val="24"/>
          <w:szCs w:val="24"/>
        </w:rPr>
        <w:t xml:space="preserve">Categoría B: Memoria en LLMs – Sistemas y Arquitecturas</w:t>
      </w:r>
    </w:p>
    <w:tbl>
      <w:tblPr>
        <w:tblW w:type="dxa" w:w="13360"/>
        <w:tblBorders>
          <w:top w:val="single" w:color="auto" w:sz="4"/>
          <w:left w:val="single" w:color="auto" w:sz="4"/>
          <w:bottom w:val="single" w:color="auto" w:sz="4"/>
          <w:right w:val="single" w:color="auto" w:sz="4"/>
          <w:insideH w:val="single" w:color="auto" w:sz="4"/>
          <w:insideV w:val="single" w:color="auto" w:sz="4"/>
        </w:tblBorders>
      </w:tblPr>
      <w:tblGrid>
        <w:gridCol w:w="1000"/>
        <w:gridCol w:w="5180"/>
        <w:gridCol w:w="2280"/>
        <w:gridCol w:w="1500"/>
        <w:gridCol w:w="3400"/>
      </w:tblGrid>
      <w:tr>
        <w:tc>
          <w:tcPr>
            <w:tcW w:type="dxa" w:w="1000"/>
            <w:tcBorders>
              <w:top w:val="single" w:color="CCCCCC" w:sz="1"/>
              <w:left w:val="single" w:color="CCCCCC" w:sz="1"/>
              <w:bottom w:val="single" w:color="CCCCCC" w:sz="1"/>
              <w:right w:val="single" w:color="CCCCCC" w:sz="1"/>
            </w:tcBorders>
            <w:shd w:fill="1E5C2E" w:val="clear"/>
            <w:tcMar>
              <w:top w:type="dxa" w:w="80"/>
              <w:left w:type="dxa" w:w="100"/>
              <w:bottom w:type="dxa" w:w="80"/>
              <w:right w:type="dxa" w:w="100"/>
            </w:tcMar>
            <w:vAlign w:val="center"/>
          </w:tcPr>
          <w:p>
            <w:pPr>
              <w:jc w:val="center"/>
            </w:pPr>
            <w:r>
              <w:rPr>
                <w:rFonts w:ascii="Arial" w:cs="Arial" w:eastAsia="Arial" w:hAnsi="Arial"/>
                <w:b/>
                <w:bCs/>
                <w:color w:val="FFFFFF"/>
                <w:sz w:val="22"/>
                <w:szCs w:val="22"/>
              </w:rPr>
              <w:t xml:space="preserve">B01</w:t>
            </w:r>
          </w:p>
        </w:tc>
        <w:tc>
          <w:tcPr>
            <w:tcW w:type="dxa" w:w="51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E5C2E"/>
                <w:sz w:val="20"/>
                <w:szCs w:val="20"/>
              </w:rPr>
              <w:t xml:space="preserve">MemGPT: Towards LLMs as Operating Systems</w:t>
            </w:r>
          </w:p>
        </w:tc>
        <w:tc>
          <w:tcPr>
            <w:tcW w:type="dxa" w:w="22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555555"/>
                <w:sz w:val="18"/>
                <w:szCs w:val="18"/>
              </w:rPr>
              <w:t xml:space="preserve">Paper – Preprint arXiv</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center"/>
            </w:pPr>
            <w:r>
              <w:rPr>
                <w:rFonts w:ascii="Arial" w:cs="Arial" w:eastAsia="Arial" w:hAnsi="Arial"/>
                <w:b w:val="false"/>
                <w:bCs w:val="false"/>
                <w:color w:val="1A1A1A"/>
                <w:sz w:val="18"/>
                <w:szCs w:val="18"/>
              </w:rPr>
              <w:t xml:space="preserve">Octubre 2023</w:t>
            </w:r>
          </w:p>
        </w:tc>
        <w:tc>
          <w:tcPr>
            <w:tcW w:type="dxa" w:w="3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1A1A1A"/>
                <w:sz w:val="18"/>
                <w:szCs w:val="18"/>
              </w:rPr>
              <w:t xml:space="preserve">UC Berkeley</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1E5C2E"/>
                <w:sz w:val="18"/>
                <w:szCs w:val="18"/>
              </w:rPr>
              <w:t xml:space="preserve">Autores</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i/>
                <w:iCs/>
                <w:color w:val="1A1A1A"/>
                <w:sz w:val="18"/>
                <w:szCs w:val="18"/>
              </w:rPr>
              <w:t xml:space="preserve">Charles Packer, Vivian Fang, Shishir G. Patil, Kevin Lin, Sarah Wooders, Joseph Gonzalez</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1E5C2E"/>
                <w:sz w:val="18"/>
                <w:szCs w:val="18"/>
              </w:rPr>
              <w:t xml:space="preserve">URL / DOI</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hyperlink w:history="1" r:id="rIdav70vcfewjlzkkt-vzh5w">
              <w:r>
                <w:rPr>
                  <w:rFonts w:ascii="Arial" w:cs="Arial" w:eastAsia="Arial" w:hAnsi="Arial"/>
                  <w:color w:val="2E75B6"/>
                  <w:sz w:val="16"/>
                  <w:szCs w:val="16"/>
                  <w:u w:val="single"/>
                </w:rPr>
                <w:t xml:space="preserve">https://arxiv.org/abs/2310.08560</w:t>
              </w:r>
            </w:hyperlink>
            <w:r>
              <w:rPr>
                <w:rFonts w:ascii="Arial" w:cs="Arial" w:eastAsia="Arial" w:hAnsi="Arial"/>
                <w:color w:val="555555"/>
                <w:sz w:val="16"/>
                <w:szCs w:val="16"/>
              </w:rPr>
              <w:t xml:space="preserve">  |  GitHub: </w:t>
            </w:r>
            <w:hyperlink w:history="1" r:id="rIdlvc45vdzlzttloyg3ra3x">
              <w:r>
                <w:rPr>
                  <w:rFonts w:ascii="Arial" w:cs="Arial" w:eastAsia="Arial" w:hAnsi="Arial"/>
                  <w:color w:val="006666"/>
                  <w:sz w:val="16"/>
                  <w:szCs w:val="16"/>
                  <w:u w:val="single"/>
                </w:rPr>
                <w:t xml:space="preserve">https://github.com/cpacker/MemGPT</w:t>
              </w:r>
            </w:hyperlink>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1E5C2E"/>
                <w:sz w:val="18"/>
                <w:szCs w:val="18"/>
              </w:rPr>
              <w:t xml:space="preserve">Descripción</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color w:val="1A1A1A"/>
                <w:sz w:val="18"/>
                <w:szCs w:val="18"/>
              </w:rPr>
              <w:t xml:space="preserve">Introduce MemGPT (ahora Letta), un sistema que gestiona memoria en capas jerárquicas inspirado en sistemas operativos: memoria en contexto (rápida/limitada) y memoria externa persistente (lenta/ilimitada), con interrupciones para controlar el flujo entre el agente y el usuario.</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1E5C2E"/>
                <w:sz w:val="18"/>
                <w:szCs w:val="18"/>
              </w:rPr>
              <w:t xml:space="preserve">Conclusiones clave</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color w:val="1A1A1A"/>
                <w:sz w:val="18"/>
                <w:szCs w:val="18"/>
              </w:rPr>
              <w:t xml:space="preserve">La gestión virtual de contexto permite a los LLMs operar sobre conversaciones y documentos que exceden su ventana de contexto. Reporta mejoras significativas en tareas de análisis de documentos largos y conversación multi-sesión extendida. Sienta las bases de Letta y del paradigma de memoria estructurada.</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1E5C2E"/>
                <w:sz w:val="18"/>
                <w:szCs w:val="18"/>
              </w:rPr>
              <w:t xml:space="preserve">Relevancia</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i/>
                <w:iCs/>
                <w:color w:val="1E5C2E"/>
                <w:sz w:val="18"/>
                <w:szCs w:val="18"/>
              </w:rPr>
              <w:t xml:space="preserve">Referencia central para la arquitectura de memoria en capas propuesta en la tesis: working memory vs. long-term memory.</w:t>
            </w:r>
          </w:p>
        </w:tc>
      </w:tr>
    </w:tbl>
    <w:p>
      <w:pPr>
        <w:spacing w:after="60" w:before="60"/>
      </w:pPr>
      <w:r>
        <w:t xml:space="preserve"/>
      </w:r>
    </w:p>
    <w:tbl>
      <w:tblPr>
        <w:tblW w:type="dxa" w:w="13360"/>
        <w:tblBorders>
          <w:top w:val="single" w:color="auto" w:sz="4"/>
          <w:left w:val="single" w:color="auto" w:sz="4"/>
          <w:bottom w:val="single" w:color="auto" w:sz="4"/>
          <w:right w:val="single" w:color="auto" w:sz="4"/>
          <w:insideH w:val="single" w:color="auto" w:sz="4"/>
          <w:insideV w:val="single" w:color="auto" w:sz="4"/>
        </w:tblBorders>
      </w:tblPr>
      <w:tblGrid>
        <w:gridCol w:w="1000"/>
        <w:gridCol w:w="5180"/>
        <w:gridCol w:w="2280"/>
        <w:gridCol w:w="1500"/>
        <w:gridCol w:w="3400"/>
      </w:tblGrid>
      <w:tr>
        <w:tc>
          <w:tcPr>
            <w:tcW w:type="dxa" w:w="1000"/>
            <w:tcBorders>
              <w:top w:val="single" w:color="CCCCCC" w:sz="1"/>
              <w:left w:val="single" w:color="CCCCCC" w:sz="1"/>
              <w:bottom w:val="single" w:color="CCCCCC" w:sz="1"/>
              <w:right w:val="single" w:color="CCCCCC" w:sz="1"/>
            </w:tcBorders>
            <w:shd w:fill="1E5C2E" w:val="clear"/>
            <w:tcMar>
              <w:top w:type="dxa" w:w="80"/>
              <w:left w:type="dxa" w:w="100"/>
              <w:bottom w:type="dxa" w:w="80"/>
              <w:right w:type="dxa" w:w="100"/>
            </w:tcMar>
            <w:vAlign w:val="center"/>
          </w:tcPr>
          <w:p>
            <w:pPr>
              <w:jc w:val="center"/>
            </w:pPr>
            <w:r>
              <w:rPr>
                <w:rFonts w:ascii="Arial" w:cs="Arial" w:eastAsia="Arial" w:hAnsi="Arial"/>
                <w:b/>
                <w:bCs/>
                <w:color w:val="FFFFFF"/>
                <w:sz w:val="22"/>
                <w:szCs w:val="22"/>
              </w:rPr>
              <w:t xml:space="preserve">B02</w:t>
            </w:r>
          </w:p>
        </w:tc>
        <w:tc>
          <w:tcPr>
            <w:tcW w:type="dxa" w:w="51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E5C2E"/>
                <w:sz w:val="20"/>
                <w:szCs w:val="20"/>
              </w:rPr>
              <w:t xml:space="preserve">MemoryBank: Enhancing Large Language Models with Long-Term Memory</w:t>
            </w:r>
          </w:p>
        </w:tc>
        <w:tc>
          <w:tcPr>
            <w:tcW w:type="dxa" w:w="22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555555"/>
                <w:sz w:val="18"/>
                <w:szCs w:val="18"/>
              </w:rPr>
              <w:t xml:space="preserve">Paper – Conferencia (AAAI)</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center"/>
            </w:pPr>
            <w:r>
              <w:rPr>
                <w:rFonts w:ascii="Arial" w:cs="Arial" w:eastAsia="Arial" w:hAnsi="Arial"/>
                <w:b w:val="false"/>
                <w:bCs w:val="false"/>
                <w:color w:val="1A1A1A"/>
                <w:sz w:val="18"/>
                <w:szCs w:val="18"/>
              </w:rPr>
              <w:t xml:space="preserve">Mayo 2023 (AAAI 2024)</w:t>
            </w:r>
          </w:p>
        </w:tc>
        <w:tc>
          <w:tcPr>
            <w:tcW w:type="dxa" w:w="3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1A1A1A"/>
                <w:sz w:val="18"/>
                <w:szCs w:val="18"/>
              </w:rPr>
              <w:t xml:space="preserve">Harbin Institute of Technology / Tencent</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1E5C2E"/>
                <w:sz w:val="18"/>
                <w:szCs w:val="18"/>
              </w:rPr>
              <w:t xml:space="preserve">Autores</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r>
              <w:rPr>
                <w:rFonts w:ascii="Arial" w:cs="Arial" w:eastAsia="Arial" w:hAnsi="Arial"/>
                <w:i/>
                <w:iCs/>
                <w:color w:val="1A1A1A"/>
                <w:sz w:val="18"/>
                <w:szCs w:val="18"/>
              </w:rPr>
              <w:t xml:space="preserve">Wanjun Zhong, Lianghong Guo, Qiqi Gao, He Ye, Yanlin Wang</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1E5C2E"/>
                <w:sz w:val="18"/>
                <w:szCs w:val="18"/>
              </w:rPr>
              <w:t xml:space="preserve">URL / DOI</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hyperlink w:history="1" r:id="rId4jiho2k_8eiif81-luriv">
              <w:r>
                <w:rPr>
                  <w:rFonts w:ascii="Arial" w:cs="Arial" w:eastAsia="Arial" w:hAnsi="Arial"/>
                  <w:color w:val="2E75B6"/>
                  <w:sz w:val="16"/>
                  <w:szCs w:val="16"/>
                  <w:u w:val="single"/>
                </w:rPr>
                <w:t xml:space="preserve">https://arxiv.org/abs/2305.10250</w:t>
              </w:r>
            </w:hyperlink>
            <w:r>
              <w:rPr>
                <w:rFonts w:ascii="Arial" w:cs="Arial" w:eastAsia="Arial" w:hAnsi="Arial"/>
                <w:color w:val="555555"/>
                <w:sz w:val="16"/>
                <w:szCs w:val="16"/>
              </w:rPr>
              <w:t xml:space="preserve">  |  GitHub: </w:t>
            </w:r>
            <w:hyperlink w:history="1" r:id="rIdvnobongtnisnnfwtlc2t1">
              <w:r>
                <w:rPr>
                  <w:rFonts w:ascii="Arial" w:cs="Arial" w:eastAsia="Arial" w:hAnsi="Arial"/>
                  <w:color w:val="006666"/>
                  <w:sz w:val="16"/>
                  <w:szCs w:val="16"/>
                  <w:u w:val="single"/>
                </w:rPr>
                <w:t xml:space="preserve">https://github.com/zhongwanjun/MemoryBank-SiliconFriend</w:t>
              </w:r>
            </w:hyperlink>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1E5C2E"/>
                <w:sz w:val="18"/>
                <w:szCs w:val="18"/>
              </w:rPr>
              <w:t xml:space="preserve">Descripción</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pPr>
              <w:jc w:val="both"/>
            </w:pPr>
            <w:r>
              <w:rPr>
                <w:rFonts w:ascii="Arial" w:cs="Arial" w:eastAsia="Arial" w:hAnsi="Arial"/>
                <w:color w:val="1A1A1A"/>
                <w:sz w:val="18"/>
                <w:szCs w:val="18"/>
              </w:rPr>
              <w:t xml:space="preserve">Propone MemoryBank, un mecanismo de memoria a largo plazo para LLMs que permite recuperar memorias relevantes, actualización continua y comprensión de la personalidad del usuario. Incorpora una mecánica de olvido inspirada en la Curva de Ebbinghaus para olvidar/reforzar memorias según tiempo e importancia.</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1E5C2E"/>
                <w:sz w:val="18"/>
                <w:szCs w:val="18"/>
              </w:rPr>
              <w:t xml:space="preserve">Conclusiones clave</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pPr>
              <w:jc w:val="both"/>
            </w:pPr>
            <w:r>
              <w:rPr>
                <w:rFonts w:ascii="Arial" w:cs="Arial" w:eastAsia="Arial" w:hAnsi="Arial"/>
                <w:color w:val="1A1A1A"/>
                <w:sz w:val="18"/>
                <w:szCs w:val="18"/>
              </w:rPr>
              <w:t xml:space="preserve">SiliconFriend (basado en MemoryBank) muestra mayor empatía y coherencia en interacciones prolongadas. La combinación de recuperación semántica + mecanismo de olvido reduce contradicciones y stale memories. Validado en un escenario de compañero de IA a largo plazo.</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1E5C2E"/>
                <w:sz w:val="18"/>
                <w:szCs w:val="18"/>
              </w:rPr>
              <w:t xml:space="preserve">Relevancia</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pPr>
              <w:jc w:val="both"/>
            </w:pPr>
            <w:r>
              <w:rPr>
                <w:rFonts w:ascii="Arial" w:cs="Arial" w:eastAsia="Arial" w:hAnsi="Arial"/>
                <w:i/>
                <w:iCs/>
                <w:color w:val="1E5C2E"/>
                <w:sz w:val="18"/>
                <w:szCs w:val="18"/>
              </w:rPr>
              <w:t xml:space="preserve">Directamente aplicable a sistemas emocionales o de acompañamiento de IA; modela cómo actualizar y olvidar memoria de forma controlada.</w:t>
            </w:r>
          </w:p>
        </w:tc>
      </w:tr>
    </w:tbl>
    <w:p>
      <w:pPr>
        <w:spacing w:after="60" w:before="60"/>
      </w:pPr>
      <w:r>
        <w:t xml:space="preserve"/>
      </w:r>
    </w:p>
    <w:tbl>
      <w:tblPr>
        <w:tblW w:type="dxa" w:w="13360"/>
        <w:tblBorders>
          <w:top w:val="single" w:color="auto" w:sz="4"/>
          <w:left w:val="single" w:color="auto" w:sz="4"/>
          <w:bottom w:val="single" w:color="auto" w:sz="4"/>
          <w:right w:val="single" w:color="auto" w:sz="4"/>
          <w:insideH w:val="single" w:color="auto" w:sz="4"/>
          <w:insideV w:val="single" w:color="auto" w:sz="4"/>
        </w:tblBorders>
      </w:tblPr>
      <w:tblGrid>
        <w:gridCol w:w="1000"/>
        <w:gridCol w:w="5180"/>
        <w:gridCol w:w="2280"/>
        <w:gridCol w:w="1500"/>
        <w:gridCol w:w="3400"/>
      </w:tblGrid>
      <w:tr>
        <w:tc>
          <w:tcPr>
            <w:tcW w:type="dxa" w:w="1000"/>
            <w:tcBorders>
              <w:top w:val="single" w:color="CCCCCC" w:sz="1"/>
              <w:left w:val="single" w:color="CCCCCC" w:sz="1"/>
              <w:bottom w:val="single" w:color="CCCCCC" w:sz="1"/>
              <w:right w:val="single" w:color="CCCCCC" w:sz="1"/>
            </w:tcBorders>
            <w:shd w:fill="1E5C2E" w:val="clear"/>
            <w:tcMar>
              <w:top w:type="dxa" w:w="80"/>
              <w:left w:type="dxa" w:w="100"/>
              <w:bottom w:type="dxa" w:w="80"/>
              <w:right w:type="dxa" w:w="100"/>
            </w:tcMar>
            <w:vAlign w:val="center"/>
          </w:tcPr>
          <w:p>
            <w:pPr>
              <w:jc w:val="center"/>
            </w:pPr>
            <w:r>
              <w:rPr>
                <w:rFonts w:ascii="Arial" w:cs="Arial" w:eastAsia="Arial" w:hAnsi="Arial"/>
                <w:b/>
                <w:bCs/>
                <w:color w:val="FFFFFF"/>
                <w:sz w:val="22"/>
                <w:szCs w:val="22"/>
              </w:rPr>
              <w:t xml:space="preserve">B03</w:t>
            </w:r>
          </w:p>
        </w:tc>
        <w:tc>
          <w:tcPr>
            <w:tcW w:type="dxa" w:w="51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E5C2E"/>
                <w:sz w:val="20"/>
                <w:szCs w:val="20"/>
              </w:rPr>
              <w:t xml:space="preserve">Mem0: Building Production-Ready AI Agents with Scalable Long-Term Memory</w:t>
            </w:r>
          </w:p>
        </w:tc>
        <w:tc>
          <w:tcPr>
            <w:tcW w:type="dxa" w:w="22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555555"/>
                <w:sz w:val="18"/>
                <w:szCs w:val="18"/>
              </w:rPr>
              <w:t xml:space="preserve">Paper – Preprint arXiv</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center"/>
            </w:pPr>
            <w:r>
              <w:rPr>
                <w:rFonts w:ascii="Arial" w:cs="Arial" w:eastAsia="Arial" w:hAnsi="Arial"/>
                <w:b w:val="false"/>
                <w:bCs w:val="false"/>
                <w:color w:val="1A1A1A"/>
                <w:sz w:val="18"/>
                <w:szCs w:val="18"/>
              </w:rPr>
              <w:t xml:space="preserve">Abril 2025</w:t>
            </w:r>
          </w:p>
        </w:tc>
        <w:tc>
          <w:tcPr>
            <w:tcW w:type="dxa" w:w="3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1A1A1A"/>
                <w:sz w:val="18"/>
                <w:szCs w:val="18"/>
              </w:rPr>
              <w:t xml:space="preserve">Mem0 AI</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1E5C2E"/>
                <w:sz w:val="18"/>
                <w:szCs w:val="18"/>
              </w:rPr>
              <w:t xml:space="preserve">Autores</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i/>
                <w:iCs/>
                <w:color w:val="1A1A1A"/>
                <w:sz w:val="18"/>
                <w:szCs w:val="18"/>
              </w:rPr>
              <w:t xml:space="preserve">Prateek Chhikara, Taranjeet Singh, Deshraj Yadav, Neo Nie, Tom Doerr</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1E5C2E"/>
                <w:sz w:val="18"/>
                <w:szCs w:val="18"/>
              </w:rPr>
              <w:t xml:space="preserve">URL / DOI</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hyperlink w:history="1" r:id="rIdfqe3wr5kbu-51v3s-srtj">
              <w:r>
                <w:rPr>
                  <w:rFonts w:ascii="Arial" w:cs="Arial" w:eastAsia="Arial" w:hAnsi="Arial"/>
                  <w:color w:val="2E75B6"/>
                  <w:sz w:val="16"/>
                  <w:szCs w:val="16"/>
                  <w:u w:val="single"/>
                </w:rPr>
                <w:t xml:space="preserve">https://arxiv.org/abs/2504.19413</w:t>
              </w:r>
            </w:hyperlink>
            <w:r>
              <w:rPr>
                <w:rFonts w:ascii="Arial" w:cs="Arial" w:eastAsia="Arial" w:hAnsi="Arial"/>
                <w:color w:val="555555"/>
                <w:sz w:val="16"/>
                <w:szCs w:val="16"/>
              </w:rPr>
              <w:t xml:space="preserve">  |  GitHub: </w:t>
            </w:r>
            <w:hyperlink w:history="1" r:id="rIdj_vborauan51erhtvor1f">
              <w:r>
                <w:rPr>
                  <w:rFonts w:ascii="Arial" w:cs="Arial" w:eastAsia="Arial" w:hAnsi="Arial"/>
                  <w:color w:val="006666"/>
                  <w:sz w:val="16"/>
                  <w:szCs w:val="16"/>
                  <w:u w:val="single"/>
                </w:rPr>
                <w:t xml:space="preserve">https://github.com/mem0ai/mem0</w:t>
              </w:r>
            </w:hyperlink>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1E5C2E"/>
                <w:sz w:val="18"/>
                <w:szCs w:val="18"/>
              </w:rPr>
              <w:t xml:space="preserve">Descripción</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color w:val="1A1A1A"/>
                <w:sz w:val="18"/>
                <w:szCs w:val="18"/>
              </w:rPr>
              <w:t xml:space="preserve">Presenta Mem0, una capa de memoria para agentes IA que extrae, consolida y recupera información saliente de conversaciones dinámicamente. Propone también una variante con memoria basada en grafos para capturar estructuras relacionales complejas entre elementos conversacionales.</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1E5C2E"/>
                <w:sz w:val="18"/>
                <w:szCs w:val="18"/>
              </w:rPr>
              <w:t xml:space="preserve">Conclusiones clave</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color w:val="1A1A1A"/>
                <w:sz w:val="18"/>
                <w:szCs w:val="18"/>
              </w:rPr>
              <w:t xml:space="preserve">Mem0 logra 26% de mejora relativa en LLM-as-a-Judge vs. OpenAI baseline, 91% de reducción en latencia p95 y &gt;90% de ahorro en costo de tokens. La variante con graph memory añade ~2% adicional. Benchmarks públicos disponibles en mem0.ai/research.</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1E5C2E"/>
                <w:sz w:val="18"/>
                <w:szCs w:val="18"/>
              </w:rPr>
              <w:t xml:space="preserve">Relevancia</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i/>
                <w:iCs/>
                <w:color w:val="1E5C2E"/>
                <w:sz w:val="18"/>
                <w:szCs w:val="18"/>
              </w:rPr>
              <w:t xml:space="preserve">Candidato principal para la capa de memoria longitudinal en la arquitectura experimental de la tesis.</w:t>
            </w:r>
          </w:p>
        </w:tc>
      </w:tr>
    </w:tbl>
    <w:p>
      <w:pPr>
        <w:spacing w:after="60" w:before="60"/>
      </w:pPr>
      <w:r>
        <w:t xml:space="preserve"/>
      </w:r>
    </w:p>
    <w:tbl>
      <w:tblPr>
        <w:tblW w:type="dxa" w:w="13360"/>
        <w:tblBorders>
          <w:top w:val="single" w:color="auto" w:sz="4"/>
          <w:left w:val="single" w:color="auto" w:sz="4"/>
          <w:bottom w:val="single" w:color="auto" w:sz="4"/>
          <w:right w:val="single" w:color="auto" w:sz="4"/>
          <w:insideH w:val="single" w:color="auto" w:sz="4"/>
          <w:insideV w:val="single" w:color="auto" w:sz="4"/>
        </w:tblBorders>
      </w:tblPr>
      <w:tblGrid>
        <w:gridCol w:w="1000"/>
        <w:gridCol w:w="5180"/>
        <w:gridCol w:w="2280"/>
        <w:gridCol w:w="1500"/>
        <w:gridCol w:w="3400"/>
      </w:tblGrid>
      <w:tr>
        <w:tc>
          <w:tcPr>
            <w:tcW w:type="dxa" w:w="1000"/>
            <w:tcBorders>
              <w:top w:val="single" w:color="CCCCCC" w:sz="1"/>
              <w:left w:val="single" w:color="CCCCCC" w:sz="1"/>
              <w:bottom w:val="single" w:color="CCCCCC" w:sz="1"/>
              <w:right w:val="single" w:color="CCCCCC" w:sz="1"/>
            </w:tcBorders>
            <w:shd w:fill="1E5C2E" w:val="clear"/>
            <w:tcMar>
              <w:top w:type="dxa" w:w="80"/>
              <w:left w:type="dxa" w:w="100"/>
              <w:bottom w:type="dxa" w:w="80"/>
              <w:right w:type="dxa" w:w="100"/>
            </w:tcMar>
            <w:vAlign w:val="center"/>
          </w:tcPr>
          <w:p>
            <w:pPr>
              <w:jc w:val="center"/>
            </w:pPr>
            <w:r>
              <w:rPr>
                <w:rFonts w:ascii="Arial" w:cs="Arial" w:eastAsia="Arial" w:hAnsi="Arial"/>
                <w:b/>
                <w:bCs/>
                <w:color w:val="FFFFFF"/>
                <w:sz w:val="22"/>
                <w:szCs w:val="22"/>
              </w:rPr>
              <w:t xml:space="preserve">B04</w:t>
            </w:r>
          </w:p>
        </w:tc>
        <w:tc>
          <w:tcPr>
            <w:tcW w:type="dxa" w:w="51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E5C2E"/>
                <w:sz w:val="20"/>
                <w:szCs w:val="20"/>
              </w:rPr>
              <w:t xml:space="preserve">CarMem: Enhancing Long-Term Memory in LLM Voice Assistants through Category-Bounding</w:t>
            </w:r>
          </w:p>
        </w:tc>
        <w:tc>
          <w:tcPr>
            <w:tcW w:type="dxa" w:w="22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555555"/>
                <w:sz w:val="18"/>
                <w:szCs w:val="18"/>
              </w:rPr>
              <w:t xml:space="preserve">Paper – Conferencia (COLING – Industry Track)</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center"/>
            </w:pPr>
            <w:r>
              <w:rPr>
                <w:rFonts w:ascii="Arial" w:cs="Arial" w:eastAsia="Arial" w:hAnsi="Arial"/>
                <w:b w:val="false"/>
                <w:bCs w:val="false"/>
                <w:color w:val="1A1A1A"/>
                <w:sz w:val="18"/>
                <w:szCs w:val="18"/>
              </w:rPr>
              <w:t xml:space="preserve">Enero 2025 (COLING 2025)</w:t>
            </w:r>
          </w:p>
        </w:tc>
        <w:tc>
          <w:tcPr>
            <w:tcW w:type="dxa" w:w="3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1A1A1A"/>
                <w:sz w:val="18"/>
                <w:szCs w:val="18"/>
              </w:rPr>
              <w:t xml:space="preserve">Technical University of Munich / University of Augsburg</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1E5C2E"/>
                <w:sz w:val="18"/>
                <w:szCs w:val="18"/>
              </w:rPr>
              <w:t xml:space="preserve">Autores</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r>
              <w:rPr>
                <w:rFonts w:ascii="Arial" w:cs="Arial" w:eastAsia="Arial" w:hAnsi="Arial"/>
                <w:i/>
                <w:iCs/>
                <w:color w:val="1A1A1A"/>
                <w:sz w:val="18"/>
                <w:szCs w:val="18"/>
              </w:rPr>
              <w:t xml:space="preserve">Johannes Kirmayr, Lukas Stappen, Phillip Schneider, Florian Matthes, Elisabeth André</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1E5C2E"/>
                <w:sz w:val="18"/>
                <w:szCs w:val="18"/>
              </w:rPr>
              <w:t xml:space="preserve">URL / DOI</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hyperlink w:history="1" r:id="rIdcwfob83rfp36sdd5-elze">
              <w:r>
                <w:rPr>
                  <w:rFonts w:ascii="Arial" w:cs="Arial" w:eastAsia="Arial" w:hAnsi="Arial"/>
                  <w:color w:val="2E75B6"/>
                  <w:sz w:val="16"/>
                  <w:szCs w:val="16"/>
                  <w:u w:val="single"/>
                </w:rPr>
                <w:t xml:space="preserve">https://arxiv.org/abs/2501.09645</w:t>
              </w:r>
            </w:hyperlink>
            <w:r>
              <w:rPr>
                <w:rFonts w:ascii="Arial" w:cs="Arial" w:eastAsia="Arial" w:hAnsi="Arial"/>
                <w:color w:val="555555"/>
                <w:sz w:val="16"/>
                <w:szCs w:val="16"/>
              </w:rPr>
              <w:t xml:space="preserve">  |  GitHub: </w:t>
            </w:r>
            <w:hyperlink w:history="1" r:id="rId6q5u0pqppbx3ncpectwqc">
              <w:r>
                <w:rPr>
                  <w:rFonts w:ascii="Arial" w:cs="Arial" w:eastAsia="Arial" w:hAnsi="Arial"/>
                  <w:color w:val="006666"/>
                  <w:sz w:val="16"/>
                  <w:szCs w:val="16"/>
                  <w:u w:val="single"/>
                </w:rPr>
                <w:t xml:space="preserve">https://github.com/johanneskirmayr/CarMem</w:t>
              </w:r>
            </w:hyperlink>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1E5C2E"/>
                <w:sz w:val="18"/>
                <w:szCs w:val="18"/>
              </w:rPr>
              <w:t xml:space="preserve">Descripción</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pPr>
              <w:jc w:val="both"/>
            </w:pPr>
            <w:r>
              <w:rPr>
                <w:rFonts w:ascii="Arial" w:cs="Arial" w:eastAsia="Arial" w:hAnsi="Arial"/>
                <w:color w:val="1A1A1A"/>
                <w:sz w:val="18"/>
                <w:szCs w:val="18"/>
              </w:rPr>
              <w:t xml:space="preserve">Propone un sistema de memoria a largo plazo estructurado en categorías predefinidas para asistentes de voz. Usa LLMs para extraer, almacenar y recuperar preferencias dentro de estas categorías, garantizando personalización y transparencia. Introduce un dataset sintético multi-turno y multi-sesión basado en datos industriales de asistentes en el automóvil.</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1E5C2E"/>
                <w:sz w:val="18"/>
                <w:szCs w:val="18"/>
              </w:rPr>
              <w:t xml:space="preserve">Conclusiones clave</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pPr>
              <w:jc w:val="both"/>
            </w:pPr>
            <w:r>
              <w:rPr>
                <w:rFonts w:ascii="Arial" w:cs="Arial" w:eastAsia="Arial" w:hAnsi="Arial"/>
                <w:color w:val="1A1A1A"/>
                <w:sz w:val="18"/>
                <w:szCs w:val="18"/>
              </w:rPr>
              <w:t xml:space="preserve">El acotamiento por categorías reduce significativamente las preferencias redundantes o contradictorias en la memoria. Mejora la personalización manteniendo trazabilidad y cumplimiento con regulaciones de privacidad (GDPR). El dataset CarMem se publica como recurso abierto para la comunidad.</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1E5C2E"/>
                <w:sz w:val="18"/>
                <w:szCs w:val="18"/>
              </w:rPr>
              <w:t xml:space="preserve">Relevancia</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pPr>
              <w:jc w:val="both"/>
            </w:pPr>
            <w:r>
              <w:rPr>
                <w:rFonts w:ascii="Arial" w:cs="Arial" w:eastAsia="Arial" w:hAnsi="Arial"/>
                <w:i/>
                <w:iCs/>
                <w:color w:val="1E5C2E"/>
                <w:sz w:val="18"/>
                <w:szCs w:val="18"/>
              </w:rPr>
              <w:t xml:space="preserve">Modelo de referencia para el diseño de categorías de memoria en sistemas con requisitos de privacidad y trazabilidad.</w:t>
            </w:r>
          </w:p>
        </w:tc>
      </w:tr>
    </w:tbl>
    <w:p>
      <w:pPr>
        <w:spacing w:after="60" w:before="60"/>
      </w:pPr>
      <w:r>
        <w:t xml:space="preserve"/>
      </w:r>
    </w:p>
    <w:p>
      <w:r>
        <w:br w:type="page"/>
      </w:r>
    </w:p>
    <w:p>
      <w:pPr>
        <w:pStyle w:val="Heading2"/>
        <w:spacing w:after="120" w:before="240"/>
      </w:pPr>
      <w:r>
        <w:rPr>
          <w:rFonts w:ascii="Arial" w:cs="Arial" w:eastAsia="Arial" w:hAnsi="Arial"/>
          <w:b/>
          <w:bCs/>
          <w:color w:val="2E75B6"/>
          <w:sz w:val="24"/>
          <w:szCs w:val="24"/>
        </w:rPr>
        <w:t xml:space="preserve">Categoría C: Recuperación Aumentada (RAG) y Variantes</w:t>
      </w:r>
    </w:p>
    <w:tbl>
      <w:tblPr>
        <w:tblW w:type="dxa" w:w="13360"/>
        <w:tblBorders>
          <w:top w:val="single" w:color="auto" w:sz="4"/>
          <w:left w:val="single" w:color="auto" w:sz="4"/>
          <w:bottom w:val="single" w:color="auto" w:sz="4"/>
          <w:right w:val="single" w:color="auto" w:sz="4"/>
          <w:insideH w:val="single" w:color="auto" w:sz="4"/>
          <w:insideV w:val="single" w:color="auto" w:sz="4"/>
        </w:tblBorders>
      </w:tblPr>
      <w:tblGrid>
        <w:gridCol w:w="1000"/>
        <w:gridCol w:w="5180"/>
        <w:gridCol w:w="2280"/>
        <w:gridCol w:w="1500"/>
        <w:gridCol w:w="3400"/>
      </w:tblGrid>
      <w:tr>
        <w:tc>
          <w:tcPr>
            <w:tcW w:type="dxa" w:w="1000"/>
            <w:tcBorders>
              <w:top w:val="single" w:color="CCCCCC" w:sz="1"/>
              <w:left w:val="single" w:color="CCCCCC" w:sz="1"/>
              <w:bottom w:val="single" w:color="CCCCCC" w:sz="1"/>
              <w:right w:val="single" w:color="CCCCCC" w:sz="1"/>
            </w:tcBorders>
            <w:shd w:fill="4B0082" w:val="clear"/>
            <w:tcMar>
              <w:top w:type="dxa" w:w="80"/>
              <w:left w:type="dxa" w:w="100"/>
              <w:bottom w:type="dxa" w:w="80"/>
              <w:right w:type="dxa" w:w="100"/>
            </w:tcMar>
            <w:vAlign w:val="center"/>
          </w:tcPr>
          <w:p>
            <w:pPr>
              <w:jc w:val="center"/>
            </w:pPr>
            <w:r>
              <w:rPr>
                <w:rFonts w:ascii="Arial" w:cs="Arial" w:eastAsia="Arial" w:hAnsi="Arial"/>
                <w:b/>
                <w:bCs/>
                <w:color w:val="FFFFFF"/>
                <w:sz w:val="22"/>
                <w:szCs w:val="22"/>
              </w:rPr>
              <w:t xml:space="preserve">C01</w:t>
            </w:r>
          </w:p>
        </w:tc>
        <w:tc>
          <w:tcPr>
            <w:tcW w:type="dxa" w:w="51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4B0082"/>
                <w:sz w:val="20"/>
                <w:szCs w:val="20"/>
              </w:rPr>
              <w:t xml:space="preserve">Self-RAG: Learning to Retrieve, Generate, and Critique through Self-Reflection</w:t>
            </w:r>
          </w:p>
        </w:tc>
        <w:tc>
          <w:tcPr>
            <w:tcW w:type="dxa" w:w="22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555555"/>
                <w:sz w:val="18"/>
                <w:szCs w:val="18"/>
              </w:rPr>
              <w:t xml:space="preserve">Paper – Conferencia (ICLR)</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center"/>
            </w:pPr>
            <w:r>
              <w:rPr>
                <w:rFonts w:ascii="Arial" w:cs="Arial" w:eastAsia="Arial" w:hAnsi="Arial"/>
                <w:b w:val="false"/>
                <w:bCs w:val="false"/>
                <w:color w:val="1A1A1A"/>
                <w:sz w:val="18"/>
                <w:szCs w:val="18"/>
              </w:rPr>
              <w:t xml:space="preserve">Octubre 2023 (ICLR 2024)</w:t>
            </w:r>
          </w:p>
        </w:tc>
        <w:tc>
          <w:tcPr>
            <w:tcW w:type="dxa" w:w="3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1A1A1A"/>
                <w:sz w:val="18"/>
                <w:szCs w:val="18"/>
              </w:rPr>
              <w:t xml:space="preserve">University of Washington / IBM Research</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4B0082"/>
                <w:sz w:val="18"/>
                <w:szCs w:val="18"/>
              </w:rPr>
              <w:t xml:space="preserve">Autores</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i/>
                <w:iCs/>
                <w:color w:val="1A1A1A"/>
                <w:sz w:val="18"/>
                <w:szCs w:val="18"/>
              </w:rPr>
              <w:t xml:space="preserve">Akari Asai, Zeqiu Wu, Yizhong Wang, Avirup Sil, Hannaneh Hajishirzi</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4B0082"/>
                <w:sz w:val="18"/>
                <w:szCs w:val="18"/>
              </w:rPr>
              <w:t xml:space="preserve">URL / DOI</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hyperlink w:history="1" r:id="rIdllneedf5_b9yhmtgbwysm">
              <w:r>
                <w:rPr>
                  <w:rFonts w:ascii="Arial" w:cs="Arial" w:eastAsia="Arial" w:hAnsi="Arial"/>
                  <w:color w:val="2E75B6"/>
                  <w:sz w:val="16"/>
                  <w:szCs w:val="16"/>
                  <w:u w:val="single"/>
                </w:rPr>
                <w:t xml:space="preserve">https://arxiv.org/abs/2310.11511</w:t>
              </w:r>
            </w:hyperlink>
            <w:r>
              <w:rPr>
                <w:rFonts w:ascii="Arial" w:cs="Arial" w:eastAsia="Arial" w:hAnsi="Arial"/>
                <w:color w:val="555555"/>
                <w:sz w:val="16"/>
                <w:szCs w:val="16"/>
              </w:rPr>
              <w:t xml:space="preserve">  |  GitHub: </w:t>
            </w:r>
            <w:hyperlink w:history="1" r:id="rId9qj6vio0ygdnrbosizqfn">
              <w:r>
                <w:rPr>
                  <w:rFonts w:ascii="Arial" w:cs="Arial" w:eastAsia="Arial" w:hAnsi="Arial"/>
                  <w:color w:val="006666"/>
                  <w:sz w:val="16"/>
                  <w:szCs w:val="16"/>
                  <w:u w:val="single"/>
                </w:rPr>
                <w:t xml:space="preserve">https://github.com/AkariAsai/self-rag</w:t>
              </w:r>
            </w:hyperlink>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4B0082"/>
                <w:sz w:val="18"/>
                <w:szCs w:val="18"/>
              </w:rPr>
              <w:t xml:space="preserve">Descripción</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color w:val="1A1A1A"/>
                <w:sz w:val="18"/>
                <w:szCs w:val="18"/>
              </w:rPr>
              <w:t xml:space="preserve">Introduce Self-RAG, un framework que entrena un único LM para recuperar pasajes adaptativamente bajo demanda y reflexionar sobre ellos mediante tokens de reflexión especiales (reflection tokens), permitiendo al modelo decidir si recuperar, evaluar la relevancia y criticar su propia generación.</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4B0082"/>
                <w:sz w:val="18"/>
                <w:szCs w:val="18"/>
              </w:rPr>
              <w:t xml:space="preserve">Conclusiones clave</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color w:val="1A1A1A"/>
                <w:sz w:val="18"/>
                <w:szCs w:val="18"/>
              </w:rPr>
              <w:t xml:space="preserve">Self-RAG supera a ChatGPT y Llama2-chat con RAG estándar en QA de dominio abierto, verificación de hechos y generación larga. Mejora factualidad y precisión de citas. La recuperación adaptativa (solo cuando es necesario) es más eficiente que recuperar siempre.</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4B0082"/>
                <w:sz w:val="18"/>
                <w:szCs w:val="18"/>
              </w:rPr>
              <w:t xml:space="preserve">Relevancia</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i/>
                <w:iCs/>
                <w:color w:val="4B0082"/>
                <w:sz w:val="18"/>
                <w:szCs w:val="18"/>
              </w:rPr>
              <w:t xml:space="preserve">Fundamenta la técnica de 'selective context injection': recuperar solo cuando aporta valor, clave para evitar context rot.</w:t>
            </w:r>
          </w:p>
        </w:tc>
      </w:tr>
    </w:tbl>
    <w:p>
      <w:pPr>
        <w:spacing w:after="60" w:before="60"/>
      </w:pPr>
      <w:r>
        <w:t xml:space="preserve"/>
      </w:r>
    </w:p>
    <w:tbl>
      <w:tblPr>
        <w:tblW w:type="dxa" w:w="13360"/>
        <w:tblBorders>
          <w:top w:val="single" w:color="auto" w:sz="4"/>
          <w:left w:val="single" w:color="auto" w:sz="4"/>
          <w:bottom w:val="single" w:color="auto" w:sz="4"/>
          <w:right w:val="single" w:color="auto" w:sz="4"/>
          <w:insideH w:val="single" w:color="auto" w:sz="4"/>
          <w:insideV w:val="single" w:color="auto" w:sz="4"/>
        </w:tblBorders>
      </w:tblPr>
      <w:tblGrid>
        <w:gridCol w:w="1000"/>
        <w:gridCol w:w="5180"/>
        <w:gridCol w:w="2280"/>
        <w:gridCol w:w="1500"/>
        <w:gridCol w:w="3400"/>
      </w:tblGrid>
      <w:tr>
        <w:tc>
          <w:tcPr>
            <w:tcW w:type="dxa" w:w="1000"/>
            <w:tcBorders>
              <w:top w:val="single" w:color="CCCCCC" w:sz="1"/>
              <w:left w:val="single" w:color="CCCCCC" w:sz="1"/>
              <w:bottom w:val="single" w:color="CCCCCC" w:sz="1"/>
              <w:right w:val="single" w:color="CCCCCC" w:sz="1"/>
            </w:tcBorders>
            <w:shd w:fill="4B0082" w:val="clear"/>
            <w:tcMar>
              <w:top w:type="dxa" w:w="80"/>
              <w:left w:type="dxa" w:w="100"/>
              <w:bottom w:type="dxa" w:w="80"/>
              <w:right w:type="dxa" w:w="100"/>
            </w:tcMar>
            <w:vAlign w:val="center"/>
          </w:tcPr>
          <w:p>
            <w:pPr>
              <w:jc w:val="center"/>
            </w:pPr>
            <w:r>
              <w:rPr>
                <w:rFonts w:ascii="Arial" w:cs="Arial" w:eastAsia="Arial" w:hAnsi="Arial"/>
                <w:b/>
                <w:bCs/>
                <w:color w:val="FFFFFF"/>
                <w:sz w:val="22"/>
                <w:szCs w:val="22"/>
              </w:rPr>
              <w:t xml:space="preserve">C02</w:t>
            </w:r>
          </w:p>
        </w:tc>
        <w:tc>
          <w:tcPr>
            <w:tcW w:type="dxa" w:w="51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4B0082"/>
                <w:sz w:val="20"/>
                <w:szCs w:val="20"/>
              </w:rPr>
              <w:t xml:space="preserve">RAG-MCP: Mitigating Prompt Bloat in LLM Tool Selection via Retrieval-Augmented Generation</w:t>
            </w:r>
          </w:p>
        </w:tc>
        <w:tc>
          <w:tcPr>
            <w:tcW w:type="dxa" w:w="22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555555"/>
                <w:sz w:val="18"/>
                <w:szCs w:val="18"/>
              </w:rPr>
              <w:t xml:space="preserve">Paper – Preprint arXiv</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center"/>
            </w:pPr>
            <w:r>
              <w:rPr>
                <w:rFonts w:ascii="Arial" w:cs="Arial" w:eastAsia="Arial" w:hAnsi="Arial"/>
                <w:b w:val="false"/>
                <w:bCs w:val="false"/>
                <w:color w:val="1A1A1A"/>
                <w:sz w:val="18"/>
                <w:szCs w:val="18"/>
              </w:rPr>
              <w:t xml:space="preserve">Mayo 2025</w:t>
            </w:r>
          </w:p>
        </w:tc>
        <w:tc>
          <w:tcPr>
            <w:tcW w:type="dxa" w:w="3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1A1A1A"/>
                <w:sz w:val="18"/>
                <w:szCs w:val="18"/>
              </w:rPr>
              <w:t xml:space="preserve">No afiliación institucional publicada</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4B0082"/>
                <w:sz w:val="18"/>
                <w:szCs w:val="18"/>
              </w:rPr>
              <w:t xml:space="preserve">Autores</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r>
              <w:rPr>
                <w:rFonts w:ascii="Arial" w:cs="Arial" w:eastAsia="Arial" w:hAnsi="Arial"/>
                <w:i/>
                <w:iCs/>
                <w:color w:val="1A1A1A"/>
                <w:sz w:val="18"/>
                <w:szCs w:val="18"/>
              </w:rPr>
              <w:t xml:space="preserve">Tiantian Gan, Qiyao Sun</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4B0082"/>
                <w:sz w:val="18"/>
                <w:szCs w:val="18"/>
              </w:rPr>
              <w:t xml:space="preserve">URL / DOI</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hyperlink w:history="1" r:id="rId4lamregzowk4qi4j0iizn">
              <w:r>
                <w:rPr>
                  <w:rFonts w:ascii="Arial" w:cs="Arial" w:eastAsia="Arial" w:hAnsi="Arial"/>
                  <w:color w:val="2E75B6"/>
                  <w:sz w:val="16"/>
                  <w:szCs w:val="16"/>
                  <w:u w:val="single"/>
                </w:rPr>
                <w:t xml:space="preserve">https://arxiv.org/abs/2505.03275</w:t>
              </w:r>
            </w:hyperlink>
            <w:r>
              <w:rPr>
                <w:rFonts w:ascii="Arial" w:cs="Arial" w:eastAsia="Arial" w:hAnsi="Arial"/>
                <w:color w:val="555555"/>
                <w:sz w:val="16"/>
                <w:szCs w:val="16"/>
              </w:rPr>
              <w:t xml:space="preserve">  |  GitHub: </w:t>
            </w:r>
            <w:hyperlink w:history="1" r:id="rIdgnb3aluvfc-uubh76uu1w">
              <w:r>
                <w:rPr>
                  <w:rFonts w:ascii="Arial" w:cs="Arial" w:eastAsia="Arial" w:hAnsi="Arial"/>
                  <w:color w:val="006666"/>
                  <w:sz w:val="16"/>
                  <w:szCs w:val="16"/>
                  <w:u w:val="single"/>
                </w:rPr>
                <w:t xml:space="preserve">https://github.com/memoverflow/rag-mcp</w:t>
              </w:r>
            </w:hyperlink>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4B0082"/>
                <w:sz w:val="18"/>
                <w:szCs w:val="18"/>
              </w:rPr>
              <w:t xml:space="preserve">Descripción</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pPr>
              <w:jc w:val="both"/>
            </w:pPr>
            <w:r>
              <w:rPr>
                <w:rFonts w:ascii="Arial" w:cs="Arial" w:eastAsia="Arial" w:hAnsi="Arial"/>
                <w:color w:val="1A1A1A"/>
                <w:sz w:val="18"/>
                <w:szCs w:val="18"/>
              </w:rPr>
              <w:t xml:space="preserve">Propone RAG-MCP, un framework que aplica recuperación semántica sobre descripciones de herramientas MCP para identificar los MCPs más relevantes para una consulta antes de pasarlos al LLM, en lugar de exponer el catálogo completo. Solo las descripciones de tools seleccionadas llegan al modelo.</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4B0082"/>
                <w:sz w:val="18"/>
                <w:szCs w:val="18"/>
              </w:rPr>
              <w:t xml:space="preserve">Conclusiones clave</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pPr>
              <w:jc w:val="both"/>
            </w:pPr>
            <w:r>
              <w:rPr>
                <w:rFonts w:ascii="Arial" w:cs="Arial" w:eastAsia="Arial" w:hAnsi="Arial"/>
                <w:color w:val="1A1A1A"/>
                <w:sz w:val="18"/>
                <w:szCs w:val="18"/>
              </w:rPr>
              <w:t xml:space="preserve">RAG-MCP reduce los tokens del prompt en más del 50% y más que triplica la precisión de selección de herramientas (43.13% vs 13.62% baseline) en benchmarks de estrés con muchas tools. Es el trabajo más directamente alineado con el problema de 'tool overload' en arquitecturas multi-MCP.</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4B0082"/>
                <w:sz w:val="18"/>
                <w:szCs w:val="18"/>
              </w:rPr>
              <w:t xml:space="preserve">Relevancia</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pPr>
              <w:jc w:val="both"/>
            </w:pPr>
            <w:r>
              <w:rPr>
                <w:rFonts w:ascii="Arial" w:cs="Arial" w:eastAsia="Arial" w:hAnsi="Arial"/>
                <w:i/>
                <w:iCs/>
                <w:color w:val="4B0082"/>
                <w:sz w:val="18"/>
                <w:szCs w:val="18"/>
              </w:rPr>
              <w:t xml:space="preserve">Técnica central para la tesis: soluciona directamente el problema de catálogos grandes de tools MCP y prompt bloat.</w:t>
            </w:r>
          </w:p>
        </w:tc>
      </w:tr>
    </w:tbl>
    <w:p>
      <w:pPr>
        <w:spacing w:after="60" w:before="60"/>
      </w:pPr>
      <w:r>
        <w:t xml:space="preserve"/>
      </w:r>
    </w:p>
    <w:tbl>
      <w:tblPr>
        <w:tblW w:type="dxa" w:w="13360"/>
        <w:tblBorders>
          <w:top w:val="single" w:color="auto" w:sz="4"/>
          <w:left w:val="single" w:color="auto" w:sz="4"/>
          <w:bottom w:val="single" w:color="auto" w:sz="4"/>
          <w:right w:val="single" w:color="auto" w:sz="4"/>
          <w:insideH w:val="single" w:color="auto" w:sz="4"/>
          <w:insideV w:val="single" w:color="auto" w:sz="4"/>
        </w:tblBorders>
      </w:tblPr>
      <w:tblGrid>
        <w:gridCol w:w="1000"/>
        <w:gridCol w:w="5180"/>
        <w:gridCol w:w="2280"/>
        <w:gridCol w:w="1500"/>
        <w:gridCol w:w="3400"/>
      </w:tblGrid>
      <w:tr>
        <w:tc>
          <w:tcPr>
            <w:tcW w:type="dxa" w:w="1000"/>
            <w:tcBorders>
              <w:top w:val="single" w:color="CCCCCC" w:sz="1"/>
              <w:left w:val="single" w:color="CCCCCC" w:sz="1"/>
              <w:bottom w:val="single" w:color="CCCCCC" w:sz="1"/>
              <w:right w:val="single" w:color="CCCCCC" w:sz="1"/>
            </w:tcBorders>
            <w:shd w:fill="4B0082" w:val="clear"/>
            <w:tcMar>
              <w:top w:type="dxa" w:w="80"/>
              <w:left w:type="dxa" w:w="100"/>
              <w:bottom w:type="dxa" w:w="80"/>
              <w:right w:type="dxa" w:w="100"/>
            </w:tcMar>
            <w:vAlign w:val="center"/>
          </w:tcPr>
          <w:p>
            <w:pPr>
              <w:jc w:val="center"/>
            </w:pPr>
            <w:r>
              <w:rPr>
                <w:rFonts w:ascii="Arial" w:cs="Arial" w:eastAsia="Arial" w:hAnsi="Arial"/>
                <w:b/>
                <w:bCs/>
                <w:color w:val="FFFFFF"/>
                <w:sz w:val="22"/>
                <w:szCs w:val="22"/>
              </w:rPr>
              <w:t xml:space="preserve">C03</w:t>
            </w:r>
          </w:p>
        </w:tc>
        <w:tc>
          <w:tcPr>
            <w:tcW w:type="dxa" w:w="51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4B0082"/>
                <w:sz w:val="20"/>
                <w:szCs w:val="20"/>
              </w:rPr>
              <w:t xml:space="preserve">From Local to Global: A Graph RAG Approach to Query-Focused Summarization</w:t>
            </w:r>
          </w:p>
        </w:tc>
        <w:tc>
          <w:tcPr>
            <w:tcW w:type="dxa" w:w="22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555555"/>
                <w:sz w:val="18"/>
                <w:szCs w:val="18"/>
              </w:rPr>
              <w:t xml:space="preserve">Paper – Preprint arXiv / Proyecto OSS</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center"/>
            </w:pPr>
            <w:r>
              <w:rPr>
                <w:rFonts w:ascii="Arial" w:cs="Arial" w:eastAsia="Arial" w:hAnsi="Arial"/>
                <w:b w:val="false"/>
                <w:bCs w:val="false"/>
                <w:color w:val="1A1A1A"/>
                <w:sz w:val="18"/>
                <w:szCs w:val="18"/>
              </w:rPr>
              <w:t xml:space="preserve">Abril 2024</w:t>
            </w:r>
          </w:p>
        </w:tc>
        <w:tc>
          <w:tcPr>
            <w:tcW w:type="dxa" w:w="3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1A1A1A"/>
                <w:sz w:val="18"/>
                <w:szCs w:val="18"/>
              </w:rPr>
              <w:t xml:space="preserve">Microsoft Research</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4B0082"/>
                <w:sz w:val="18"/>
                <w:szCs w:val="18"/>
              </w:rPr>
              <w:t xml:space="preserve">Autores</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i/>
                <w:iCs/>
                <w:color w:val="1A1A1A"/>
                <w:sz w:val="18"/>
                <w:szCs w:val="18"/>
              </w:rPr>
              <w:t xml:space="preserve">Darren Edge, Ha Trinh, Newman Cheng, Joshua Bradley, Alex Chao, Apurva Mody, Steven Truitt, Jonathan Larson</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4B0082"/>
                <w:sz w:val="18"/>
                <w:szCs w:val="18"/>
              </w:rPr>
              <w:t xml:space="preserve">URL / DOI</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hyperlink w:history="1" r:id="rIdfhu6mjeskrv1pccs9iqxt">
              <w:r>
                <w:rPr>
                  <w:rFonts w:ascii="Arial" w:cs="Arial" w:eastAsia="Arial" w:hAnsi="Arial"/>
                  <w:color w:val="2E75B6"/>
                  <w:sz w:val="16"/>
                  <w:szCs w:val="16"/>
                  <w:u w:val="single"/>
                </w:rPr>
                <w:t xml:space="preserve">https://arxiv.org/abs/2404.16130</w:t>
              </w:r>
            </w:hyperlink>
            <w:r>
              <w:rPr>
                <w:rFonts w:ascii="Arial" w:cs="Arial" w:eastAsia="Arial" w:hAnsi="Arial"/>
                <w:color w:val="555555"/>
                <w:sz w:val="16"/>
                <w:szCs w:val="16"/>
              </w:rPr>
              <w:t xml:space="preserve">  |  GitHub: </w:t>
            </w:r>
            <w:hyperlink w:history="1" r:id="rIdyuc-oecf_gmx4nny2babw">
              <w:r>
                <w:rPr>
                  <w:rFonts w:ascii="Arial" w:cs="Arial" w:eastAsia="Arial" w:hAnsi="Arial"/>
                  <w:color w:val="006666"/>
                  <w:sz w:val="16"/>
                  <w:szCs w:val="16"/>
                  <w:u w:val="single"/>
                </w:rPr>
                <w:t xml:space="preserve">https://github.com/microsoft/graphrag</w:t>
              </w:r>
            </w:hyperlink>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4B0082"/>
                <w:sz w:val="18"/>
                <w:szCs w:val="18"/>
              </w:rPr>
              <w:t xml:space="preserve">Descripción</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color w:val="1A1A1A"/>
                <w:sz w:val="18"/>
                <w:szCs w:val="18"/>
              </w:rPr>
              <w:t xml:space="preserve">Presenta GraphRAG, un sistema modular que construye un grafo de conocimiento a partir de un corpus de texto y usa análisis de comunidades del grafo para generar resúmenes jerárquicos que enriquecen el contexto en tiempo de consulta. Permite consultas globales sobre grandes colecciones de documentos.</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4B0082"/>
                <w:sz w:val="18"/>
                <w:szCs w:val="18"/>
              </w:rPr>
              <w:t xml:space="preserve">Conclusiones clave</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color w:val="1A1A1A"/>
                <w:sz w:val="18"/>
                <w:szCs w:val="18"/>
              </w:rPr>
              <w:t xml:space="preserve">GraphRAG supera al RAG estándar en tareas de comprensión global y síntesis de información distribuida. La estructura en grafo permite responder preguntas que requieren integrar información de múltiples documentos. El repo advierte que el indexado puede ser costoso y el código es metodológico/demostrativo.</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4B0082"/>
                <w:sz w:val="18"/>
                <w:szCs w:val="18"/>
              </w:rPr>
              <w:t xml:space="preserve">Relevancia</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i/>
                <w:iCs/>
                <w:color w:val="4B0082"/>
                <w:sz w:val="18"/>
                <w:szCs w:val="18"/>
              </w:rPr>
              <w:t xml:space="preserve">Útil para silos documentales complejos en arquitecturas multi-MCP, aunque no como default para cada servidor.</w:t>
            </w:r>
          </w:p>
        </w:tc>
      </w:tr>
    </w:tbl>
    <w:p>
      <w:pPr>
        <w:spacing w:after="60" w:before="60"/>
      </w:pPr>
      <w:r>
        <w:t xml:space="preserve"/>
      </w:r>
    </w:p>
    <w:tbl>
      <w:tblPr>
        <w:tblW w:type="dxa" w:w="13360"/>
        <w:tblBorders>
          <w:top w:val="single" w:color="auto" w:sz="4"/>
          <w:left w:val="single" w:color="auto" w:sz="4"/>
          <w:bottom w:val="single" w:color="auto" w:sz="4"/>
          <w:right w:val="single" w:color="auto" w:sz="4"/>
          <w:insideH w:val="single" w:color="auto" w:sz="4"/>
          <w:insideV w:val="single" w:color="auto" w:sz="4"/>
        </w:tblBorders>
      </w:tblPr>
      <w:tblGrid>
        <w:gridCol w:w="1000"/>
        <w:gridCol w:w="5180"/>
        <w:gridCol w:w="2280"/>
        <w:gridCol w:w="1500"/>
        <w:gridCol w:w="3400"/>
      </w:tblGrid>
      <w:tr>
        <w:tc>
          <w:tcPr>
            <w:tcW w:type="dxa" w:w="1000"/>
            <w:tcBorders>
              <w:top w:val="single" w:color="CCCCCC" w:sz="1"/>
              <w:left w:val="single" w:color="CCCCCC" w:sz="1"/>
              <w:bottom w:val="single" w:color="CCCCCC" w:sz="1"/>
              <w:right w:val="single" w:color="CCCCCC" w:sz="1"/>
            </w:tcBorders>
            <w:shd w:fill="4B0082" w:val="clear"/>
            <w:tcMar>
              <w:top w:type="dxa" w:w="80"/>
              <w:left w:type="dxa" w:w="100"/>
              <w:bottom w:type="dxa" w:w="80"/>
              <w:right w:type="dxa" w:w="100"/>
            </w:tcMar>
            <w:vAlign w:val="center"/>
          </w:tcPr>
          <w:p>
            <w:pPr>
              <w:jc w:val="center"/>
            </w:pPr>
            <w:r>
              <w:rPr>
                <w:rFonts w:ascii="Arial" w:cs="Arial" w:eastAsia="Arial" w:hAnsi="Arial"/>
                <w:b/>
                <w:bCs/>
                <w:color w:val="FFFFFF"/>
                <w:sz w:val="22"/>
                <w:szCs w:val="22"/>
              </w:rPr>
              <w:t xml:space="preserve">C04</w:t>
            </w:r>
          </w:p>
        </w:tc>
        <w:tc>
          <w:tcPr>
            <w:tcW w:type="dxa" w:w="51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4B0082"/>
                <w:sz w:val="20"/>
                <w:szCs w:val="20"/>
              </w:rPr>
              <w:t xml:space="preserve">FedRAG (Flower): Federated Retrieval-Augmented Generation</w:t>
            </w:r>
          </w:p>
        </w:tc>
        <w:tc>
          <w:tcPr>
            <w:tcW w:type="dxa" w:w="22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555555"/>
                <w:sz w:val="18"/>
                <w:szCs w:val="18"/>
              </w:rPr>
              <w:t xml:space="preserve">Framework / Documentación técnica</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center"/>
            </w:pPr>
            <w:r>
              <w:rPr>
                <w:rFonts w:ascii="Arial" w:cs="Arial" w:eastAsia="Arial" w:hAnsi="Arial"/>
                <w:b w:val="false"/>
                <w:bCs w:val="false"/>
                <w:color w:val="1A1A1A"/>
                <w:sz w:val="18"/>
                <w:szCs w:val="18"/>
              </w:rPr>
              <w:t xml:space="preserve">2024 (documentación / ejemplo oficial)</w:t>
            </w:r>
          </w:p>
        </w:tc>
        <w:tc>
          <w:tcPr>
            <w:tcW w:type="dxa" w:w="3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1A1A1A"/>
                <w:sz w:val="18"/>
                <w:szCs w:val="18"/>
              </w:rPr>
              <w:t xml:space="preserve">Flower Labs</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4B0082"/>
                <w:sz w:val="18"/>
                <w:szCs w:val="18"/>
              </w:rPr>
              <w:t xml:space="preserve">Autores</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r>
              <w:rPr>
                <w:rFonts w:ascii="Arial" w:cs="Arial" w:eastAsia="Arial" w:hAnsi="Arial"/>
                <w:i/>
                <w:iCs/>
                <w:color w:val="1A1A1A"/>
                <w:sz w:val="18"/>
                <w:szCs w:val="18"/>
              </w:rPr>
              <w:t xml:space="preserve">Flower Labs Team</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4B0082"/>
                <w:sz w:val="18"/>
                <w:szCs w:val="18"/>
              </w:rPr>
              <w:t xml:space="preserve">URL / DOI</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hyperlink w:history="1" r:id="rIdjtztypik4xffwqswp6ov3">
              <w:r>
                <w:rPr>
                  <w:rFonts w:ascii="Arial" w:cs="Arial" w:eastAsia="Arial" w:hAnsi="Arial"/>
                  <w:color w:val="2E75B6"/>
                  <w:sz w:val="16"/>
                  <w:szCs w:val="16"/>
                  <w:u w:val="single"/>
                </w:rPr>
                <w:t xml:space="preserve">https://flower.ai/docs/examples/fedrag.html</w:t>
              </w:r>
            </w:hyperlink>
            <w:r>
              <w:rPr>
                <w:rFonts w:ascii="Arial" w:cs="Arial" w:eastAsia="Arial" w:hAnsi="Arial"/>
                <w:color w:val="555555"/>
                <w:sz w:val="16"/>
                <w:szCs w:val="16"/>
              </w:rPr>
              <w:t xml:space="preserve">  |  GitHub: </w:t>
            </w:r>
            <w:hyperlink w:history="1" r:id="rIdwwijfxsthkvvt6m1jmrp0">
              <w:r>
                <w:rPr>
                  <w:rFonts w:ascii="Arial" w:cs="Arial" w:eastAsia="Arial" w:hAnsi="Arial"/>
                  <w:color w:val="006666"/>
                  <w:sz w:val="16"/>
                  <w:szCs w:val="16"/>
                  <w:u w:val="single"/>
                </w:rPr>
                <w:t xml:space="preserve">https://github.com/adap/flower</w:t>
              </w:r>
            </w:hyperlink>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4B0082"/>
                <w:sz w:val="18"/>
                <w:szCs w:val="18"/>
              </w:rPr>
              <w:t xml:space="preserve">Descripción</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pPr>
              <w:jc w:val="both"/>
            </w:pPr>
            <w:r>
              <w:rPr>
                <w:rFonts w:ascii="Arial" w:cs="Arial" w:eastAsia="Arial" w:hAnsi="Arial"/>
                <w:color w:val="1A1A1A"/>
                <w:sz w:val="18"/>
                <w:szCs w:val="18"/>
              </w:rPr>
              <w:t xml:space="preserve">Ejemplo de referencia de RAG federado en el framework Flower, donde cada silo/participante recupera su top-k localmente y un broker central fusiona y rerankea los resultados sin centralizar los datos crudos.</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4B0082"/>
                <w:sz w:val="18"/>
                <w:szCs w:val="18"/>
              </w:rPr>
              <w:t xml:space="preserve">Conclusiones clave</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pPr>
              <w:jc w:val="both"/>
            </w:pPr>
            <w:r>
              <w:rPr>
                <w:rFonts w:ascii="Arial" w:cs="Arial" w:eastAsia="Arial" w:hAnsi="Arial"/>
                <w:color w:val="1A1A1A"/>
                <w:sz w:val="18"/>
                <w:szCs w:val="18"/>
              </w:rPr>
              <w:t xml:space="preserve">Demuestra que la recuperación federada es viable: cada silo mantiene su índice privado y un broker central agrega resultados con reranking global. Reduce la mezcla de ruido entre dominios. Muy adecuado para arquitecturas donde cada servidor MCP representa una fuente con restricciones de acceso.</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4B0082"/>
                <w:sz w:val="18"/>
                <w:szCs w:val="18"/>
              </w:rPr>
              <w:t xml:space="preserve">Relevancia</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pPr>
              <w:jc w:val="both"/>
            </w:pPr>
            <w:r>
              <w:rPr>
                <w:rFonts w:ascii="Arial" w:cs="Arial" w:eastAsia="Arial" w:hAnsi="Arial"/>
                <w:i/>
                <w:iCs/>
                <w:color w:val="4B0082"/>
                <w:sz w:val="18"/>
                <w:szCs w:val="18"/>
              </w:rPr>
              <w:t xml:space="preserve">Patrón de referencia para el broker de recuperación federada en arquitecturas multi-MCP.</w:t>
            </w:r>
          </w:p>
        </w:tc>
      </w:tr>
    </w:tbl>
    <w:p>
      <w:pPr>
        <w:spacing w:after="60" w:before="60"/>
      </w:pPr>
      <w:r>
        <w:t xml:space="preserve"/>
      </w:r>
    </w:p>
    <w:p>
      <w:r>
        <w:br w:type="page"/>
      </w:r>
    </w:p>
    <w:p>
      <w:pPr>
        <w:pStyle w:val="Heading2"/>
        <w:spacing w:after="120" w:before="240"/>
      </w:pPr>
      <w:r>
        <w:rPr>
          <w:rFonts w:ascii="Arial" w:cs="Arial" w:eastAsia="Arial" w:hAnsi="Arial"/>
          <w:b/>
          <w:bCs/>
          <w:color w:val="2E75B6"/>
          <w:sz w:val="24"/>
          <w:szCs w:val="24"/>
        </w:rPr>
        <w:t xml:space="preserve">Categoría D: Benchmarks de Herramientas y Evaluación</w:t>
      </w:r>
    </w:p>
    <w:tbl>
      <w:tblPr>
        <w:tblW w:type="dxa" w:w="13360"/>
        <w:tblBorders>
          <w:top w:val="single" w:color="auto" w:sz="4"/>
          <w:left w:val="single" w:color="auto" w:sz="4"/>
          <w:bottom w:val="single" w:color="auto" w:sz="4"/>
          <w:right w:val="single" w:color="auto" w:sz="4"/>
          <w:insideH w:val="single" w:color="auto" w:sz="4"/>
          <w:insideV w:val="single" w:color="auto" w:sz="4"/>
        </w:tblBorders>
      </w:tblPr>
      <w:tblGrid>
        <w:gridCol w:w="1000"/>
        <w:gridCol w:w="5180"/>
        <w:gridCol w:w="2280"/>
        <w:gridCol w:w="1500"/>
        <w:gridCol w:w="3400"/>
      </w:tblGrid>
      <w:tr>
        <w:tc>
          <w:tcPr>
            <w:tcW w:type="dxa" w:w="1000"/>
            <w:tcBorders>
              <w:top w:val="single" w:color="CCCCCC" w:sz="1"/>
              <w:left w:val="single" w:color="CCCCCC" w:sz="1"/>
              <w:bottom w:val="single" w:color="CCCCCC" w:sz="1"/>
              <w:right w:val="single" w:color="CCCCCC" w:sz="1"/>
            </w:tcBorders>
            <w:shd w:fill="7B3800" w:val="clear"/>
            <w:tcMar>
              <w:top w:type="dxa" w:w="80"/>
              <w:left w:type="dxa" w:w="100"/>
              <w:bottom w:type="dxa" w:w="80"/>
              <w:right w:type="dxa" w:w="100"/>
            </w:tcMar>
            <w:vAlign w:val="center"/>
          </w:tcPr>
          <w:p>
            <w:pPr>
              <w:jc w:val="center"/>
            </w:pPr>
            <w:r>
              <w:rPr>
                <w:rFonts w:ascii="Arial" w:cs="Arial" w:eastAsia="Arial" w:hAnsi="Arial"/>
                <w:b/>
                <w:bCs/>
                <w:color w:val="FFFFFF"/>
                <w:sz w:val="22"/>
                <w:szCs w:val="22"/>
              </w:rPr>
              <w:t xml:space="preserve">D01</w:t>
            </w:r>
          </w:p>
        </w:tc>
        <w:tc>
          <w:tcPr>
            <w:tcW w:type="dxa" w:w="51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7B3800"/>
                <w:sz w:val="20"/>
                <w:szCs w:val="20"/>
              </w:rPr>
              <w:t xml:space="preserve">ToolBeHonest (ToolBH): A Multi-level Hallucination Diagnostic Benchmark for Tool-Augmented LLMs</w:t>
            </w:r>
          </w:p>
        </w:tc>
        <w:tc>
          <w:tcPr>
            <w:tcW w:type="dxa" w:w="22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555555"/>
                <w:sz w:val="18"/>
                <w:szCs w:val="18"/>
              </w:rPr>
              <w:t xml:space="preserve">Paper – Preprint arXiv / Benchmark</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center"/>
            </w:pPr>
            <w:r>
              <w:rPr>
                <w:rFonts w:ascii="Arial" w:cs="Arial" w:eastAsia="Arial" w:hAnsi="Arial"/>
                <w:b w:val="false"/>
                <w:bCs w:val="false"/>
                <w:color w:val="1A1A1A"/>
                <w:sz w:val="18"/>
                <w:szCs w:val="18"/>
              </w:rPr>
              <w:t xml:space="preserve">Junio 2024</w:t>
            </w:r>
          </w:p>
        </w:tc>
        <w:tc>
          <w:tcPr>
            <w:tcW w:type="dxa" w:w="3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1A1A1A"/>
                <w:sz w:val="18"/>
                <w:szCs w:val="18"/>
              </w:rPr>
              <w:t xml:space="preserve">No afiliación única publicada</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7B3800"/>
                <w:sz w:val="18"/>
                <w:szCs w:val="18"/>
              </w:rPr>
              <w:t xml:space="preserve">Autores</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i/>
                <w:iCs/>
                <w:color w:val="1A1A1A"/>
                <w:sz w:val="18"/>
                <w:szCs w:val="18"/>
              </w:rPr>
              <w:t xml:space="preserve">Yuxiang Zhang y otros</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7B3800"/>
                <w:sz w:val="18"/>
                <w:szCs w:val="18"/>
              </w:rPr>
              <w:t xml:space="preserve">URL / DOI</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hyperlink w:history="1" r:id="rIddq-_b3l66cv775-h7g4s3">
              <w:r>
                <w:rPr>
                  <w:rFonts w:ascii="Arial" w:cs="Arial" w:eastAsia="Arial" w:hAnsi="Arial"/>
                  <w:color w:val="2E75B6"/>
                  <w:sz w:val="16"/>
                  <w:szCs w:val="16"/>
                  <w:u w:val="single"/>
                </w:rPr>
                <w:t xml:space="preserve">https://arxiv.org/abs/2406.20015</w:t>
              </w:r>
            </w:hyperlink>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7B3800"/>
                <w:sz w:val="18"/>
                <w:szCs w:val="18"/>
              </w:rPr>
              <w:t xml:space="preserve">Descripción</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color w:val="1A1A1A"/>
                <w:sz w:val="18"/>
                <w:szCs w:val="18"/>
              </w:rPr>
              <w:t xml:space="preserve">Propone un benchmark diagnóstico multi-nivel para alucin aciones en LLMs con herramientas. El proceso diagnóstico evalúa: (1) detección de solucionabilidad, (2) planificación de solución y (3) análisis de herramientas faltantes. Incluye 700 muestras con anotación manual en 7 tareas.</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7B3800"/>
                <w:sz w:val="18"/>
                <w:szCs w:val="18"/>
              </w:rPr>
              <w:t xml:space="preserve">Conclusiones clave</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color w:val="1A1A1A"/>
                <w:sz w:val="18"/>
                <w:szCs w:val="18"/>
              </w:rPr>
              <w:t xml:space="preserve">Modelos avanzados como Gemini-1.5-Pro y GPT-4o solo alcanzan 45.3 y 37.0 sobre 100 respectivamente. Los fallos más frecuentes son: no detectar que una tarea no es solucionable, ignorar que falta una tool necesaria, y dejarse arrastrar por tools distractoras. Evidencia que el problema de selección de herramientas sigue sin resolverse.</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7B3800"/>
                <w:sz w:val="18"/>
                <w:szCs w:val="18"/>
              </w:rPr>
              <w:t xml:space="preserve">Relevancia</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i/>
                <w:iCs/>
                <w:color w:val="7B3800"/>
                <w:sz w:val="18"/>
                <w:szCs w:val="18"/>
              </w:rPr>
              <w:t xml:space="preserve">Benchmark principal para medir la tasa de error en selección de tools en la fase experimental de la tesis.</w:t>
            </w:r>
          </w:p>
        </w:tc>
      </w:tr>
    </w:tbl>
    <w:p>
      <w:pPr>
        <w:spacing w:after="60" w:before="60"/>
      </w:pPr>
      <w:r>
        <w:t xml:space="preserve"/>
      </w:r>
    </w:p>
    <w:tbl>
      <w:tblPr>
        <w:tblW w:type="dxa" w:w="13360"/>
        <w:tblBorders>
          <w:top w:val="single" w:color="auto" w:sz="4"/>
          <w:left w:val="single" w:color="auto" w:sz="4"/>
          <w:bottom w:val="single" w:color="auto" w:sz="4"/>
          <w:right w:val="single" w:color="auto" w:sz="4"/>
          <w:insideH w:val="single" w:color="auto" w:sz="4"/>
          <w:insideV w:val="single" w:color="auto" w:sz="4"/>
        </w:tblBorders>
      </w:tblPr>
      <w:tblGrid>
        <w:gridCol w:w="1000"/>
        <w:gridCol w:w="5180"/>
        <w:gridCol w:w="2280"/>
        <w:gridCol w:w="1500"/>
        <w:gridCol w:w="3400"/>
      </w:tblGrid>
      <w:tr>
        <w:tc>
          <w:tcPr>
            <w:tcW w:type="dxa" w:w="1000"/>
            <w:tcBorders>
              <w:top w:val="single" w:color="CCCCCC" w:sz="1"/>
              <w:left w:val="single" w:color="CCCCCC" w:sz="1"/>
              <w:bottom w:val="single" w:color="CCCCCC" w:sz="1"/>
              <w:right w:val="single" w:color="CCCCCC" w:sz="1"/>
            </w:tcBorders>
            <w:shd w:fill="7B3800" w:val="clear"/>
            <w:tcMar>
              <w:top w:type="dxa" w:w="80"/>
              <w:left w:type="dxa" w:w="100"/>
              <w:bottom w:type="dxa" w:w="80"/>
              <w:right w:type="dxa" w:w="100"/>
            </w:tcMar>
            <w:vAlign w:val="center"/>
          </w:tcPr>
          <w:p>
            <w:pPr>
              <w:jc w:val="center"/>
            </w:pPr>
            <w:r>
              <w:rPr>
                <w:rFonts w:ascii="Arial" w:cs="Arial" w:eastAsia="Arial" w:hAnsi="Arial"/>
                <w:b/>
                <w:bCs/>
                <w:color w:val="FFFFFF"/>
                <w:sz w:val="22"/>
                <w:szCs w:val="22"/>
              </w:rPr>
              <w:t xml:space="preserve">D02</w:t>
            </w:r>
          </w:p>
        </w:tc>
        <w:tc>
          <w:tcPr>
            <w:tcW w:type="dxa" w:w="51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7B3800"/>
                <w:sz w:val="20"/>
                <w:szCs w:val="20"/>
              </w:rPr>
              <w:t xml:space="preserve">ToolHaystack: Stress-Testing Tool-Augmented Language Models in Realistic Long-Term Interactions</w:t>
            </w:r>
          </w:p>
        </w:tc>
        <w:tc>
          <w:tcPr>
            <w:tcW w:type="dxa" w:w="22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555555"/>
                <w:sz w:val="18"/>
                <w:szCs w:val="18"/>
              </w:rPr>
              <w:t xml:space="preserve">Paper – Preprint arXiv / Benchmark</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center"/>
            </w:pPr>
            <w:r>
              <w:rPr>
                <w:rFonts w:ascii="Arial" w:cs="Arial" w:eastAsia="Arial" w:hAnsi="Arial"/>
                <w:b w:val="false"/>
                <w:bCs w:val="false"/>
                <w:color w:val="1A1A1A"/>
                <w:sz w:val="18"/>
                <w:szCs w:val="18"/>
              </w:rPr>
              <w:t xml:space="preserve">Mayo 2025</w:t>
            </w:r>
          </w:p>
        </w:tc>
        <w:tc>
          <w:tcPr>
            <w:tcW w:type="dxa" w:w="3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1A1A1A"/>
                <w:sz w:val="18"/>
                <w:szCs w:val="18"/>
              </w:rPr>
              <w:t xml:space="preserve">No afiliación única publicada</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7B3800"/>
                <w:sz w:val="18"/>
                <w:szCs w:val="18"/>
              </w:rPr>
              <w:t xml:space="preserve">Autores</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r>
              <w:rPr>
                <w:rFonts w:ascii="Arial" w:cs="Arial" w:eastAsia="Arial" w:hAnsi="Arial"/>
                <w:i/>
                <w:iCs/>
                <w:color w:val="1A1A1A"/>
                <w:sz w:val="18"/>
                <w:szCs w:val="18"/>
              </w:rPr>
              <w:t xml:space="preserve">No publicado completamente aún</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7B3800"/>
                <w:sz w:val="18"/>
                <w:szCs w:val="18"/>
              </w:rPr>
              <w:t xml:space="preserve">URL / DOI</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hyperlink w:history="1" r:id="rId7tu7oqqajd89cvonmoj7g">
              <w:r>
                <w:rPr>
                  <w:rFonts w:ascii="Arial" w:cs="Arial" w:eastAsia="Arial" w:hAnsi="Arial"/>
                  <w:color w:val="2E75B6"/>
                  <w:sz w:val="16"/>
                  <w:szCs w:val="16"/>
                  <w:u w:val="single"/>
                </w:rPr>
                <w:t xml:space="preserve">https://arxiv.org/html/2505.23662v1</w:t>
              </w:r>
            </w:hyperlink>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7B3800"/>
                <w:sz w:val="18"/>
                <w:szCs w:val="18"/>
              </w:rPr>
              <w:t xml:space="preserve">Descripción</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pPr>
              <w:jc w:val="both"/>
            </w:pPr>
            <w:r>
              <w:rPr>
                <w:rFonts w:ascii="Arial" w:cs="Arial" w:eastAsia="Arial" w:hAnsi="Arial"/>
                <w:color w:val="1A1A1A"/>
                <w:sz w:val="18"/>
                <w:szCs w:val="18"/>
              </w:rPr>
              <w:t xml:space="preserve">Benchmark para evaluar agentes LLM en escenarios de interacción larga con flujos de tareas intercalados y ruido contextual (tareas distractoras). Evalúa tres dimensiones: interacción larga con dependencias temporales, complejidad granular con niveles variables de dificultad, y robustez ante tareas irrelevantes intercaladas.</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7B3800"/>
                <w:sz w:val="18"/>
                <w:szCs w:val="18"/>
              </w:rPr>
              <w:t xml:space="preserve">Conclusiones clave</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pPr>
              <w:jc w:val="both"/>
            </w:pPr>
            <w:r>
              <w:rPr>
                <w:rFonts w:ascii="Arial" w:cs="Arial" w:eastAsia="Arial" w:hAnsi="Arial"/>
                <w:color w:val="1A1A1A"/>
                <w:sz w:val="18"/>
                <w:szCs w:val="18"/>
              </w:rPr>
              <w:t xml:space="preserve">Incluso LLMs con modelado avanzado de contexto largo fallan en mantener consistencia y robustez bajo escenarios largos. Los benchmarks contemporáneos sobreestiman la preparación para despliegue real. Evaluó 14 agentes LLM state-of-the-art, documentando modos de fallo específicos.</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7B3800"/>
                <w:sz w:val="18"/>
                <w:szCs w:val="18"/>
              </w:rPr>
              <w:t xml:space="preserve">Relevancia</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pPr>
              <w:jc w:val="both"/>
            </w:pPr>
            <w:r>
              <w:rPr>
                <w:rFonts w:ascii="Arial" w:cs="Arial" w:eastAsia="Arial" w:hAnsi="Arial"/>
                <w:i/>
                <w:iCs/>
                <w:color w:val="7B3800"/>
                <w:sz w:val="18"/>
                <w:szCs w:val="18"/>
              </w:rPr>
              <w:t xml:space="preserve">Benchmark clave para medir la degradación de respuestas (context rot) en conversaciones largas con múltiples tools.</w:t>
            </w:r>
          </w:p>
        </w:tc>
      </w:tr>
    </w:tbl>
    <w:p>
      <w:pPr>
        <w:spacing w:after="60" w:before="60"/>
      </w:pPr>
      <w:r>
        <w:t xml:space="preserve"/>
      </w:r>
    </w:p>
    <w:tbl>
      <w:tblPr>
        <w:tblW w:type="dxa" w:w="13360"/>
        <w:tblBorders>
          <w:top w:val="single" w:color="auto" w:sz="4"/>
          <w:left w:val="single" w:color="auto" w:sz="4"/>
          <w:bottom w:val="single" w:color="auto" w:sz="4"/>
          <w:right w:val="single" w:color="auto" w:sz="4"/>
          <w:insideH w:val="single" w:color="auto" w:sz="4"/>
          <w:insideV w:val="single" w:color="auto" w:sz="4"/>
        </w:tblBorders>
      </w:tblPr>
      <w:tblGrid>
        <w:gridCol w:w="1000"/>
        <w:gridCol w:w="5180"/>
        <w:gridCol w:w="2280"/>
        <w:gridCol w:w="1500"/>
        <w:gridCol w:w="3400"/>
      </w:tblGrid>
      <w:tr>
        <w:tc>
          <w:tcPr>
            <w:tcW w:type="dxa" w:w="1000"/>
            <w:tcBorders>
              <w:top w:val="single" w:color="CCCCCC" w:sz="1"/>
              <w:left w:val="single" w:color="CCCCCC" w:sz="1"/>
              <w:bottom w:val="single" w:color="CCCCCC" w:sz="1"/>
              <w:right w:val="single" w:color="CCCCCC" w:sz="1"/>
            </w:tcBorders>
            <w:shd w:fill="7B3800" w:val="clear"/>
            <w:tcMar>
              <w:top w:type="dxa" w:w="80"/>
              <w:left w:type="dxa" w:w="100"/>
              <w:bottom w:type="dxa" w:w="80"/>
              <w:right w:type="dxa" w:w="100"/>
            </w:tcMar>
            <w:vAlign w:val="center"/>
          </w:tcPr>
          <w:p>
            <w:pPr>
              <w:jc w:val="center"/>
            </w:pPr>
            <w:r>
              <w:rPr>
                <w:rFonts w:ascii="Arial" w:cs="Arial" w:eastAsia="Arial" w:hAnsi="Arial"/>
                <w:b/>
                <w:bCs/>
                <w:color w:val="FFFFFF"/>
                <w:sz w:val="22"/>
                <w:szCs w:val="22"/>
              </w:rPr>
              <w:t xml:space="preserve">D03</w:t>
            </w:r>
          </w:p>
        </w:tc>
        <w:tc>
          <w:tcPr>
            <w:tcW w:type="dxa" w:w="51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7B3800"/>
                <w:sz w:val="20"/>
                <w:szCs w:val="20"/>
              </w:rPr>
              <w:t xml:space="preserve">The Reasoning Trap: How Enhancing LLM Reasoning Amplifies Tool Hallucination (SimpleToolHalluBench)</w:t>
            </w:r>
          </w:p>
        </w:tc>
        <w:tc>
          <w:tcPr>
            <w:tcW w:type="dxa" w:w="22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555555"/>
                <w:sz w:val="18"/>
                <w:szCs w:val="18"/>
              </w:rPr>
              <w:t xml:space="preserve">Paper – Preprint arXiv / Benchmark</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center"/>
            </w:pPr>
            <w:r>
              <w:rPr>
                <w:rFonts w:ascii="Arial" w:cs="Arial" w:eastAsia="Arial" w:hAnsi="Arial"/>
                <w:b w:val="false"/>
                <w:bCs w:val="false"/>
                <w:color w:val="1A1A1A"/>
                <w:sz w:val="18"/>
                <w:szCs w:val="18"/>
              </w:rPr>
              <w:t xml:space="preserve">Octubre 2025</w:t>
            </w:r>
          </w:p>
        </w:tc>
        <w:tc>
          <w:tcPr>
            <w:tcW w:type="dxa" w:w="3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1A1A1A"/>
                <w:sz w:val="18"/>
                <w:szCs w:val="18"/>
              </w:rPr>
              <w:t xml:space="preserve">No afiliación única publicada</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7B3800"/>
                <w:sz w:val="18"/>
                <w:szCs w:val="18"/>
              </w:rPr>
              <w:t xml:space="preserve">Autores</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i/>
                <w:iCs/>
                <w:color w:val="1A1A1A"/>
                <w:sz w:val="18"/>
                <w:szCs w:val="18"/>
              </w:rPr>
              <w:t xml:space="preserve">No publicado completamente aún</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7B3800"/>
                <w:sz w:val="18"/>
                <w:szCs w:val="18"/>
              </w:rPr>
              <w:t xml:space="preserve">URL / DOI</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hyperlink w:history="1" r:id="rIdsje12byqdwphft1vcthnx">
              <w:r>
                <w:rPr>
                  <w:rFonts w:ascii="Arial" w:cs="Arial" w:eastAsia="Arial" w:hAnsi="Arial"/>
                  <w:color w:val="2E75B6"/>
                  <w:sz w:val="16"/>
                  <w:szCs w:val="16"/>
                  <w:u w:val="single"/>
                </w:rPr>
                <w:t xml:space="preserve">https://arxiv.org/abs/2510.22977</w:t>
              </w:r>
            </w:hyperlink>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7B3800"/>
                <w:sz w:val="18"/>
                <w:szCs w:val="18"/>
              </w:rPr>
              <w:t xml:space="preserve">Descripción</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color w:val="1A1A1A"/>
                <w:sz w:val="18"/>
                <w:szCs w:val="18"/>
              </w:rPr>
              <w:t xml:space="preserve">Introduce SimpleToolHalluBench para medir alucin aciones en dos modos de fallo: (i) ninguna tool disponible y (ii) solo tools distractoras disponibles. Investiga la paradoja de que mejorar el razonamiento del modelo incrementa la alucin ación de herramientas.</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7B3800"/>
                <w:sz w:val="18"/>
                <w:szCs w:val="18"/>
              </w:rPr>
              <w:t xml:space="preserve">Conclusiones clave</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color w:val="1A1A1A"/>
                <w:sz w:val="18"/>
                <w:szCs w:val="18"/>
              </w:rPr>
              <w:t xml:space="preserve">Reforzar el razonamiento vía RL incrementa la alucin ación de tools de forma proporcional. El efecto aparece también en fine-tuning de tareas sin tools (matemáticas) y con cualquier método de elicitación. Las estrategias de mitigación revelan un trade-off fundamental: reducir alucin ación degrada utilidad.</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7B3800"/>
                <w:sz w:val="18"/>
                <w:szCs w:val="18"/>
              </w:rPr>
              <w:t xml:space="preserve">Relevancia</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i/>
                <w:iCs/>
                <w:color w:val="7B3800"/>
                <w:sz w:val="18"/>
                <w:szCs w:val="18"/>
              </w:rPr>
              <w:t xml:space="preserve">Evidencia de que mejorar capacidades generales no resuelve el problema de tool selection; justifica técnicas especializadas de gating.</w:t>
            </w:r>
          </w:p>
        </w:tc>
      </w:tr>
    </w:tbl>
    <w:p>
      <w:pPr>
        <w:spacing w:after="60" w:before="60"/>
      </w:pPr>
      <w:r>
        <w:t xml:space="preserve"/>
      </w:r>
    </w:p>
    <w:tbl>
      <w:tblPr>
        <w:tblW w:type="dxa" w:w="13360"/>
        <w:tblBorders>
          <w:top w:val="single" w:color="auto" w:sz="4"/>
          <w:left w:val="single" w:color="auto" w:sz="4"/>
          <w:bottom w:val="single" w:color="auto" w:sz="4"/>
          <w:right w:val="single" w:color="auto" w:sz="4"/>
          <w:insideH w:val="single" w:color="auto" w:sz="4"/>
          <w:insideV w:val="single" w:color="auto" w:sz="4"/>
        </w:tblBorders>
      </w:tblPr>
      <w:tblGrid>
        <w:gridCol w:w="1000"/>
        <w:gridCol w:w="5180"/>
        <w:gridCol w:w="2280"/>
        <w:gridCol w:w="1500"/>
        <w:gridCol w:w="3400"/>
      </w:tblGrid>
      <w:tr>
        <w:tc>
          <w:tcPr>
            <w:tcW w:type="dxa" w:w="1000"/>
            <w:tcBorders>
              <w:top w:val="single" w:color="CCCCCC" w:sz="1"/>
              <w:left w:val="single" w:color="CCCCCC" w:sz="1"/>
              <w:bottom w:val="single" w:color="CCCCCC" w:sz="1"/>
              <w:right w:val="single" w:color="CCCCCC" w:sz="1"/>
            </w:tcBorders>
            <w:shd w:fill="7B3800" w:val="clear"/>
            <w:tcMar>
              <w:top w:type="dxa" w:w="80"/>
              <w:left w:type="dxa" w:w="100"/>
              <w:bottom w:type="dxa" w:w="80"/>
              <w:right w:type="dxa" w:w="100"/>
            </w:tcMar>
            <w:vAlign w:val="center"/>
          </w:tcPr>
          <w:p>
            <w:pPr>
              <w:jc w:val="center"/>
            </w:pPr>
            <w:r>
              <w:rPr>
                <w:rFonts w:ascii="Arial" w:cs="Arial" w:eastAsia="Arial" w:hAnsi="Arial"/>
                <w:b/>
                <w:bCs/>
                <w:color w:val="FFFFFF"/>
                <w:sz w:val="22"/>
                <w:szCs w:val="22"/>
              </w:rPr>
              <w:t xml:space="preserve">D04</w:t>
            </w:r>
          </w:p>
        </w:tc>
        <w:tc>
          <w:tcPr>
            <w:tcW w:type="dxa" w:w="51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7B3800"/>
                <w:sz w:val="20"/>
                <w:szCs w:val="20"/>
              </w:rPr>
              <w:t xml:space="preserve">LongMemEval: Benchmarking Chat Assistants on Long-Term Interactive Memory</w:t>
            </w:r>
          </w:p>
        </w:tc>
        <w:tc>
          <w:tcPr>
            <w:tcW w:type="dxa" w:w="22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555555"/>
                <w:sz w:val="18"/>
                <w:szCs w:val="18"/>
              </w:rPr>
              <w:t xml:space="preserve">Paper – Conferencia (ICLR) / Benchmark</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center"/>
            </w:pPr>
            <w:r>
              <w:rPr>
                <w:rFonts w:ascii="Arial" w:cs="Arial" w:eastAsia="Arial" w:hAnsi="Arial"/>
                <w:b w:val="false"/>
                <w:bCs w:val="false"/>
                <w:color w:val="1A1A1A"/>
                <w:sz w:val="18"/>
                <w:szCs w:val="18"/>
              </w:rPr>
              <w:t xml:space="preserve">Octubre 2024 (ICLR 2025)</w:t>
            </w:r>
          </w:p>
        </w:tc>
        <w:tc>
          <w:tcPr>
            <w:tcW w:type="dxa" w:w="3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1A1A1A"/>
                <w:sz w:val="18"/>
                <w:szCs w:val="18"/>
              </w:rPr>
              <w:t xml:space="preserve">UCLA / Tencent AI Lab</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7B3800"/>
                <w:sz w:val="18"/>
                <w:szCs w:val="18"/>
              </w:rPr>
              <w:t xml:space="preserve">Autores</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r>
              <w:rPr>
                <w:rFonts w:ascii="Arial" w:cs="Arial" w:eastAsia="Arial" w:hAnsi="Arial"/>
                <w:i/>
                <w:iCs/>
                <w:color w:val="1A1A1A"/>
                <w:sz w:val="18"/>
                <w:szCs w:val="18"/>
              </w:rPr>
              <w:t xml:space="preserve">Di Wu, Hongwei Wang, Wenhao Yu, Yuwei Zhang, Kai-Wei Chang, Dong Yu</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7B3800"/>
                <w:sz w:val="18"/>
                <w:szCs w:val="18"/>
              </w:rPr>
              <w:t xml:space="preserve">URL / DOI</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hyperlink w:history="1" r:id="rIdnjcwxetmcd1zokkzyqbvz">
              <w:r>
                <w:rPr>
                  <w:rFonts w:ascii="Arial" w:cs="Arial" w:eastAsia="Arial" w:hAnsi="Arial"/>
                  <w:color w:val="2E75B6"/>
                  <w:sz w:val="16"/>
                  <w:szCs w:val="16"/>
                  <w:u w:val="single"/>
                </w:rPr>
                <w:t xml:space="preserve">https://arxiv.org/abs/2410.10813</w:t>
              </w:r>
            </w:hyperlink>
            <w:r>
              <w:rPr>
                <w:rFonts w:ascii="Arial" w:cs="Arial" w:eastAsia="Arial" w:hAnsi="Arial"/>
                <w:color w:val="555555"/>
                <w:sz w:val="16"/>
                <w:szCs w:val="16"/>
              </w:rPr>
              <w:t xml:space="preserve">  |  GitHub: </w:t>
            </w:r>
            <w:hyperlink w:history="1" r:id="rIdteee2mtng07jwmvgjv047">
              <w:r>
                <w:rPr>
                  <w:rFonts w:ascii="Arial" w:cs="Arial" w:eastAsia="Arial" w:hAnsi="Arial"/>
                  <w:color w:val="006666"/>
                  <w:sz w:val="16"/>
                  <w:szCs w:val="16"/>
                  <w:u w:val="single"/>
                </w:rPr>
                <w:t xml:space="preserve">https://github.com/xiaowu0162/LongMemEval</w:t>
              </w:r>
            </w:hyperlink>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7B3800"/>
                <w:sz w:val="18"/>
                <w:szCs w:val="18"/>
              </w:rPr>
              <w:t xml:space="preserve">Descripción</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pPr>
              <w:jc w:val="both"/>
            </w:pPr>
            <w:r>
              <w:rPr>
                <w:rFonts w:ascii="Arial" w:cs="Arial" w:eastAsia="Arial" w:hAnsi="Arial"/>
                <w:color w:val="1A1A1A"/>
                <w:sz w:val="18"/>
                <w:szCs w:val="18"/>
              </w:rPr>
              <w:t xml:space="preserve">Benchmark que evalúa cinco habilidades de memoria a largo plazo en asistentes de chat: extracción de información, razonamiento multi-sesión, razonamiento temporal, actualización de conocimiento y abstención. Incluye 500 preguntas embebidas en historiales de hasta 1.5 millones de tokens.</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7B3800"/>
                <w:sz w:val="18"/>
                <w:szCs w:val="18"/>
              </w:rPr>
              <w:t xml:space="preserve">Conclusiones clave</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pPr>
              <w:jc w:val="both"/>
            </w:pPr>
            <w:r>
              <w:rPr>
                <w:rFonts w:ascii="Arial" w:cs="Arial" w:eastAsia="Arial" w:hAnsi="Arial"/>
                <w:color w:val="1A1A1A"/>
                <w:sz w:val="18"/>
                <w:szCs w:val="18"/>
              </w:rPr>
              <w:t xml:space="preserve">Los sistemas comerciales y LLMs de contexto largo muestran una caída del 30% en precisión al memorizar información a través de interacciones sostenidas. GPT-4o alcanza ~92% en sesiones con la respuesta visible pero cae a ~58% en modo interactivo completo. Propone tres optimizaciones: session decomposition, fact-augmented key expansion y time-aware query expansion.</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7B3800"/>
                <w:sz w:val="18"/>
                <w:szCs w:val="18"/>
              </w:rPr>
              <w:t xml:space="preserve">Relevancia</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pPr>
              <w:jc w:val="both"/>
            </w:pPr>
            <w:r>
              <w:rPr>
                <w:rFonts w:ascii="Arial" w:cs="Arial" w:eastAsia="Arial" w:hAnsi="Arial"/>
                <w:i/>
                <w:iCs/>
                <w:color w:val="7B3800"/>
                <w:sz w:val="18"/>
                <w:szCs w:val="18"/>
              </w:rPr>
              <w:t xml:space="preserve">Benchmark estándar para medir la memoria longitudinal en la fase experimental de la tesis.</w:t>
            </w:r>
          </w:p>
        </w:tc>
      </w:tr>
    </w:tbl>
    <w:p>
      <w:pPr>
        <w:spacing w:after="60" w:before="60"/>
      </w:pPr>
      <w:r>
        <w:t xml:space="preserve"/>
      </w:r>
    </w:p>
    <w:tbl>
      <w:tblPr>
        <w:tblW w:type="dxa" w:w="13360"/>
        <w:tblBorders>
          <w:top w:val="single" w:color="auto" w:sz="4"/>
          <w:left w:val="single" w:color="auto" w:sz="4"/>
          <w:bottom w:val="single" w:color="auto" w:sz="4"/>
          <w:right w:val="single" w:color="auto" w:sz="4"/>
          <w:insideH w:val="single" w:color="auto" w:sz="4"/>
          <w:insideV w:val="single" w:color="auto" w:sz="4"/>
        </w:tblBorders>
      </w:tblPr>
      <w:tblGrid>
        <w:gridCol w:w="1000"/>
        <w:gridCol w:w="5180"/>
        <w:gridCol w:w="2280"/>
        <w:gridCol w:w="1500"/>
        <w:gridCol w:w="3400"/>
      </w:tblGrid>
      <w:tr>
        <w:tc>
          <w:tcPr>
            <w:tcW w:type="dxa" w:w="1000"/>
            <w:tcBorders>
              <w:top w:val="single" w:color="CCCCCC" w:sz="1"/>
              <w:left w:val="single" w:color="CCCCCC" w:sz="1"/>
              <w:bottom w:val="single" w:color="CCCCCC" w:sz="1"/>
              <w:right w:val="single" w:color="CCCCCC" w:sz="1"/>
            </w:tcBorders>
            <w:shd w:fill="7B3800" w:val="clear"/>
            <w:tcMar>
              <w:top w:type="dxa" w:w="80"/>
              <w:left w:type="dxa" w:w="100"/>
              <w:bottom w:type="dxa" w:w="80"/>
              <w:right w:type="dxa" w:w="100"/>
            </w:tcMar>
            <w:vAlign w:val="center"/>
          </w:tcPr>
          <w:p>
            <w:pPr>
              <w:jc w:val="center"/>
            </w:pPr>
            <w:r>
              <w:rPr>
                <w:rFonts w:ascii="Arial" w:cs="Arial" w:eastAsia="Arial" w:hAnsi="Arial"/>
                <w:b/>
                <w:bCs/>
                <w:color w:val="FFFFFF"/>
                <w:sz w:val="22"/>
                <w:szCs w:val="22"/>
              </w:rPr>
              <w:t xml:space="preserve">D05</w:t>
            </w:r>
          </w:p>
        </w:tc>
        <w:tc>
          <w:tcPr>
            <w:tcW w:type="dxa" w:w="51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7B3800"/>
                <w:sz w:val="20"/>
                <w:szCs w:val="20"/>
              </w:rPr>
              <w:t xml:space="preserve">LoCoMo: Evaluating Very Long-Term Conversational Memory of LLM Agents</w:t>
            </w:r>
          </w:p>
        </w:tc>
        <w:tc>
          <w:tcPr>
            <w:tcW w:type="dxa" w:w="22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555555"/>
                <w:sz w:val="18"/>
                <w:szCs w:val="18"/>
              </w:rPr>
              <w:t xml:space="preserve">Paper – Conferencia (ACL) / Benchmark</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center"/>
            </w:pPr>
            <w:r>
              <w:rPr>
                <w:rFonts w:ascii="Arial" w:cs="Arial" w:eastAsia="Arial" w:hAnsi="Arial"/>
                <w:b w:val="false"/>
                <w:bCs w:val="false"/>
                <w:color w:val="1A1A1A"/>
                <w:sz w:val="18"/>
                <w:szCs w:val="18"/>
              </w:rPr>
              <w:t xml:space="preserve">Febrero 2024 (ACL 2024)</w:t>
            </w:r>
          </w:p>
        </w:tc>
        <w:tc>
          <w:tcPr>
            <w:tcW w:type="dxa" w:w="3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1A1A1A"/>
                <w:sz w:val="18"/>
                <w:szCs w:val="18"/>
              </w:rPr>
              <w:t xml:space="preserve">University of North Carolina / Snap Research</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7B3800"/>
                <w:sz w:val="18"/>
                <w:szCs w:val="18"/>
              </w:rPr>
              <w:t xml:space="preserve">Autores</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i/>
                <w:iCs/>
                <w:color w:val="1A1A1A"/>
                <w:sz w:val="18"/>
                <w:szCs w:val="18"/>
              </w:rPr>
              <w:t xml:space="preserve">Adyasha Maharana, Dong-Ho Lee, Sergey Tulyakov, Mohit Bansal, Francesco Barbieri, Yuwei Fang</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7B3800"/>
                <w:sz w:val="18"/>
                <w:szCs w:val="18"/>
              </w:rPr>
              <w:t xml:space="preserve">URL / DOI</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hyperlink w:history="1" r:id="rIdufu0ohxxoffsgx1kftn7c">
              <w:r>
                <w:rPr>
                  <w:rFonts w:ascii="Arial" w:cs="Arial" w:eastAsia="Arial" w:hAnsi="Arial"/>
                  <w:color w:val="2E75B6"/>
                  <w:sz w:val="16"/>
                  <w:szCs w:val="16"/>
                  <w:u w:val="single"/>
                </w:rPr>
                <w:t xml:space="preserve">https://arxiv.org/abs/2402.17753</w:t>
              </w:r>
            </w:hyperlink>
            <w:r>
              <w:rPr>
                <w:rFonts w:ascii="Arial" w:cs="Arial" w:eastAsia="Arial" w:hAnsi="Arial"/>
                <w:color w:val="555555"/>
                <w:sz w:val="16"/>
                <w:szCs w:val="16"/>
              </w:rPr>
              <w:t xml:space="preserve">  |  GitHub: </w:t>
            </w:r>
            <w:hyperlink w:history="1" r:id="rIdhhfunp6lci4mljqrljplv">
              <w:r>
                <w:rPr>
                  <w:rFonts w:ascii="Arial" w:cs="Arial" w:eastAsia="Arial" w:hAnsi="Arial"/>
                  <w:color w:val="006666"/>
                  <w:sz w:val="16"/>
                  <w:szCs w:val="16"/>
                  <w:u w:val="single"/>
                </w:rPr>
                <w:t xml:space="preserve">https://github.com/snap-research/locomo</w:t>
              </w:r>
            </w:hyperlink>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7B3800"/>
                <w:sz w:val="18"/>
                <w:szCs w:val="18"/>
              </w:rPr>
              <w:t xml:space="preserve">Descripción</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color w:val="1A1A1A"/>
                <w:sz w:val="18"/>
                <w:szCs w:val="18"/>
              </w:rPr>
              <w:t xml:space="preserve">Introduce LoCoMo, un dataset de conversaciones muy largas (300 turnos, ~9K tokens por sesión, hasta 35 sesiones) generado con un pipeline máquina-humano basado en grafos de eventos temporales y personas. Evalúa memoria a largo plazo en QA, resumen de eventos y generación dialógica multimodal.</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7B3800"/>
                <w:sz w:val="18"/>
                <w:szCs w:val="18"/>
              </w:rPr>
              <w:t xml:space="preserve">Conclusiones clave</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color w:val="1A1A1A"/>
                <w:sz w:val="18"/>
                <w:szCs w:val="18"/>
              </w:rPr>
              <w:t xml:space="preserve">Los LLMs tienen dificultades con conversaciones largas y dinámicas causales de largo alcance. Estrategias como LLMs de contexto largo o RAG mejoran parcialmente pero siguen muy por debajo del rendimiento humano. Los grafos de eventos temporales son fundamentales para generar conversaciones coherentes a largo plazo.</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7B3800"/>
                <w:sz w:val="18"/>
                <w:szCs w:val="18"/>
              </w:rPr>
              <w:t xml:space="preserve">Relevancia</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i/>
                <w:iCs/>
                <w:color w:val="7B3800"/>
                <w:sz w:val="18"/>
                <w:szCs w:val="18"/>
              </w:rPr>
              <w:t xml:space="preserve">Dataset de referencia para diseñar los experimentos de multi-sesión con degradación de memoria en la tesis.</w:t>
            </w:r>
          </w:p>
        </w:tc>
      </w:tr>
    </w:tbl>
    <w:p>
      <w:pPr>
        <w:spacing w:after="60" w:before="60"/>
      </w:pPr>
      <w:r>
        <w:t xml:space="preserve"/>
      </w:r>
    </w:p>
    <w:p>
      <w:r>
        <w:br w:type="page"/>
      </w:r>
    </w:p>
    <w:p>
      <w:pPr>
        <w:pStyle w:val="Heading2"/>
        <w:spacing w:after="120" w:before="240"/>
      </w:pPr>
      <w:r>
        <w:rPr>
          <w:rFonts w:ascii="Arial" w:cs="Arial" w:eastAsia="Arial" w:hAnsi="Arial"/>
          <w:b/>
          <w:bCs/>
          <w:color w:val="2E75B6"/>
          <w:sz w:val="24"/>
          <w:szCs w:val="24"/>
        </w:rPr>
        <w:t xml:space="preserve">Categoría E: Protocolos, Frameworks y Especificaciones</w:t>
      </w:r>
    </w:p>
    <w:tbl>
      <w:tblPr>
        <w:tblW w:type="dxa" w:w="13360"/>
        <w:tblBorders>
          <w:top w:val="single" w:color="auto" w:sz="4"/>
          <w:left w:val="single" w:color="auto" w:sz="4"/>
          <w:bottom w:val="single" w:color="auto" w:sz="4"/>
          <w:right w:val="single" w:color="auto" w:sz="4"/>
          <w:insideH w:val="single" w:color="auto" w:sz="4"/>
          <w:insideV w:val="single" w:color="auto" w:sz="4"/>
        </w:tblBorders>
      </w:tblPr>
      <w:tblGrid>
        <w:gridCol w:w="1000"/>
        <w:gridCol w:w="5180"/>
        <w:gridCol w:w="2280"/>
        <w:gridCol w:w="1500"/>
        <w:gridCol w:w="3400"/>
      </w:tblGrid>
      <w:tr>
        <w:tc>
          <w:tcPr>
            <w:tcW w:type="dxa" w:w="1000"/>
            <w:tcBorders>
              <w:top w:val="single" w:color="CCCCCC" w:sz="1"/>
              <w:left w:val="single" w:color="CCCCCC" w:sz="1"/>
              <w:bottom w:val="single" w:color="CCCCCC" w:sz="1"/>
              <w:right w:val="single" w:color="CCCCCC" w:sz="1"/>
            </w:tcBorders>
            <w:shd w:fill="006666" w:val="clear"/>
            <w:tcMar>
              <w:top w:type="dxa" w:w="80"/>
              <w:left w:type="dxa" w:w="100"/>
              <w:bottom w:type="dxa" w:w="80"/>
              <w:right w:type="dxa" w:w="100"/>
            </w:tcMar>
            <w:vAlign w:val="center"/>
          </w:tcPr>
          <w:p>
            <w:pPr>
              <w:jc w:val="center"/>
            </w:pPr>
            <w:r>
              <w:rPr>
                <w:rFonts w:ascii="Arial" w:cs="Arial" w:eastAsia="Arial" w:hAnsi="Arial"/>
                <w:b/>
                <w:bCs/>
                <w:color w:val="FFFFFF"/>
                <w:sz w:val="22"/>
                <w:szCs w:val="22"/>
              </w:rPr>
              <w:t xml:space="preserve">E01</w:t>
            </w:r>
          </w:p>
        </w:tc>
        <w:tc>
          <w:tcPr>
            <w:tcW w:type="dxa" w:w="51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006666"/>
                <w:sz w:val="20"/>
                <w:szCs w:val="20"/>
              </w:rPr>
              <w:t xml:space="preserve">Model Context Protocol (MCP) – Especificación Oficial</w:t>
            </w:r>
          </w:p>
        </w:tc>
        <w:tc>
          <w:tcPr>
            <w:tcW w:type="dxa" w:w="22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555555"/>
                <w:sz w:val="18"/>
                <w:szCs w:val="18"/>
              </w:rPr>
              <w:t xml:space="preserve">Especificación técnica / Estándar abierto</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center"/>
            </w:pPr>
            <w:r>
              <w:rPr>
                <w:rFonts w:ascii="Arial" w:cs="Arial" w:eastAsia="Arial" w:hAnsi="Arial"/>
                <w:b w:val="false"/>
                <w:bCs w:val="false"/>
                <w:color w:val="1A1A1A"/>
                <w:sz w:val="18"/>
                <w:szCs w:val="18"/>
              </w:rPr>
              <w:t xml:space="preserve">Noviembre 2024 (versión inicial) / actualización continua</w:t>
            </w:r>
          </w:p>
        </w:tc>
        <w:tc>
          <w:tcPr>
            <w:tcW w:type="dxa" w:w="3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1A1A1A"/>
                <w:sz w:val="18"/>
                <w:szCs w:val="18"/>
              </w:rPr>
              <w:t xml:space="preserve">Anthropic</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006666"/>
                <w:sz w:val="18"/>
                <w:szCs w:val="18"/>
              </w:rPr>
              <w:t xml:space="preserve">Autores</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i/>
                <w:iCs/>
                <w:color w:val="1A1A1A"/>
                <w:sz w:val="18"/>
                <w:szCs w:val="18"/>
              </w:rPr>
              <w:t xml:space="preserve">Anthropic (equipo de producto)</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006666"/>
                <w:sz w:val="18"/>
                <w:szCs w:val="18"/>
              </w:rPr>
              <w:t xml:space="preserve">URL / DOI</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hyperlink w:history="1" r:id="rId_whpfodmxi9l3sjrchvqc">
              <w:r>
                <w:rPr>
                  <w:rFonts w:ascii="Arial" w:cs="Arial" w:eastAsia="Arial" w:hAnsi="Arial"/>
                  <w:color w:val="2E75B6"/>
                  <w:sz w:val="16"/>
                  <w:szCs w:val="16"/>
                  <w:u w:val="single"/>
                </w:rPr>
                <w:t xml:space="preserve">https://modelcontextprotocol.io/specification/2025-11-25</w:t>
              </w:r>
            </w:hyperlink>
            <w:r>
              <w:rPr>
                <w:rFonts w:ascii="Arial" w:cs="Arial" w:eastAsia="Arial" w:hAnsi="Arial"/>
                <w:color w:val="555555"/>
                <w:sz w:val="16"/>
                <w:szCs w:val="16"/>
              </w:rPr>
              <w:t xml:space="preserve">  |  GitHub: </w:t>
            </w:r>
            <w:hyperlink w:history="1" r:id="rIdpp0h8ycynbl0rccwxonvy">
              <w:r>
                <w:rPr>
                  <w:rFonts w:ascii="Arial" w:cs="Arial" w:eastAsia="Arial" w:hAnsi="Arial"/>
                  <w:color w:val="006666"/>
                  <w:sz w:val="16"/>
                  <w:szCs w:val="16"/>
                  <w:u w:val="single"/>
                </w:rPr>
                <w:t xml:space="preserve">https://github.com/modelcontextprotocol/modelcontextprotocol</w:t>
              </w:r>
            </w:hyperlink>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006666"/>
                <w:sz w:val="18"/>
                <w:szCs w:val="18"/>
              </w:rPr>
              <w:t xml:space="preserve">Descripción</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color w:val="1A1A1A"/>
                <w:sz w:val="18"/>
                <w:szCs w:val="18"/>
              </w:rPr>
              <w:t xml:space="preserve">Estándar abierto que define cómo los asistentes de IA se conectan a fuentes de datos y herramientas externas. Define la arquitectura host-cliente-servidor, los primitivos del protocolo (Tools, Resources, Prompts), la negociación de capacidades y el control de flujo. Publicado con SDKs en Python, TypeScript, C# y Java.</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006666"/>
                <w:sz w:val="18"/>
                <w:szCs w:val="18"/>
              </w:rPr>
              <w:t xml:space="preserve">Conclusiones clave</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color w:val="1A1A1A"/>
                <w:sz w:val="18"/>
                <w:szCs w:val="18"/>
              </w:rPr>
              <w:t xml:space="preserve">MCP establece que las tools son model-controlled y los resources son application-driven, lo que implica que el host puede controlar qué contexto llega al modelo. La separación cliente-servidor permite modelar el estado por servidor. La notificación listChanged permite invalidar cachés de herramientas. Es la especificación de infraestructura central de la tesis.</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006666"/>
                <w:sz w:val="18"/>
                <w:szCs w:val="18"/>
              </w:rPr>
              <w:t xml:space="preserve">Relevancia</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i/>
                <w:iCs/>
                <w:color w:val="006666"/>
                <w:sz w:val="18"/>
                <w:szCs w:val="18"/>
              </w:rPr>
              <w:t xml:space="preserve">Protocolo central de la tesis: define la arquitectura sobre la que se miden todas las técnicas experimentadas.</w:t>
            </w:r>
          </w:p>
        </w:tc>
      </w:tr>
    </w:tbl>
    <w:p>
      <w:pPr>
        <w:spacing w:after="60" w:before="60"/>
      </w:pPr>
      <w:r>
        <w:t xml:space="preserve"/>
      </w:r>
    </w:p>
    <w:tbl>
      <w:tblPr>
        <w:tblW w:type="dxa" w:w="13360"/>
        <w:tblBorders>
          <w:top w:val="single" w:color="auto" w:sz="4"/>
          <w:left w:val="single" w:color="auto" w:sz="4"/>
          <w:bottom w:val="single" w:color="auto" w:sz="4"/>
          <w:right w:val="single" w:color="auto" w:sz="4"/>
          <w:insideH w:val="single" w:color="auto" w:sz="4"/>
          <w:insideV w:val="single" w:color="auto" w:sz="4"/>
        </w:tblBorders>
      </w:tblPr>
      <w:tblGrid>
        <w:gridCol w:w="1000"/>
        <w:gridCol w:w="5180"/>
        <w:gridCol w:w="2280"/>
        <w:gridCol w:w="1500"/>
        <w:gridCol w:w="3400"/>
      </w:tblGrid>
      <w:tr>
        <w:tc>
          <w:tcPr>
            <w:tcW w:type="dxa" w:w="1000"/>
            <w:tcBorders>
              <w:top w:val="single" w:color="CCCCCC" w:sz="1"/>
              <w:left w:val="single" w:color="CCCCCC" w:sz="1"/>
              <w:bottom w:val="single" w:color="CCCCCC" w:sz="1"/>
              <w:right w:val="single" w:color="CCCCCC" w:sz="1"/>
            </w:tcBorders>
            <w:shd w:fill="006666" w:val="clear"/>
            <w:tcMar>
              <w:top w:type="dxa" w:w="80"/>
              <w:left w:type="dxa" w:w="100"/>
              <w:bottom w:type="dxa" w:w="80"/>
              <w:right w:type="dxa" w:w="100"/>
            </w:tcMar>
            <w:vAlign w:val="center"/>
          </w:tcPr>
          <w:p>
            <w:pPr>
              <w:jc w:val="center"/>
            </w:pPr>
            <w:r>
              <w:rPr>
                <w:rFonts w:ascii="Arial" w:cs="Arial" w:eastAsia="Arial" w:hAnsi="Arial"/>
                <w:b/>
                <w:bCs/>
                <w:color w:val="FFFFFF"/>
                <w:sz w:val="22"/>
                <w:szCs w:val="22"/>
              </w:rPr>
              <w:t xml:space="preserve">E02</w:t>
            </w:r>
          </w:p>
        </w:tc>
        <w:tc>
          <w:tcPr>
            <w:tcW w:type="dxa" w:w="51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006666"/>
                <w:sz w:val="20"/>
                <w:szCs w:val="20"/>
              </w:rPr>
              <w:t xml:space="preserve">LangGraph – State Management and Agent Orchestration</w:t>
            </w:r>
          </w:p>
        </w:tc>
        <w:tc>
          <w:tcPr>
            <w:tcW w:type="dxa" w:w="22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555555"/>
                <w:sz w:val="18"/>
                <w:szCs w:val="18"/>
              </w:rPr>
              <w:t xml:space="preserve">Framework OSS / Documentación técnica</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center"/>
            </w:pPr>
            <w:r>
              <w:rPr>
                <w:rFonts w:ascii="Arial" w:cs="Arial" w:eastAsia="Arial" w:hAnsi="Arial"/>
                <w:b w:val="false"/>
                <w:bCs w:val="false"/>
                <w:color w:val="1A1A1A"/>
                <w:sz w:val="18"/>
                <w:szCs w:val="18"/>
              </w:rPr>
              <w:t xml:space="preserve">2023–2025 (documentación activa)</w:t>
            </w:r>
          </w:p>
        </w:tc>
        <w:tc>
          <w:tcPr>
            <w:tcW w:type="dxa" w:w="3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1A1A1A"/>
                <w:sz w:val="18"/>
                <w:szCs w:val="18"/>
              </w:rPr>
              <w:t xml:space="preserve">LangChain Inc.</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006666"/>
                <w:sz w:val="18"/>
                <w:szCs w:val="18"/>
              </w:rPr>
              <w:t xml:space="preserve">Autores</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r>
              <w:rPr>
                <w:rFonts w:ascii="Arial" w:cs="Arial" w:eastAsia="Arial" w:hAnsi="Arial"/>
                <w:i/>
                <w:iCs/>
                <w:color w:val="1A1A1A"/>
                <w:sz w:val="18"/>
                <w:szCs w:val="18"/>
              </w:rPr>
              <w:t xml:space="preserve">LangChain Team</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006666"/>
                <w:sz w:val="18"/>
                <w:szCs w:val="18"/>
              </w:rPr>
              <w:t xml:space="preserve">URL / DOI</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hyperlink w:history="1" r:id="rIdrlnel1jkswrrkdztei0mt">
              <w:r>
                <w:rPr>
                  <w:rFonts w:ascii="Arial" w:cs="Arial" w:eastAsia="Arial" w:hAnsi="Arial"/>
                  <w:color w:val="2E75B6"/>
                  <w:sz w:val="16"/>
                  <w:szCs w:val="16"/>
                  <w:u w:val="single"/>
                </w:rPr>
                <w:t xml:space="preserve">https://langchain-ai.github.io/langgraph/</w:t>
              </w:r>
            </w:hyperlink>
            <w:r>
              <w:rPr>
                <w:rFonts w:ascii="Arial" w:cs="Arial" w:eastAsia="Arial" w:hAnsi="Arial"/>
                <w:color w:val="555555"/>
                <w:sz w:val="16"/>
                <w:szCs w:val="16"/>
              </w:rPr>
              <w:t xml:space="preserve">  |  GitHub: </w:t>
            </w:r>
            <w:hyperlink w:history="1" r:id="rIdu1rvmx3qolaiss9wgghzz">
              <w:r>
                <w:rPr>
                  <w:rFonts w:ascii="Arial" w:cs="Arial" w:eastAsia="Arial" w:hAnsi="Arial"/>
                  <w:color w:val="006666"/>
                  <w:sz w:val="16"/>
                  <w:szCs w:val="16"/>
                  <w:u w:val="single"/>
                </w:rPr>
                <w:t xml:space="preserve">https://github.com/langchain-ai/langgraph</w:t>
              </w:r>
            </w:hyperlink>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006666"/>
                <w:sz w:val="18"/>
                <w:szCs w:val="18"/>
              </w:rPr>
              <w:t xml:space="preserve">Descripción</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pPr>
              <w:jc w:val="both"/>
            </w:pPr>
            <w:r>
              <w:rPr>
                <w:rFonts w:ascii="Arial" w:cs="Arial" w:eastAsia="Arial" w:hAnsi="Arial"/>
                <w:color w:val="1A1A1A"/>
                <w:sz w:val="18"/>
                <w:szCs w:val="18"/>
              </w:rPr>
              <w:t xml:space="preserve">Framework para construir agentes y flujos multi-actor con estado persistente. Soporta threads, checkpoints por paso, stores JSON para memoria larga, recuperación de fallos, HITL (human-in-the-loop) y evaluación offline/online con LangSmith. Arquitectura de grafo dirigido para orquestar agentes complejos.</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006666"/>
                <w:sz w:val="18"/>
                <w:szCs w:val="18"/>
              </w:rPr>
              <w:t xml:space="preserve">Conclusiones clave</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pPr>
              <w:jc w:val="both"/>
            </w:pPr>
            <w:r>
              <w:rPr>
                <w:rFonts w:ascii="Arial" w:cs="Arial" w:eastAsia="Arial" w:hAnsi="Arial"/>
                <w:color w:val="1A1A1A"/>
                <w:sz w:val="18"/>
                <w:szCs w:val="18"/>
              </w:rPr>
              <w:t xml:space="preserve">Los threads y checkpoints permiten persistir y reanudar agentes con tolerancia a fallos. Las conversaciones largas incrementan costo y distraen al modelo con contenido viejo, justificando técnicas de compaction. Los stores JSON permiten separar working memory de long-term memory. Referencia de producción para la columna vertebral de estado en la tesis.</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006666"/>
                <w:sz w:val="18"/>
                <w:szCs w:val="18"/>
              </w:rPr>
              <w:t xml:space="preserve">Relevancia</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pPr>
              <w:jc w:val="both"/>
            </w:pPr>
            <w:r>
              <w:rPr>
                <w:rFonts w:ascii="Arial" w:cs="Arial" w:eastAsia="Arial" w:hAnsi="Arial"/>
                <w:i/>
                <w:iCs/>
                <w:color w:val="006666"/>
                <w:sz w:val="18"/>
                <w:szCs w:val="18"/>
              </w:rPr>
              <w:t xml:space="preserve">Plataforma de implementación principal para la arquitectura experimental de la tesis.</w:t>
            </w:r>
          </w:p>
        </w:tc>
      </w:tr>
    </w:tbl>
    <w:p>
      <w:pPr>
        <w:spacing w:after="60" w:before="60"/>
      </w:pPr>
      <w:r>
        <w:t xml:space="preserve"/>
      </w:r>
    </w:p>
    <w:tbl>
      <w:tblPr>
        <w:tblW w:type="dxa" w:w="13360"/>
        <w:tblBorders>
          <w:top w:val="single" w:color="auto" w:sz="4"/>
          <w:left w:val="single" w:color="auto" w:sz="4"/>
          <w:bottom w:val="single" w:color="auto" w:sz="4"/>
          <w:right w:val="single" w:color="auto" w:sz="4"/>
          <w:insideH w:val="single" w:color="auto" w:sz="4"/>
          <w:insideV w:val="single" w:color="auto" w:sz="4"/>
        </w:tblBorders>
      </w:tblPr>
      <w:tblGrid>
        <w:gridCol w:w="1000"/>
        <w:gridCol w:w="5180"/>
        <w:gridCol w:w="2280"/>
        <w:gridCol w:w="1500"/>
        <w:gridCol w:w="3400"/>
      </w:tblGrid>
      <w:tr>
        <w:tc>
          <w:tcPr>
            <w:tcW w:type="dxa" w:w="1000"/>
            <w:tcBorders>
              <w:top w:val="single" w:color="CCCCCC" w:sz="1"/>
              <w:left w:val="single" w:color="CCCCCC" w:sz="1"/>
              <w:bottom w:val="single" w:color="CCCCCC" w:sz="1"/>
              <w:right w:val="single" w:color="CCCCCC" w:sz="1"/>
            </w:tcBorders>
            <w:shd w:fill="006666" w:val="clear"/>
            <w:tcMar>
              <w:top w:type="dxa" w:w="80"/>
              <w:left w:type="dxa" w:w="100"/>
              <w:bottom w:type="dxa" w:w="80"/>
              <w:right w:type="dxa" w:w="100"/>
            </w:tcMar>
            <w:vAlign w:val="center"/>
          </w:tcPr>
          <w:p>
            <w:pPr>
              <w:jc w:val="center"/>
            </w:pPr>
            <w:r>
              <w:rPr>
                <w:rFonts w:ascii="Arial" w:cs="Arial" w:eastAsia="Arial" w:hAnsi="Arial"/>
                <w:b/>
                <w:bCs/>
                <w:color w:val="FFFFFF"/>
                <w:sz w:val="22"/>
                <w:szCs w:val="22"/>
              </w:rPr>
              <w:t xml:space="preserve">E03</w:t>
            </w:r>
          </w:p>
        </w:tc>
        <w:tc>
          <w:tcPr>
            <w:tcW w:type="dxa" w:w="51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006666"/>
                <w:sz w:val="20"/>
                <w:szCs w:val="20"/>
              </w:rPr>
              <w:t xml:space="preserve">OpenAI Agents SDK – Tool Filtering, MCP, Tracing</w:t>
            </w:r>
          </w:p>
        </w:tc>
        <w:tc>
          <w:tcPr>
            <w:tcW w:type="dxa" w:w="22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555555"/>
                <w:sz w:val="18"/>
                <w:szCs w:val="18"/>
              </w:rPr>
              <w:t xml:space="preserve">SDK / Documentación técnica</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center"/>
            </w:pPr>
            <w:r>
              <w:rPr>
                <w:rFonts w:ascii="Arial" w:cs="Arial" w:eastAsia="Arial" w:hAnsi="Arial"/>
                <w:b w:val="false"/>
                <w:bCs w:val="false"/>
                <w:color w:val="1A1A1A"/>
                <w:sz w:val="18"/>
                <w:szCs w:val="18"/>
              </w:rPr>
              <w:t xml:space="preserve">2024–2025 (documentación activa)</w:t>
            </w:r>
          </w:p>
        </w:tc>
        <w:tc>
          <w:tcPr>
            <w:tcW w:type="dxa" w:w="3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1A1A1A"/>
                <w:sz w:val="18"/>
                <w:szCs w:val="18"/>
              </w:rPr>
              <w:t xml:space="preserve">OpenAI</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006666"/>
                <w:sz w:val="18"/>
                <w:szCs w:val="18"/>
              </w:rPr>
              <w:t xml:space="preserve">Autores</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i/>
                <w:iCs/>
                <w:color w:val="1A1A1A"/>
                <w:sz w:val="18"/>
                <w:szCs w:val="18"/>
              </w:rPr>
              <w:t xml:space="preserve">OpenAI Team</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006666"/>
                <w:sz w:val="18"/>
                <w:szCs w:val="18"/>
              </w:rPr>
              <w:t xml:space="preserve">URL / DOI</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hyperlink w:history="1" r:id="rIdue_91kg1lf_mp2d1ed-cn">
              <w:r>
                <w:rPr>
                  <w:rFonts w:ascii="Arial" w:cs="Arial" w:eastAsia="Arial" w:hAnsi="Arial"/>
                  <w:color w:val="2E75B6"/>
                  <w:sz w:val="16"/>
                  <w:szCs w:val="16"/>
                  <w:u w:val="single"/>
                </w:rPr>
                <w:t xml:space="preserve">https://openai.github.io/openai-agents-python/</w:t>
              </w:r>
            </w:hyperlink>
            <w:r>
              <w:rPr>
                <w:rFonts w:ascii="Arial" w:cs="Arial" w:eastAsia="Arial" w:hAnsi="Arial"/>
                <w:color w:val="555555"/>
                <w:sz w:val="16"/>
                <w:szCs w:val="16"/>
              </w:rPr>
              <w:t xml:space="preserve">  |  GitHub: </w:t>
            </w:r>
            <w:hyperlink w:history="1" r:id="rIdunbhvjgnbd7na1dbqfmow">
              <w:r>
                <w:rPr>
                  <w:rFonts w:ascii="Arial" w:cs="Arial" w:eastAsia="Arial" w:hAnsi="Arial"/>
                  <w:color w:val="006666"/>
                  <w:sz w:val="16"/>
                  <w:szCs w:val="16"/>
                  <w:u w:val="single"/>
                </w:rPr>
                <w:t xml:space="preserve">https://github.com/openai/openai-agents-python</w:t>
              </w:r>
            </w:hyperlink>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006666"/>
                <w:sz w:val="18"/>
                <w:szCs w:val="18"/>
              </w:rPr>
              <w:t xml:space="preserve">Descripción</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color w:val="1A1A1A"/>
                <w:sz w:val="18"/>
                <w:szCs w:val="18"/>
              </w:rPr>
              <w:t xml:space="preserve">SDK para construir agentes con soporte a tool filtering estático y dinámico, HostedMCPTool con filtros y aprobaciones, ToolSearchTool para búsqueda semántica sobre catálogos de tools, deferred loading, sesiones, usage y tracing. Soporta compaction de conversaciones largas.</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006666"/>
                <w:sz w:val="18"/>
                <w:szCs w:val="18"/>
              </w:rPr>
              <w:t xml:space="preserve">Conclusiones clave</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color w:val="1A1A1A"/>
                <w:sz w:val="18"/>
                <w:szCs w:val="18"/>
              </w:rPr>
              <w:t xml:space="preserve">El tool gating con filtros allowlist/denylist y el ToolSearchTool son las técnicas más directamente aplicables al problema de catálogos grandes de tools. El prompt caching y la compaction reducen latencia y costo en conversaciones largas. Usage y tracing permiten observabilidad granular por turno y paso.</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006666"/>
                <w:sz w:val="18"/>
                <w:szCs w:val="18"/>
              </w:rPr>
              <w:t xml:space="preserve">Relevancia</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i/>
                <w:iCs/>
                <w:color w:val="006666"/>
                <w:sz w:val="18"/>
                <w:szCs w:val="18"/>
              </w:rPr>
              <w:t xml:space="preserve">Fuente de patrones de implementación para tool gating, deferred loading y métricas de tokens en la tesis.</w:t>
            </w:r>
          </w:p>
        </w:tc>
      </w:tr>
    </w:tbl>
    <w:p>
      <w:pPr>
        <w:spacing w:after="60" w:before="60"/>
      </w:pPr>
      <w:r>
        <w:t xml:space="preserve"/>
      </w:r>
    </w:p>
    <w:tbl>
      <w:tblPr>
        <w:tblW w:type="dxa" w:w="13360"/>
        <w:tblBorders>
          <w:top w:val="single" w:color="auto" w:sz="4"/>
          <w:left w:val="single" w:color="auto" w:sz="4"/>
          <w:bottom w:val="single" w:color="auto" w:sz="4"/>
          <w:right w:val="single" w:color="auto" w:sz="4"/>
          <w:insideH w:val="single" w:color="auto" w:sz="4"/>
          <w:insideV w:val="single" w:color="auto" w:sz="4"/>
        </w:tblBorders>
      </w:tblPr>
      <w:tblGrid>
        <w:gridCol w:w="1000"/>
        <w:gridCol w:w="5180"/>
        <w:gridCol w:w="2280"/>
        <w:gridCol w:w="1500"/>
        <w:gridCol w:w="3400"/>
      </w:tblGrid>
      <w:tr>
        <w:tc>
          <w:tcPr>
            <w:tcW w:type="dxa" w:w="1000"/>
            <w:tcBorders>
              <w:top w:val="single" w:color="CCCCCC" w:sz="1"/>
              <w:left w:val="single" w:color="CCCCCC" w:sz="1"/>
              <w:bottom w:val="single" w:color="CCCCCC" w:sz="1"/>
              <w:right w:val="single" w:color="CCCCCC" w:sz="1"/>
            </w:tcBorders>
            <w:shd w:fill="006666" w:val="clear"/>
            <w:tcMar>
              <w:top w:type="dxa" w:w="80"/>
              <w:left w:type="dxa" w:w="100"/>
              <w:bottom w:type="dxa" w:w="80"/>
              <w:right w:type="dxa" w:w="100"/>
            </w:tcMar>
            <w:vAlign w:val="center"/>
          </w:tcPr>
          <w:p>
            <w:pPr>
              <w:jc w:val="center"/>
            </w:pPr>
            <w:r>
              <w:rPr>
                <w:rFonts w:ascii="Arial" w:cs="Arial" w:eastAsia="Arial" w:hAnsi="Arial"/>
                <w:b/>
                <w:bCs/>
                <w:color w:val="FFFFFF"/>
                <w:sz w:val="22"/>
                <w:szCs w:val="22"/>
              </w:rPr>
              <w:t xml:space="preserve">E04</w:t>
            </w:r>
          </w:p>
        </w:tc>
        <w:tc>
          <w:tcPr>
            <w:tcW w:type="dxa" w:w="51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006666"/>
                <w:sz w:val="20"/>
                <w:szCs w:val="20"/>
              </w:rPr>
              <w:t xml:space="preserve">LlamaIndex – Router Retriever, Federated Retrieval, Auto-Merging</w:t>
            </w:r>
          </w:p>
        </w:tc>
        <w:tc>
          <w:tcPr>
            <w:tcW w:type="dxa" w:w="22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555555"/>
                <w:sz w:val="18"/>
                <w:szCs w:val="18"/>
              </w:rPr>
              <w:t xml:space="preserve">Framework OSS / Documentación técnica</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center"/>
            </w:pPr>
            <w:r>
              <w:rPr>
                <w:rFonts w:ascii="Arial" w:cs="Arial" w:eastAsia="Arial" w:hAnsi="Arial"/>
                <w:b w:val="false"/>
                <w:bCs w:val="false"/>
                <w:color w:val="1A1A1A"/>
                <w:sz w:val="18"/>
                <w:szCs w:val="18"/>
              </w:rPr>
              <w:t xml:space="preserve">2023–2025 (documentación activa)</w:t>
            </w:r>
          </w:p>
        </w:tc>
        <w:tc>
          <w:tcPr>
            <w:tcW w:type="dxa" w:w="3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1A1A1A"/>
                <w:sz w:val="18"/>
                <w:szCs w:val="18"/>
              </w:rPr>
              <w:t xml:space="preserve">LlamaIndex Inc.</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006666"/>
                <w:sz w:val="18"/>
                <w:szCs w:val="18"/>
              </w:rPr>
              <w:t xml:space="preserve">Autores</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r>
              <w:rPr>
                <w:rFonts w:ascii="Arial" w:cs="Arial" w:eastAsia="Arial" w:hAnsi="Arial"/>
                <w:i/>
                <w:iCs/>
                <w:color w:val="1A1A1A"/>
                <w:sz w:val="18"/>
                <w:szCs w:val="18"/>
              </w:rPr>
              <w:t xml:space="preserve">LlamaIndex Team</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006666"/>
                <w:sz w:val="18"/>
                <w:szCs w:val="18"/>
              </w:rPr>
              <w:t xml:space="preserve">URL / DOI</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hyperlink w:history="1" r:id="rIde_uqhajx45x8gzsc7gq1a">
              <w:r>
                <w:rPr>
                  <w:rFonts w:ascii="Arial" w:cs="Arial" w:eastAsia="Arial" w:hAnsi="Arial"/>
                  <w:color w:val="2E75B6"/>
                  <w:sz w:val="16"/>
                  <w:szCs w:val="16"/>
                  <w:u w:val="single"/>
                </w:rPr>
                <w:t xml:space="preserve">https://docs.llamaindex.ai/</w:t>
              </w:r>
            </w:hyperlink>
            <w:r>
              <w:rPr>
                <w:rFonts w:ascii="Arial" w:cs="Arial" w:eastAsia="Arial" w:hAnsi="Arial"/>
                <w:color w:val="555555"/>
                <w:sz w:val="16"/>
                <w:szCs w:val="16"/>
              </w:rPr>
              <w:t xml:space="preserve">  |  GitHub: </w:t>
            </w:r>
            <w:hyperlink w:history="1" r:id="rIderkqrn4_hagtiaw_q8qcq">
              <w:r>
                <w:rPr>
                  <w:rFonts w:ascii="Arial" w:cs="Arial" w:eastAsia="Arial" w:hAnsi="Arial"/>
                  <w:color w:val="006666"/>
                  <w:sz w:val="16"/>
                  <w:szCs w:val="16"/>
                  <w:u w:val="single"/>
                </w:rPr>
                <w:t xml:space="preserve">https://github.com/run-llama/llama_index</w:t>
              </w:r>
            </w:hyperlink>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006666"/>
                <w:sz w:val="18"/>
                <w:szCs w:val="18"/>
              </w:rPr>
              <w:t xml:space="preserve">Descripción</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pPr>
              <w:jc w:val="both"/>
            </w:pPr>
            <w:r>
              <w:rPr>
                <w:rFonts w:ascii="Arial" w:cs="Arial" w:eastAsia="Arial" w:hAnsi="Arial"/>
                <w:color w:val="1A1A1A"/>
                <w:sz w:val="18"/>
                <w:szCs w:val="18"/>
              </w:rPr>
              <w:t xml:space="preserve">Framework para recuperación avanzada que incluye RouterRetriever (selección de índice por consulta), SubQuestionQueryEngine (decomposición de consultas complejas), AutoMergingRetriever (recuperación jerárquica padre-hijo) y fusión con Reciprocal Rerank Fusion.</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006666"/>
                <w:sz w:val="18"/>
                <w:szCs w:val="18"/>
              </w:rPr>
              <w:t xml:space="preserve">Conclusiones clave</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pPr>
              <w:jc w:val="both"/>
            </w:pPr>
            <w:r>
              <w:rPr>
                <w:rFonts w:ascii="Arial" w:cs="Arial" w:eastAsia="Arial" w:hAnsi="Arial"/>
                <w:color w:val="1A1A1A"/>
                <w:sz w:val="18"/>
                <w:szCs w:val="18"/>
              </w:rPr>
              <w:t xml:space="preserve">La combinación de router + sub-question engine permite recuperación federada multi-fuente sin centralizar ruido. El AutoMergingRetriever mejora la síntesis de información fragmentada. Es la pieza más fuerte para un broker de retrieval federado en arquitecturas multi-MCP.</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006666"/>
                <w:sz w:val="18"/>
                <w:szCs w:val="18"/>
              </w:rPr>
              <w:t xml:space="preserve">Relevancia</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pPr>
              <w:jc w:val="both"/>
            </w:pPr>
            <w:r>
              <w:rPr>
                <w:rFonts w:ascii="Arial" w:cs="Arial" w:eastAsia="Arial" w:hAnsi="Arial"/>
                <w:i/>
                <w:iCs/>
                <w:color w:val="006666"/>
                <w:sz w:val="18"/>
                <w:szCs w:val="18"/>
              </w:rPr>
              <w:t xml:space="preserve">Broker de recuperación federada: capa central del diseño arquitectónico experimental de la tesis.</w:t>
            </w:r>
          </w:p>
        </w:tc>
      </w:tr>
    </w:tbl>
    <w:p>
      <w:pPr>
        <w:spacing w:after="60" w:before="60"/>
      </w:pPr>
      <w:r>
        <w:t xml:space="preserve"/>
      </w:r>
    </w:p>
    <w:tbl>
      <w:tblPr>
        <w:tblW w:type="dxa" w:w="13360"/>
        <w:tblBorders>
          <w:top w:val="single" w:color="auto" w:sz="4"/>
          <w:left w:val="single" w:color="auto" w:sz="4"/>
          <w:bottom w:val="single" w:color="auto" w:sz="4"/>
          <w:right w:val="single" w:color="auto" w:sz="4"/>
          <w:insideH w:val="single" w:color="auto" w:sz="4"/>
          <w:insideV w:val="single" w:color="auto" w:sz="4"/>
        </w:tblBorders>
      </w:tblPr>
      <w:tblGrid>
        <w:gridCol w:w="1000"/>
        <w:gridCol w:w="5180"/>
        <w:gridCol w:w="2280"/>
        <w:gridCol w:w="1500"/>
        <w:gridCol w:w="3400"/>
      </w:tblGrid>
      <w:tr>
        <w:tc>
          <w:tcPr>
            <w:tcW w:type="dxa" w:w="1000"/>
            <w:tcBorders>
              <w:top w:val="single" w:color="CCCCCC" w:sz="1"/>
              <w:left w:val="single" w:color="CCCCCC" w:sz="1"/>
              <w:bottom w:val="single" w:color="CCCCCC" w:sz="1"/>
              <w:right w:val="single" w:color="CCCCCC" w:sz="1"/>
            </w:tcBorders>
            <w:shd w:fill="006666" w:val="clear"/>
            <w:tcMar>
              <w:top w:type="dxa" w:w="80"/>
              <w:left w:type="dxa" w:w="100"/>
              <w:bottom w:type="dxa" w:w="80"/>
              <w:right w:type="dxa" w:w="100"/>
            </w:tcMar>
            <w:vAlign w:val="center"/>
          </w:tcPr>
          <w:p>
            <w:pPr>
              <w:jc w:val="center"/>
            </w:pPr>
            <w:r>
              <w:rPr>
                <w:rFonts w:ascii="Arial" w:cs="Arial" w:eastAsia="Arial" w:hAnsi="Arial"/>
                <w:b/>
                <w:bCs/>
                <w:color w:val="FFFFFF"/>
                <w:sz w:val="22"/>
                <w:szCs w:val="22"/>
              </w:rPr>
              <w:t xml:space="preserve">E05</w:t>
            </w:r>
          </w:p>
        </w:tc>
        <w:tc>
          <w:tcPr>
            <w:tcW w:type="dxa" w:w="51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006666"/>
                <w:sz w:val="20"/>
                <w:szCs w:val="20"/>
              </w:rPr>
              <w:t xml:space="preserve">Letta (MemGPT Platform) – Stateful Agents with Memory Blocks</w:t>
            </w:r>
          </w:p>
        </w:tc>
        <w:tc>
          <w:tcPr>
            <w:tcW w:type="dxa" w:w="22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555555"/>
                <w:sz w:val="18"/>
                <w:szCs w:val="18"/>
              </w:rPr>
              <w:t xml:space="preserve">Plataforma / Framework OSS</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center"/>
            </w:pPr>
            <w:r>
              <w:rPr>
                <w:rFonts w:ascii="Arial" w:cs="Arial" w:eastAsia="Arial" w:hAnsi="Arial"/>
                <w:b w:val="false"/>
                <w:bCs w:val="false"/>
                <w:color w:val="1A1A1A"/>
                <w:sz w:val="18"/>
                <w:szCs w:val="18"/>
              </w:rPr>
              <w:t xml:space="preserve">2024–2025 (plataforma activa)</w:t>
            </w:r>
          </w:p>
        </w:tc>
        <w:tc>
          <w:tcPr>
            <w:tcW w:type="dxa" w:w="3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1A1A1A"/>
                <w:sz w:val="18"/>
                <w:szCs w:val="18"/>
              </w:rPr>
              <w:t xml:space="preserve">Letta AI</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006666"/>
                <w:sz w:val="18"/>
                <w:szCs w:val="18"/>
              </w:rPr>
              <w:t xml:space="preserve">Autores</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i/>
                <w:iCs/>
                <w:color w:val="1A1A1A"/>
                <w:sz w:val="18"/>
                <w:szCs w:val="18"/>
              </w:rPr>
              <w:t xml:space="preserve">Charles Packer y equipo Letta</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006666"/>
                <w:sz w:val="18"/>
                <w:szCs w:val="18"/>
              </w:rPr>
              <w:t xml:space="preserve">URL / DOI</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hyperlink w:history="1" r:id="rIdiwzuedhekn27e3dbsyoua">
              <w:r>
                <w:rPr>
                  <w:rFonts w:ascii="Arial" w:cs="Arial" w:eastAsia="Arial" w:hAnsi="Arial"/>
                  <w:color w:val="2E75B6"/>
                  <w:sz w:val="16"/>
                  <w:szCs w:val="16"/>
                  <w:u w:val="single"/>
                </w:rPr>
                <w:t xml:space="preserve">https://docs.letta.com/</w:t>
              </w:r>
            </w:hyperlink>
            <w:r>
              <w:rPr>
                <w:rFonts w:ascii="Arial" w:cs="Arial" w:eastAsia="Arial" w:hAnsi="Arial"/>
                <w:color w:val="555555"/>
                <w:sz w:val="16"/>
                <w:szCs w:val="16"/>
              </w:rPr>
              <w:t xml:space="preserve">  |  GitHub: </w:t>
            </w:r>
            <w:hyperlink w:history="1" r:id="rIdkvgzokqgm_5aiycrso28a">
              <w:r>
                <w:rPr>
                  <w:rFonts w:ascii="Arial" w:cs="Arial" w:eastAsia="Arial" w:hAnsi="Arial"/>
                  <w:color w:val="006666"/>
                  <w:sz w:val="16"/>
                  <w:szCs w:val="16"/>
                  <w:u w:val="single"/>
                </w:rPr>
                <w:t xml:space="preserve">https://github.com/letta-ai/letta</w:t>
              </w:r>
            </w:hyperlink>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006666"/>
                <w:sz w:val="18"/>
                <w:szCs w:val="18"/>
              </w:rPr>
              <w:t xml:space="preserve">Descripción</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color w:val="1A1A1A"/>
                <w:sz w:val="18"/>
                <w:szCs w:val="18"/>
              </w:rPr>
              <w:t xml:space="preserve">Plataforma de producción derivada de MemGPT que implementa agentes realmente stateful con memory blocks siempre visibles en contexto, subagentes y mejora continua. Soporta core memory (siempre en contexto), archival memory (recuperable) y recall memory (historial de conversación).</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006666"/>
                <w:sz w:val="18"/>
                <w:szCs w:val="18"/>
              </w:rPr>
              <w:t xml:space="preserve">Conclusiones clave</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color w:val="1A1A1A"/>
                <w:sz w:val="18"/>
                <w:szCs w:val="18"/>
              </w:rPr>
              <w:t xml:space="preserve">Los memory blocks explícitos (persona, humano, sistema) garantizan que cierta información siempre esté disponible al modelo sin recuperación. La separación entre memoria siempre-visible y recuperable bajo demanda es el patrón correcto para gestionar memoria emocional vs. operacional.</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006666"/>
                <w:sz w:val="18"/>
                <w:szCs w:val="18"/>
              </w:rPr>
              <w:t xml:space="preserve">Relevancia</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i/>
                <w:iCs/>
                <w:color w:val="006666"/>
                <w:sz w:val="18"/>
                <w:szCs w:val="18"/>
              </w:rPr>
              <w:t xml:space="preserve">Referencia para el diseño de bloques de memoria estructurada (perfil, preferencias, estado afectivo).</w:t>
            </w:r>
          </w:p>
        </w:tc>
      </w:tr>
    </w:tbl>
    <w:p>
      <w:pPr>
        <w:spacing w:after="60" w:before="60"/>
      </w:pPr>
      <w:r>
        <w:t xml:space="preserve"/>
      </w:r>
    </w:p>
    <w:p>
      <w:pPr>
        <w:pStyle w:val="Heading2"/>
        <w:spacing w:after="120" w:before="240"/>
      </w:pPr>
      <w:r>
        <w:rPr>
          <w:rFonts w:ascii="Arial" w:cs="Arial" w:eastAsia="Arial" w:hAnsi="Arial"/>
          <w:b/>
          <w:bCs/>
          <w:color w:val="2E75B6"/>
          <w:sz w:val="24"/>
          <w:szCs w:val="24"/>
        </w:rPr>
        <w:t xml:space="preserve">Categoría G: Casos de Producción (Evidencia Industrial)</w:t>
      </w:r>
    </w:p>
    <w:tbl>
      <w:tblPr>
        <w:tblW w:type="dxa" w:w="13360"/>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2280"/>
        <w:gridCol w:w="3680"/>
        <w:gridCol w:w="3400"/>
      </w:tblGrid>
      <w:tr>
        <w:tc>
          <w:tcPr>
            <w:tcW w:type="dxa" w:w="1000"/>
          </w:tcPr>
          <w:p>
            <w:r>
              <w:rPr>
                <w:rFonts w:ascii="Arial" w:cs="Arial" w:hAnsi="Arial"/>
                <w:b/>
                <w:color w:val="2E75B6"/>
                <w:sz w:val="18"/>
              </w:rPr>
              <w:t>ID</w:t>
            </w:r>
          </w:p>
        </w:tc>
        <w:tc>
          <w:tcPr>
            <w:tcW w:type="dxa" w:w="3000"/>
          </w:tcPr>
          <w:p>
            <w:r>
              <w:rPr>
                <w:rFonts w:ascii="Arial" w:cs="Arial" w:hAnsi="Arial"/>
                <w:b/>
                <w:color w:val="2E75B6"/>
                <w:sz w:val="18"/>
              </w:rPr>
              <w:t>Fuente</w:t>
            </w:r>
          </w:p>
        </w:tc>
        <w:tc>
          <w:tcPr>
            <w:tcW w:type="dxa" w:w="2280"/>
          </w:tcPr>
          <w:p>
            <w:r>
              <w:rPr>
                <w:rFonts w:ascii="Arial" w:cs="Arial" w:hAnsi="Arial"/>
                <w:b/>
                <w:color w:val="2E75B6"/>
                <w:sz w:val="18"/>
              </w:rPr>
              <w:t>Tipo</w:t>
            </w:r>
          </w:p>
        </w:tc>
        <w:tc>
          <w:tcPr>
            <w:tcW w:type="dxa" w:w="3680"/>
          </w:tcPr>
          <w:p>
            <w:r>
              <w:rPr>
                <w:rFonts w:ascii="Arial" w:cs="Arial" w:hAnsi="Arial"/>
                <w:b/>
                <w:color w:val="2E75B6"/>
                <w:sz w:val="18"/>
              </w:rPr>
              <w:t>Hallazgo clave</w:t>
            </w:r>
          </w:p>
        </w:tc>
        <w:tc>
          <w:tcPr>
            <w:tcW w:type="dxa" w:w="3400"/>
          </w:tcPr>
          <w:p>
            <w:r>
              <w:rPr>
                <w:rFonts w:ascii="Arial" w:cs="Arial" w:hAnsi="Arial"/>
                <w:b/>
                <w:color w:val="2E75B6"/>
                <w:sz w:val="18"/>
              </w:rPr>
              <w:t>Relevancia para la tesis</w:t>
            </w:r>
          </w:p>
        </w:tc>
      </w:tr>
      <w:tr>
        <w:tc>
          <w:tcPr>
            <w:tcW w:type="dxa" w:w="1000"/>
          </w:tcPr>
          <w:p>
            <w:r>
              <w:rPr>
                <w:rFonts w:ascii="Arial" w:cs="Arial" w:hAnsi="Arial"/>
                <w:sz w:val="18"/>
              </w:rPr>
              <w:t>G-01</w:t>
            </w:r>
          </w:p>
        </w:tc>
        <w:tc>
          <w:tcPr>
            <w:tcW w:type="dxa" w:w="3000"/>
          </w:tcPr>
          <w:p>
            <w:r>
              <w:rPr>
                <w:rFonts w:ascii="Arial" w:cs="Arial" w:hAnsi="Arial"/>
                <w:sz w:val="18"/>
              </w:rPr>
              <w:t xml:space="preserve">Vercel. (2025, diciembre). We removed 80% of our agent’s tools. Vercel Engineering Blog. https://vercel.com/blog/we-removed-80-percent-of-our-agents-tools</w:t>
            </w:r>
          </w:p>
        </w:tc>
        <w:tc>
          <w:tcPr>
            <w:tcW w:type="dxa" w:w="2280"/>
          </w:tcPr>
          <w:p>
            <w:r>
              <w:rPr>
                <w:rFonts w:ascii="Arial" w:cs="Arial" w:hAnsi="Arial"/>
                <w:sz w:val="18"/>
              </w:rPr>
              <w:t>Caso de producción (blog técnico)</w:t>
            </w:r>
          </w:p>
        </w:tc>
        <w:tc>
          <w:tcPr>
            <w:tcW w:type="dxa" w:w="3680"/>
          </w:tcPr>
          <w:p>
            <w:r>
              <w:rPr>
                <w:rFonts w:ascii="Arial" w:cs="Arial" w:hAnsi="Arial"/>
                <w:sz w:val="18"/>
              </w:rPr>
              <w:t xml:space="preserve">Agente d0 (text-to-SQL): reducción de 17–18 herramientas a conjunto mínimo. Tasa de éxito: 80%→100%. Tokens: −37%. Velocidad: 3.5×. Pasos: −42%.</w:t>
            </w:r>
          </w:p>
        </w:tc>
        <w:tc>
          <w:tcPr>
            <w:tcW w:type="dxa" w:w="3400"/>
          </w:tcPr>
          <w:p>
            <w:r>
              <w:rPr>
                <w:rFonts w:ascii="Arial" w:cs="Arial" w:hAnsi="Arial"/>
                <w:i/>
                <w:color w:val="006666"/>
                <w:sz w:val="18"/>
              </w:rPr>
              <w:t xml:space="preserve">Evidencia industrial del tool overload. Valida la dirección del efecto esperado en HE3. Contrasta enfoque estático (Vercel) vs. dinámico (RAG-MCP) estudiado en la tesis.</w:t>
            </w:r>
          </w:p>
        </w:tc>
      </w:tr>
    </w:tbl>
    <w:p>
      <w:pPr>
        <w:spacing w:after="60" w:before="60"/>
      </w:pPr>
      <w:r>
        <w:t xml:space="preserve"/>
      </w:r>
    </w:p>
    <w:p>
      <w:r>
        <w:br w:type="page"/>
      </w:r>
    </w:p>
    <w:p>
      <w:pPr>
        <w:pStyle w:val="Heading2"/>
        <w:spacing w:after="120" w:before="240"/>
      </w:pPr>
      <w:r>
        <w:rPr>
          <w:rFonts w:ascii="Arial" w:cs="Arial" w:eastAsia="Arial" w:hAnsi="Arial"/>
          <w:b/>
          <w:bCs/>
          <w:color w:val="2E75B6"/>
          <w:sz w:val="24"/>
          <w:szCs w:val="24"/>
        </w:rPr>
        <w:t xml:space="preserve">Categoría F: Herramientas de Evaluación y Observabilidad</w:t>
      </w:r>
    </w:p>
    <w:tbl>
      <w:tblPr>
        <w:tblW w:type="dxa" w:w="13360"/>
        <w:tblBorders>
          <w:top w:val="single" w:color="auto" w:sz="4"/>
          <w:left w:val="single" w:color="auto" w:sz="4"/>
          <w:bottom w:val="single" w:color="auto" w:sz="4"/>
          <w:right w:val="single" w:color="auto" w:sz="4"/>
          <w:insideH w:val="single" w:color="auto" w:sz="4"/>
          <w:insideV w:val="single" w:color="auto" w:sz="4"/>
        </w:tblBorders>
      </w:tblPr>
      <w:tblGrid>
        <w:gridCol w:w="1000"/>
        <w:gridCol w:w="5180"/>
        <w:gridCol w:w="2280"/>
        <w:gridCol w:w="1500"/>
        <w:gridCol w:w="3400"/>
      </w:tblGrid>
      <w:tr>
        <w:tc>
          <w:tcPr>
            <w:tcW w:type="dxa" w:w="1000"/>
            <w:tcBorders>
              <w:top w:val="single" w:color="CCCCCC" w:sz="1"/>
              <w:left w:val="single" w:color="CCCCCC" w:sz="1"/>
              <w:bottom w:val="single" w:color="CCCCCC" w:sz="1"/>
              <w:right w:val="single" w:color="CCCCCC" w:sz="1"/>
            </w:tcBorders>
            <w:shd w:fill="555555" w:val="clear"/>
            <w:tcMar>
              <w:top w:type="dxa" w:w="80"/>
              <w:left w:type="dxa" w:w="100"/>
              <w:bottom w:type="dxa" w:w="80"/>
              <w:right w:type="dxa" w:w="100"/>
            </w:tcMar>
            <w:vAlign w:val="center"/>
          </w:tcPr>
          <w:p>
            <w:pPr>
              <w:jc w:val="center"/>
            </w:pPr>
            <w:r>
              <w:rPr>
                <w:rFonts w:ascii="Arial" w:cs="Arial" w:eastAsia="Arial" w:hAnsi="Arial"/>
                <w:b/>
                <w:bCs/>
                <w:color w:val="FFFFFF"/>
                <w:sz w:val="22"/>
                <w:szCs w:val="22"/>
              </w:rPr>
              <w:t xml:space="preserve">F01</w:t>
            </w:r>
          </w:p>
        </w:tc>
        <w:tc>
          <w:tcPr>
            <w:tcW w:type="dxa" w:w="51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555555"/>
                <w:sz w:val="20"/>
                <w:szCs w:val="20"/>
              </w:rPr>
              <w:t xml:space="preserve">Ragas: Automated Evaluation of Retrieval Augmented Generation</w:t>
            </w:r>
          </w:p>
        </w:tc>
        <w:tc>
          <w:tcPr>
            <w:tcW w:type="dxa" w:w="22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555555"/>
                <w:sz w:val="18"/>
                <w:szCs w:val="18"/>
              </w:rPr>
              <w:t xml:space="preserve">Paper + Framework OSS</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center"/>
            </w:pPr>
            <w:r>
              <w:rPr>
                <w:rFonts w:ascii="Arial" w:cs="Arial" w:eastAsia="Arial" w:hAnsi="Arial"/>
                <w:b w:val="false"/>
                <w:bCs w:val="false"/>
                <w:color w:val="1A1A1A"/>
                <w:sz w:val="18"/>
                <w:szCs w:val="18"/>
              </w:rPr>
              <w:t xml:space="preserve">2023–2025</w:t>
            </w:r>
          </w:p>
        </w:tc>
        <w:tc>
          <w:tcPr>
            <w:tcW w:type="dxa" w:w="3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1A1A1A"/>
                <w:sz w:val="18"/>
                <w:szCs w:val="18"/>
              </w:rPr>
              <w:t xml:space="preserve">Cardiff University / Explodinggradients</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555555"/>
                <w:sz w:val="18"/>
                <w:szCs w:val="18"/>
              </w:rPr>
              <w:t xml:space="preserve">Autores</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i/>
                <w:iCs/>
                <w:color w:val="1A1A1A"/>
                <w:sz w:val="18"/>
                <w:szCs w:val="18"/>
              </w:rPr>
              <w:t xml:space="preserve">Shahul Es, Jithin James, Luis Espinosa Anke, Steven Schockaert</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555555"/>
                <w:sz w:val="18"/>
                <w:szCs w:val="18"/>
              </w:rPr>
              <w:t xml:space="preserve">URL / DOI</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hyperlink w:history="1" r:id="rId8bozt84g-lbtoaknwhski">
              <w:r>
                <w:rPr>
                  <w:rFonts w:ascii="Arial" w:cs="Arial" w:eastAsia="Arial" w:hAnsi="Arial"/>
                  <w:color w:val="2E75B6"/>
                  <w:sz w:val="16"/>
                  <w:szCs w:val="16"/>
                  <w:u w:val="single"/>
                </w:rPr>
                <w:t xml:space="preserve">https://arxiv.org/abs/2309.15217</w:t>
              </w:r>
            </w:hyperlink>
            <w:r>
              <w:rPr>
                <w:rFonts w:ascii="Arial" w:cs="Arial" w:eastAsia="Arial" w:hAnsi="Arial"/>
                <w:color w:val="555555"/>
                <w:sz w:val="16"/>
                <w:szCs w:val="16"/>
              </w:rPr>
              <w:t xml:space="preserve">  |  GitHub: </w:t>
            </w:r>
            <w:hyperlink w:history="1" r:id="rIdiaymd7h8ybqw4o2cgjstp">
              <w:r>
                <w:rPr>
                  <w:rFonts w:ascii="Arial" w:cs="Arial" w:eastAsia="Arial" w:hAnsi="Arial"/>
                  <w:color w:val="006666"/>
                  <w:sz w:val="16"/>
                  <w:szCs w:val="16"/>
                  <w:u w:val="single"/>
                </w:rPr>
                <w:t xml:space="preserve">https://github.com/explodinggradients/ragas</w:t>
              </w:r>
            </w:hyperlink>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555555"/>
                <w:sz w:val="18"/>
                <w:szCs w:val="18"/>
              </w:rPr>
              <w:t xml:space="preserve">Descripción</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color w:val="1A1A1A"/>
                <w:sz w:val="18"/>
                <w:szCs w:val="18"/>
              </w:rPr>
              <w:t xml:space="preserve">Framework de evaluación automatizada para sistemas RAG y agentes. Provee métricas de: context precision, context recall, faithfulness, answer relevancy, noise sensitivity, y métricas para agentes (tool call accuracy, step correctness). Soporta evaluación offline con datasets y online con trazas reales.</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555555"/>
                <w:sz w:val="18"/>
                <w:szCs w:val="18"/>
              </w:rPr>
              <w:t xml:space="preserve">Conclusiones clave</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color w:val="1A1A1A"/>
                <w:sz w:val="18"/>
                <w:szCs w:val="18"/>
              </w:rPr>
              <w:t xml:space="preserve">La evaluación automática de RAG con jueces LLM es comparable a la evaluación humana en varias métricas. La separación entre métricas de recuperación (precision/recall de contexto) y generación (faithfulness/relevancy) permite identificar dónde está el cuello de botella. Framework de referencia para la fase de evaluación experimental.</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555555"/>
                <w:sz w:val="18"/>
                <w:szCs w:val="18"/>
              </w:rPr>
              <w:t xml:space="preserve">Relevancia</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i/>
                <w:iCs/>
                <w:color w:val="555555"/>
                <w:sz w:val="18"/>
                <w:szCs w:val="18"/>
              </w:rPr>
              <w:t xml:space="preserve">Suite de evaluación principal para las métricas de retrieval y generación en los experimentos de la tesis.</w:t>
            </w:r>
          </w:p>
        </w:tc>
      </w:tr>
    </w:tbl>
    <w:p>
      <w:pPr>
        <w:spacing w:after="60" w:before="60"/>
      </w:pPr>
      <w:r>
        <w:t xml:space="preserve"/>
      </w:r>
    </w:p>
    <w:tbl>
      <w:tblPr>
        <w:tblW w:type="dxa" w:w="13360"/>
        <w:tblBorders>
          <w:top w:val="single" w:color="auto" w:sz="4"/>
          <w:left w:val="single" w:color="auto" w:sz="4"/>
          <w:bottom w:val="single" w:color="auto" w:sz="4"/>
          <w:right w:val="single" w:color="auto" w:sz="4"/>
          <w:insideH w:val="single" w:color="auto" w:sz="4"/>
          <w:insideV w:val="single" w:color="auto" w:sz="4"/>
        </w:tblBorders>
      </w:tblPr>
      <w:tblGrid>
        <w:gridCol w:w="1000"/>
        <w:gridCol w:w="5180"/>
        <w:gridCol w:w="2280"/>
        <w:gridCol w:w="1500"/>
        <w:gridCol w:w="3400"/>
      </w:tblGrid>
      <w:tr>
        <w:tc>
          <w:tcPr>
            <w:tcW w:type="dxa" w:w="1000"/>
            <w:tcBorders>
              <w:top w:val="single" w:color="CCCCCC" w:sz="1"/>
              <w:left w:val="single" w:color="CCCCCC" w:sz="1"/>
              <w:bottom w:val="single" w:color="CCCCCC" w:sz="1"/>
              <w:right w:val="single" w:color="CCCCCC" w:sz="1"/>
            </w:tcBorders>
            <w:shd w:fill="555555" w:val="clear"/>
            <w:tcMar>
              <w:top w:type="dxa" w:w="80"/>
              <w:left w:type="dxa" w:w="100"/>
              <w:bottom w:type="dxa" w:w="80"/>
              <w:right w:type="dxa" w:w="100"/>
            </w:tcMar>
            <w:vAlign w:val="center"/>
          </w:tcPr>
          <w:p>
            <w:pPr>
              <w:jc w:val="center"/>
            </w:pPr>
            <w:r>
              <w:rPr>
                <w:rFonts w:ascii="Arial" w:cs="Arial" w:eastAsia="Arial" w:hAnsi="Arial"/>
                <w:b/>
                <w:bCs/>
                <w:color w:val="FFFFFF"/>
                <w:sz w:val="22"/>
                <w:szCs w:val="22"/>
              </w:rPr>
              <w:t xml:space="preserve">F02</w:t>
            </w:r>
          </w:p>
        </w:tc>
        <w:tc>
          <w:tcPr>
            <w:tcW w:type="dxa" w:w="51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555555"/>
                <w:sz w:val="20"/>
                <w:szCs w:val="20"/>
              </w:rPr>
              <w:t xml:space="preserve">LangSmith – LLM Application Evaluation and Observability</w:t>
            </w:r>
          </w:p>
        </w:tc>
        <w:tc>
          <w:tcPr>
            <w:tcW w:type="dxa" w:w="22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555555"/>
                <w:sz w:val="18"/>
                <w:szCs w:val="18"/>
              </w:rPr>
              <w:t xml:space="preserve">Plataforma / Documentación técnica</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center"/>
            </w:pPr>
            <w:r>
              <w:rPr>
                <w:rFonts w:ascii="Arial" w:cs="Arial" w:eastAsia="Arial" w:hAnsi="Arial"/>
                <w:b w:val="false"/>
                <w:bCs w:val="false"/>
                <w:color w:val="1A1A1A"/>
                <w:sz w:val="18"/>
                <w:szCs w:val="18"/>
              </w:rPr>
              <w:t xml:space="preserve">2023–2025 (plataforma activa)</w:t>
            </w:r>
          </w:p>
        </w:tc>
        <w:tc>
          <w:tcPr>
            <w:tcW w:type="dxa" w:w="3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1A1A1A"/>
                <w:sz w:val="18"/>
                <w:szCs w:val="18"/>
              </w:rPr>
              <w:t xml:space="preserve">LangChain Inc.</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555555"/>
                <w:sz w:val="18"/>
                <w:szCs w:val="18"/>
              </w:rPr>
              <w:t xml:space="preserve">Autores</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r>
              <w:rPr>
                <w:rFonts w:ascii="Arial" w:cs="Arial" w:eastAsia="Arial" w:hAnsi="Arial"/>
                <w:i/>
                <w:iCs/>
                <w:color w:val="1A1A1A"/>
                <w:sz w:val="18"/>
                <w:szCs w:val="18"/>
              </w:rPr>
              <w:t xml:space="preserve">LangChain Team</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555555"/>
                <w:sz w:val="18"/>
                <w:szCs w:val="18"/>
              </w:rPr>
              <w:t xml:space="preserve">URL / DOI</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hyperlink w:history="1" r:id="rId90fkjov0cb9ldoostlb1i">
              <w:r>
                <w:rPr>
                  <w:rFonts w:ascii="Arial" w:cs="Arial" w:eastAsia="Arial" w:hAnsi="Arial"/>
                  <w:color w:val="2E75B6"/>
                  <w:sz w:val="16"/>
                  <w:szCs w:val="16"/>
                  <w:u w:val="single"/>
                </w:rPr>
                <w:t xml:space="preserve">https://docs.smith.langchain.com/</w:t>
              </w:r>
            </w:hyperlink>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555555"/>
                <w:sz w:val="18"/>
                <w:szCs w:val="18"/>
              </w:rPr>
              <w:t xml:space="preserve">Descripción</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pPr>
              <w:jc w:val="both"/>
            </w:pPr>
            <w:r>
              <w:rPr>
                <w:rFonts w:ascii="Arial" w:cs="Arial" w:eastAsia="Arial" w:hAnsi="Arial"/>
                <w:color w:val="1A1A1A"/>
                <w:sz w:val="18"/>
                <w:szCs w:val="18"/>
              </w:rPr>
              <w:t xml:space="preserve">Plataforma de observabilidad y evaluación para aplicaciones LLM y agentes. Soporta evaluación offline con datasets de regresión, evaluación online con muestreo de trazas reales, comparación A/B entre variantes del sistema, y jueces LLM configurables.</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555555"/>
                <w:sz w:val="18"/>
                <w:szCs w:val="18"/>
              </w:rPr>
              <w:t xml:space="preserve">Conclusiones clave</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pPr>
              <w:jc w:val="both"/>
            </w:pPr>
            <w:r>
              <w:rPr>
                <w:rFonts w:ascii="Arial" w:cs="Arial" w:eastAsia="Arial" w:hAnsi="Arial"/>
                <w:color w:val="1A1A1A"/>
                <w:sz w:val="18"/>
                <w:szCs w:val="18"/>
              </w:rPr>
              <w:t xml:space="preserve">La distinción entre evaluación offline (datasets curados) y online (trazas en producción) es fundamental para un ciclo de mejora continuo. Las trazas permiten identificar fallos en el routing de servidores, selección de tools y degradación por versión de sistema. Integración nativa con LangGraph.</w:t>
            </w:r>
          </w:p>
        </w:tc>
      </w:tr>
      <w:tr>
        <w:tc>
          <w:tcPr>
            <w:tcW w:type="dxa" w:w="10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vAlign w:val="top"/>
          </w:tcPr>
          <w:p>
            <w:pPr>
              <w:jc w:val="left"/>
            </w:pPr>
            <w:r>
              <w:rPr>
                <w:rFonts w:ascii="Arial" w:cs="Arial" w:eastAsia="Arial" w:hAnsi="Arial"/>
                <w:b/>
                <w:bCs/>
                <w:color w:val="555555"/>
                <w:sz w:val="18"/>
                <w:szCs w:val="18"/>
              </w:rPr>
              <w:t xml:space="preserve">Relevancia</w:t>
            </w:r>
          </w:p>
        </w:tc>
        <w:tc>
          <w:tcPr>
            <w:tcW w:type="dxa" w:w="12360"/>
            <w:tcBorders>
              <w:top w:val="single" w:color="CCCCCC" w:sz="1"/>
              <w:left w:val="single" w:color="CCCCCC" w:sz="1"/>
              <w:bottom w:val="single" w:color="CCCCCC" w:sz="1"/>
              <w:right w:val="single" w:color="CCCCCC" w:sz="1"/>
            </w:tcBorders>
            <w:shd w:fill="EBF3FB" w:val="clear"/>
            <w:tcMar>
              <w:top w:type="dxa" w:w="60"/>
              <w:left w:type="dxa" w:w="120"/>
              <w:bottom w:type="dxa" w:w="60"/>
              <w:right w:type="dxa" w:w="120"/>
            </w:tcMar>
          </w:tcPr>
          <w:p>
            <w:pPr>
              <w:jc w:val="both"/>
            </w:pPr>
            <w:r>
              <w:rPr>
                <w:rFonts w:ascii="Arial" w:cs="Arial" w:eastAsia="Arial" w:hAnsi="Arial"/>
                <w:i/>
                <w:iCs/>
                <w:color w:val="555555"/>
                <w:sz w:val="18"/>
                <w:szCs w:val="18"/>
              </w:rPr>
              <w:t xml:space="preserve">Herramienta de observabilidad para el circuito de evaluación continua en los experimentos de la tesis.</w:t>
            </w:r>
          </w:p>
        </w:tc>
      </w:tr>
    </w:tbl>
    <w:p>
      <w:pPr>
        <w:spacing w:after="60" w:before="60"/>
      </w:pPr>
      <w:r>
        <w:t xml:space="preserve"/>
      </w:r>
    </w:p>
    <w:tbl>
      <w:tblPr>
        <w:tblW w:type="dxa" w:w="13360"/>
        <w:tblBorders>
          <w:top w:val="single" w:color="auto" w:sz="4"/>
          <w:left w:val="single" w:color="auto" w:sz="4"/>
          <w:bottom w:val="single" w:color="auto" w:sz="4"/>
          <w:right w:val="single" w:color="auto" w:sz="4"/>
          <w:insideH w:val="single" w:color="auto" w:sz="4"/>
          <w:insideV w:val="single" w:color="auto" w:sz="4"/>
        </w:tblBorders>
      </w:tblPr>
      <w:tblGrid>
        <w:gridCol w:w="1000"/>
        <w:gridCol w:w="5180"/>
        <w:gridCol w:w="2280"/>
        <w:gridCol w:w="1500"/>
        <w:gridCol w:w="3400"/>
      </w:tblGrid>
      <w:tr>
        <w:tc>
          <w:tcPr>
            <w:tcW w:type="dxa" w:w="1000"/>
            <w:tcBorders>
              <w:top w:val="single" w:color="CCCCCC" w:sz="1"/>
              <w:left w:val="single" w:color="CCCCCC" w:sz="1"/>
              <w:bottom w:val="single" w:color="CCCCCC" w:sz="1"/>
              <w:right w:val="single" w:color="CCCCCC" w:sz="1"/>
            </w:tcBorders>
            <w:shd w:fill="555555" w:val="clear"/>
            <w:tcMar>
              <w:top w:type="dxa" w:w="80"/>
              <w:left w:type="dxa" w:w="100"/>
              <w:bottom w:type="dxa" w:w="80"/>
              <w:right w:type="dxa" w:w="100"/>
            </w:tcMar>
            <w:vAlign w:val="center"/>
          </w:tcPr>
          <w:p>
            <w:pPr>
              <w:jc w:val="center"/>
            </w:pPr>
            <w:r>
              <w:rPr>
                <w:rFonts w:ascii="Arial" w:cs="Arial" w:eastAsia="Arial" w:hAnsi="Arial"/>
                <w:b/>
                <w:bCs/>
                <w:color w:val="FFFFFF"/>
                <w:sz w:val="22"/>
                <w:szCs w:val="22"/>
              </w:rPr>
              <w:t xml:space="preserve">F03</w:t>
            </w:r>
          </w:p>
        </w:tc>
        <w:tc>
          <w:tcPr>
            <w:tcW w:type="dxa" w:w="51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555555"/>
                <w:sz w:val="20"/>
                <w:szCs w:val="20"/>
              </w:rPr>
              <w:t xml:space="preserve">DeepEval – LLM Evaluation Framework with Hallucination Metrics</w:t>
            </w:r>
          </w:p>
        </w:tc>
        <w:tc>
          <w:tcPr>
            <w:tcW w:type="dxa" w:w="228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555555"/>
                <w:sz w:val="18"/>
                <w:szCs w:val="18"/>
              </w:rPr>
              <w:t xml:space="preserve">Framework OSS / Documentación</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center"/>
            </w:pPr>
            <w:r>
              <w:rPr>
                <w:rFonts w:ascii="Arial" w:cs="Arial" w:eastAsia="Arial" w:hAnsi="Arial"/>
                <w:b w:val="false"/>
                <w:bCs w:val="false"/>
                <w:color w:val="1A1A1A"/>
                <w:sz w:val="18"/>
                <w:szCs w:val="18"/>
              </w:rPr>
              <w:t xml:space="preserve">2023–2025</w:t>
            </w:r>
          </w:p>
        </w:tc>
        <w:tc>
          <w:tcPr>
            <w:tcW w:type="dxa" w:w="3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vAlign w:val="top"/>
          </w:tcPr>
          <w:p>
            <w:pPr>
              <w:jc w:val="left"/>
            </w:pPr>
            <w:r>
              <w:rPr>
                <w:rFonts w:ascii="Arial" w:cs="Arial" w:eastAsia="Arial" w:hAnsi="Arial"/>
                <w:b w:val="false"/>
                <w:bCs w:val="false"/>
                <w:color w:val="1A1A1A"/>
                <w:sz w:val="18"/>
                <w:szCs w:val="18"/>
              </w:rPr>
              <w:t xml:space="preserve">Confident AI</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555555"/>
                <w:sz w:val="18"/>
                <w:szCs w:val="18"/>
              </w:rPr>
              <w:t xml:space="preserve">Autores</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i/>
                <w:iCs/>
                <w:color w:val="1A1A1A"/>
                <w:sz w:val="18"/>
                <w:szCs w:val="18"/>
              </w:rPr>
              <w:t xml:space="preserve">Confident AI Team</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555555"/>
                <w:sz w:val="18"/>
                <w:szCs w:val="18"/>
              </w:rPr>
              <w:t xml:space="preserve">URL / DOI</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hyperlink w:history="1" r:id="rIdmdl-rsog6knuaitg9fion">
              <w:r>
                <w:rPr>
                  <w:rFonts w:ascii="Arial" w:cs="Arial" w:eastAsia="Arial" w:hAnsi="Arial"/>
                  <w:color w:val="2E75B6"/>
                  <w:sz w:val="16"/>
                  <w:szCs w:val="16"/>
                  <w:u w:val="single"/>
                </w:rPr>
                <w:t xml:space="preserve">https://docs.confident-ai.com/</w:t>
              </w:r>
            </w:hyperlink>
            <w:r>
              <w:rPr>
                <w:rFonts w:ascii="Arial" w:cs="Arial" w:eastAsia="Arial" w:hAnsi="Arial"/>
                <w:color w:val="555555"/>
                <w:sz w:val="16"/>
                <w:szCs w:val="16"/>
              </w:rPr>
              <w:t xml:space="preserve">  |  GitHub: </w:t>
            </w:r>
            <w:hyperlink w:history="1" r:id="rIdy1i8y-fkwy312r3dgstv2">
              <w:r>
                <w:rPr>
                  <w:rFonts w:ascii="Arial" w:cs="Arial" w:eastAsia="Arial" w:hAnsi="Arial"/>
                  <w:color w:val="006666"/>
                  <w:sz w:val="16"/>
                  <w:szCs w:val="16"/>
                  <w:u w:val="single"/>
                </w:rPr>
                <w:t xml:space="preserve">https://github.com/confident-ai/deepeval</w:t>
              </w:r>
            </w:hyperlink>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555555"/>
                <w:sz w:val="18"/>
                <w:szCs w:val="18"/>
              </w:rPr>
              <w:t xml:space="preserve">Descripción</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color w:val="1A1A1A"/>
                <w:sz w:val="18"/>
                <w:szCs w:val="18"/>
              </w:rPr>
              <w:t xml:space="preserve">Framework de evaluación de LLMs con métricas especializadas en alucin ación, correctness, groundedness, y evaluación de agentes. Soporta integración con CI/CD para pruebas de regresión automáticas en cada release.</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555555"/>
                <w:sz w:val="18"/>
                <w:szCs w:val="18"/>
              </w:rPr>
              <w:t xml:space="preserve">Conclusiones clave</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color w:val="1A1A1A"/>
                <w:sz w:val="18"/>
                <w:szCs w:val="18"/>
              </w:rPr>
              <w:t xml:space="preserve">Las métricas de hallucination rate y groundedness son complementarias a las métricas de retrieval de Ragas. La integración con CI/CD permite detectar degradación de respuestas causada por cambios en el sistema o incorporación de nuevos servers MCP. Herramienta complementaria para la fase de evaluación.</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rFonts w:ascii="Arial" w:cs="Arial" w:eastAsia="Arial" w:hAnsi="Arial"/>
                <w:b/>
                <w:bCs/>
                <w:color w:val="555555"/>
                <w:sz w:val="18"/>
                <w:szCs w:val="18"/>
              </w:rPr>
              <w:t xml:space="preserve">Relevancia</w:t>
            </w:r>
          </w:p>
        </w:tc>
        <w:tc>
          <w:tcPr>
            <w:tcW w:type="dxa" w:w="1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both"/>
            </w:pPr>
            <w:r>
              <w:rPr>
                <w:rFonts w:ascii="Arial" w:cs="Arial" w:eastAsia="Arial" w:hAnsi="Arial"/>
                <w:i/>
                <w:iCs/>
                <w:color w:val="555555"/>
                <w:sz w:val="18"/>
                <w:szCs w:val="18"/>
              </w:rPr>
              <w:t xml:space="preserve">Métrica de alucin ación y grounding para validar las respuestas del agente en los experimentos de la tesis.</w:t>
            </w:r>
          </w:p>
        </w:tc>
      </w:tr>
    </w:tbl>
    <w:p>
      <w:pPr>
        <w:spacing w:after="60" w:before="60"/>
      </w:pPr>
      <w:r>
        <w:t xml:space="preserve"/>
      </w:r>
    </w:p>
    <w:p>
      <w:pPr>
        <w:spacing w:after="120" w:before="120"/>
      </w:pPr>
      <w:r>
        <w:t xml:space="preserve"/>
      </w:r>
    </w:p>
    <w:p>
      <w:r>
        <w:br w:type="page"/>
      </w:r>
    </w:p>
    <w:p>
      <w:pPr>
        <w:pStyle w:val="Heading1"/>
        <w:spacing w:after="160" w:before="320"/>
      </w:pPr>
      <w:r>
        <w:rPr>
          <w:rFonts w:ascii="Arial" w:cs="Arial" w:eastAsia="Arial" w:hAnsi="Arial"/>
          <w:b/>
          <w:bCs/>
          <w:color w:val="1F3864"/>
          <w:sz w:val="28"/>
          <w:szCs w:val="28"/>
        </w:rPr>
        <w:t xml:space="preserve">4. Notas metodológicas</w:t>
      </w:r>
    </w:p>
    <w:p>
      <w:pPr>
        <w:spacing w:after="80" w:before="80"/>
        <w:jc w:val="both"/>
      </w:pPr>
      <w:r>
        <w:rPr>
          <w:rFonts w:ascii="Arial" w:cs="Arial" w:eastAsia="Arial" w:hAnsi="Arial"/>
          <w:color w:val="1A1A1A"/>
          <w:sz w:val="20"/>
          <w:szCs w:val="20"/>
        </w:rPr>
        <w:t xml:space="preserve">4.1  Criterios de inclusión: se incluyen fuentes que abordan al menos uno de los tres ejes temáticos de la tesis: (a) técnicas de memoria en LLMs, (b) gestión de degradación de contexto (context rot), o (c) arquitecturas de agentes con herramientas y MCP.</w:t>
      </w:r>
    </w:p>
    <w:p>
      <w:pPr>
        <w:spacing w:after="60" w:before="60"/>
      </w:pPr>
      <w:r>
        <w:t xml:space="preserve"/>
      </w:r>
    </w:p>
    <w:p>
      <w:pPr>
        <w:spacing w:after="80" w:before="80"/>
        <w:jc w:val="both"/>
      </w:pPr>
      <w:r>
        <w:rPr>
          <w:rFonts w:ascii="Arial" w:cs="Arial" w:eastAsia="Arial" w:hAnsi="Arial"/>
          <w:color w:val="1A1A1A"/>
          <w:sz w:val="20"/>
          <w:szCs w:val="20"/>
        </w:rPr>
        <w:t xml:space="preserve">4.2  Priorización: se priorizan fuentes primarias (papers con arXiv o publicados en conferencias top: NeurIPS, ICLR, ACL, AAAI) sobre divulgación secundaria. La evidencia de rendimiento de frameworks de proveedores (Mem0, Letta, OpenAI) se contrasta con benchmarks abiertos cuando están disponibles.</w:t>
      </w:r>
    </w:p>
    <w:p>
      <w:pPr>
        <w:spacing w:after="60" w:before="60"/>
      </w:pPr>
      <w:r>
        <w:t xml:space="preserve"/>
      </w:r>
    </w:p>
    <w:p>
      <w:pPr>
        <w:spacing w:after="80" w:before="80"/>
        <w:jc w:val="both"/>
      </w:pPr>
      <w:r>
        <w:rPr>
          <w:rFonts w:ascii="Arial" w:cs="Arial" w:eastAsia="Arial" w:hAnsi="Arial"/>
          <w:color w:val="1A1A1A"/>
          <w:sz w:val="20"/>
          <w:szCs w:val="20"/>
        </w:rPr>
        <w:t xml:space="preserve">4.3  Idioma: la mayoría de las fuentes relevantes sobre MCP, guardrails y memory layers está disponible en inglés. No se encontró un cuerpo equivalente de papers primarios en español específicamente sobre este subproblema al momento de la revisión (abril 2026).</w:t>
      </w:r>
    </w:p>
    <w:p>
      <w:pPr>
        <w:spacing w:after="60" w:before="60"/>
      </w:pPr>
      <w:r>
        <w:t xml:space="preserve"/>
      </w:r>
    </w:p>
    <w:p>
      <w:pPr>
        <w:spacing w:after="80" w:before="80"/>
        <w:jc w:val="both"/>
      </w:pPr>
      <w:r>
        <w:rPr>
          <w:rFonts w:ascii="Arial" w:cs="Arial" w:eastAsia="Arial" w:hAnsi="Arial"/>
          <w:color w:val="1A1A1A"/>
          <w:sz w:val="20"/>
          <w:szCs w:val="20"/>
        </w:rPr>
        <w:t xml:space="preserve">4.4  Actualización: este catálogo debe actualizarse antes de la defensa de la tesis para incluir publicaciones nuevas, especialmente en el área de benchmarks de memoria (el campo avanza rápidamente: LongMemEval, LoCoMo y ToolHaystack son de 2024-2025).</w:t>
      </w:r>
    </w:p>
    <w:sectPr>
      <w:headerReference w:type="default" r:id="rId7"/>
      <w:footerReference w:type="default" r:id="rId8"/>
      <w:pgSz w:w="12240" w:h="15840" w:orient="landscape"/>
      <w:pgMar w:top="1080" w:right="1000" w:bottom="108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1"/>
      </w:pBdr>
      <w:spacing w:before="60"/>
      <w:jc w:val="right"/>
    </w:pPr>
    <w:r>
      <w:rPr>
        <w:rFonts w:ascii="Arial" w:cs="Arial" w:eastAsia="Arial" w:hAnsi="Arial"/>
        <w:color w:val="555555"/>
        <w:sz w:val="18"/>
        <w:szCs w:val="18"/>
      </w:rPr>
      <w:t xml:space="preserve">Página </w:t>
    </w:r>
    <w:r>
      <w:rPr>
        <w:rFonts w:ascii="Arial" w:cs="Arial" w:eastAsia="Arial" w:hAnsi="Arial"/>
        <w:color w:val="555555"/>
        <w:sz w:val="18"/>
        <w:szCs w:val="18"/>
      </w:rPr>
      <w:fldChar w:fldCharType="begin"/>
      <w:instrText xml:space="preserve">PAGE</w:instrText>
      <w:fldChar w:fldCharType="separate"/>
      <w:fldChar w:fldCharType="end"/>
    </w:r>
    <w:r>
      <w:rPr>
        <w:rFonts w:ascii="Arial" w:cs="Arial" w:eastAsia="Arial" w:hAnsi="Arial"/>
        <w:color w:val="555555"/>
        <w:sz w:val="18"/>
        <w:szCs w:val="18"/>
      </w:rPr>
      <w:t xml:space="preserve"> de </w:t>
    </w:r>
    <w:r>
      <w:rPr>
        <w:rFonts w:ascii="Arial" w:cs="Arial" w:eastAsia="Arial" w:hAnsi="Arial"/>
        <w:color w:val="55555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spacing w:after="60"/>
    </w:pPr>
    <w:r>
      <w:rPr>
        <w:rFonts w:ascii="Arial" w:cs="Arial" w:eastAsia="Arial" w:hAnsi="Arial"/>
        <w:b/>
        <w:bCs/>
        <w:color w:val="1F3864"/>
        <w:sz w:val="18"/>
        <w:szCs w:val="18"/>
      </w:rPr>
      <w:t xml:space="preserve">TESIS  |  DOC-02: Catálogo de Fuentes</w:t>
    </w:r>
    <w:r>
      <w:rPr>
        <w:rFonts w:ascii="Arial" w:cs="Arial" w:eastAsia="Arial" w:hAnsi="Arial"/>
        <w:color w:val="555555"/>
        <w:sz w:val="18"/>
        <w:szCs w:val="18"/>
      </w:rPr>
      <w:t xml:space="preserve">  —  Edinson Núñez  ·  Abril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2E75B6"/>
      <w:sz w:val="24"/>
      <w:szCs w:val="24"/>
    </w:rPr>
  </w:style>
  <w:style w:type="paragraph" w:styleId="Heading3">
    <w:name w:val="Heading 3"/>
    <w:basedOn w:val="Normal"/>
    <w:next w:val="Normal"/>
    <w:qFormat/>
    <w:pPr>
      <w:spacing w:after="80" w:before="180"/>
      <w:outlineLvl w:val="2"/>
    </w:pPr>
    <w:rPr>
      <w:rFonts w:ascii="Arial" w:cs="Arial" w:eastAsia="Arial" w:hAnsi="Arial"/>
      <w:b/>
      <w:bCs/>
      <w:color w:val="006666"/>
      <w:sz w:val="22"/>
      <w:szCs w:val="22"/>
    </w:rPr>
  </w:style>
</w:styles>
</file>

<file path=word/_rels/comments.xml.rels><?xml version="1.0" encoding="utf-8"?>
<Relationships xmlns="http://schemas.openxmlformats.org/package/2006/relationship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comments" Target="comments.xml"/>
  <Relationship Id="rId7" Type="http://schemas.openxmlformats.org/officeDocument/2006/relationships/header" Target="header1.xml"/>
  <Relationship Id="rId8" Type="http://schemas.openxmlformats.org/officeDocument/2006/relationships/footer" Target="footer1.xml"/>
  <Relationship Id="rIdphdx-pjz2qb2upkpxrjex" Type="http://schemas.openxmlformats.org/officeDocument/2006/relationships/hyperlink" Target="https://arxiv.org/abs/2210.03629" TargetMode="External"/>
  <Relationship Id="rIdldnxich6tgvweg-mufzb9" Type="http://schemas.openxmlformats.org/officeDocument/2006/relationships/hyperlink" Target="https://github.com/ysymyth/ReAct" TargetMode="External"/>
  <Relationship Id="rIdydcx8fmgir2cwnv2jb2z0" Type="http://schemas.openxmlformats.org/officeDocument/2006/relationships/hyperlink" Target="https://arxiv.org/abs/2302.04761" TargetMode="External"/>
  <Relationship Id="rIdav70vcfewjlzkkt-vzh5w" Type="http://schemas.openxmlformats.org/officeDocument/2006/relationships/hyperlink" Target="https://arxiv.org/abs/2310.08560" TargetMode="External"/>
  <Relationship Id="rIdlvc45vdzlzttloyg3ra3x" Type="http://schemas.openxmlformats.org/officeDocument/2006/relationships/hyperlink" Target="https://github.com/cpacker/MemGPT" TargetMode="External"/>
  <Relationship Id="rId4jiho2k_8eiif81-luriv" Type="http://schemas.openxmlformats.org/officeDocument/2006/relationships/hyperlink" Target="https://arxiv.org/abs/2305.10250" TargetMode="External"/>
  <Relationship Id="rIdvnobongtnisnnfwtlc2t1" Type="http://schemas.openxmlformats.org/officeDocument/2006/relationships/hyperlink" Target="https://github.com/zhongwanjun/MemoryBank-SiliconFriend" TargetMode="External"/>
  <Relationship Id="rIdfqe3wr5kbu-51v3s-srtj" Type="http://schemas.openxmlformats.org/officeDocument/2006/relationships/hyperlink" Target="https://arxiv.org/abs/2504.19413" TargetMode="External"/>
  <Relationship Id="rIdj_vborauan51erhtvor1f" Type="http://schemas.openxmlformats.org/officeDocument/2006/relationships/hyperlink" Target="https://github.com/mem0ai/mem0" TargetMode="External"/>
  <Relationship Id="rIdcwfob83rfp36sdd5-elze" Type="http://schemas.openxmlformats.org/officeDocument/2006/relationships/hyperlink" Target="https://arxiv.org/abs/2501.09645" TargetMode="External"/>
  <Relationship Id="rId6q5u0pqppbx3ncpectwqc" Type="http://schemas.openxmlformats.org/officeDocument/2006/relationships/hyperlink" Target="https://github.com/johanneskirmayr/CarMem" TargetMode="External"/>
  <Relationship Id="rIdllneedf5_b9yhmtgbwysm" Type="http://schemas.openxmlformats.org/officeDocument/2006/relationships/hyperlink" Target="https://arxiv.org/abs/2310.11511" TargetMode="External"/>
  <Relationship Id="rId9qj6vio0ygdnrbosizqfn" Type="http://schemas.openxmlformats.org/officeDocument/2006/relationships/hyperlink" Target="https://github.com/AkariAsai/self-rag" TargetMode="External"/>
  <Relationship Id="rId4lamregzowk4qi4j0iizn" Type="http://schemas.openxmlformats.org/officeDocument/2006/relationships/hyperlink" Target="https://arxiv.org/abs/2505.03275" TargetMode="External"/>
  <Relationship Id="rIdgnb3aluvfc-uubh76uu1w" Type="http://schemas.openxmlformats.org/officeDocument/2006/relationships/hyperlink" Target="https://github.com/memoverflow/rag-mcp" TargetMode="External"/>
  <Relationship Id="rIdfhu6mjeskrv1pccs9iqxt" Type="http://schemas.openxmlformats.org/officeDocument/2006/relationships/hyperlink" Target="https://arxiv.org/abs/2404.16130" TargetMode="External"/>
  <Relationship Id="rIdyuc-oecf_gmx4nny2babw" Type="http://schemas.openxmlformats.org/officeDocument/2006/relationships/hyperlink" Target="https://github.com/microsoft/graphrag" TargetMode="External"/>
  <Relationship Id="rIdjtztypik4xffwqswp6ov3" Type="http://schemas.openxmlformats.org/officeDocument/2006/relationships/hyperlink" Target="https://flower.ai/docs/examples/fedrag.html" TargetMode="External"/>
  <Relationship Id="rIdwwijfxsthkvvt6m1jmrp0" Type="http://schemas.openxmlformats.org/officeDocument/2006/relationships/hyperlink" Target="https://github.com/adap/flower" TargetMode="External"/>
  <Relationship Id="rIddq-_b3l66cv775-h7g4s3" Type="http://schemas.openxmlformats.org/officeDocument/2006/relationships/hyperlink" Target="https://arxiv.org/abs/2406.20015" TargetMode="External"/>
  <Relationship Id="rId7tu7oqqajd89cvonmoj7g" Type="http://schemas.openxmlformats.org/officeDocument/2006/relationships/hyperlink" Target="https://arxiv.org/html/2505.23662v1" TargetMode="External"/>
  <Relationship Id="rIdsje12byqdwphft1vcthnx" Type="http://schemas.openxmlformats.org/officeDocument/2006/relationships/hyperlink" Target="https://arxiv.org/abs/2510.22977" TargetMode="External"/>
  <Relationship Id="rIdnjcwxetmcd1zokkzyqbvz" Type="http://schemas.openxmlformats.org/officeDocument/2006/relationships/hyperlink" Target="https://arxiv.org/abs/2410.10813" TargetMode="External"/>
  <Relationship Id="rIdteee2mtng07jwmvgjv047" Type="http://schemas.openxmlformats.org/officeDocument/2006/relationships/hyperlink" Target="https://github.com/xiaowu0162/LongMemEval" TargetMode="External"/>
  <Relationship Id="rIdufu0ohxxoffsgx1kftn7c" Type="http://schemas.openxmlformats.org/officeDocument/2006/relationships/hyperlink" Target="https://arxiv.org/abs/2402.17753" TargetMode="External"/>
  <Relationship Id="rIdhhfunp6lci4mljqrljplv" Type="http://schemas.openxmlformats.org/officeDocument/2006/relationships/hyperlink" Target="https://github.com/snap-research/locomo" TargetMode="External"/>
  <Relationship Id="rId_whpfodmxi9l3sjrchvqc" Type="http://schemas.openxmlformats.org/officeDocument/2006/relationships/hyperlink" Target="https://modelcontextprotocol.io/specification/2025-11-25" TargetMode="External"/>
  <Relationship Id="rIdpp0h8ycynbl0rccwxonvy" Type="http://schemas.openxmlformats.org/officeDocument/2006/relationships/hyperlink" Target="https://github.com/modelcontextprotocol/modelcontextprotocol" TargetMode="External"/>
  <Relationship Id="rIdrlnel1jkswrrkdztei0mt" Type="http://schemas.openxmlformats.org/officeDocument/2006/relationships/hyperlink" Target="https://langchain-ai.github.io/langgraph/" TargetMode="External"/>
  <Relationship Id="rIdu1rvmx3qolaiss9wgghzz" Type="http://schemas.openxmlformats.org/officeDocument/2006/relationships/hyperlink" Target="https://github.com/langchain-ai/langgraph" TargetMode="External"/>
  <Relationship Id="rIdue_91kg1lf_mp2d1ed-cn" Type="http://schemas.openxmlformats.org/officeDocument/2006/relationships/hyperlink" Target="https://openai.github.io/openai-agents-python/" TargetMode="External"/>
  <Relationship Id="rIdunbhvjgnbd7na1dbqfmow" Type="http://schemas.openxmlformats.org/officeDocument/2006/relationships/hyperlink" Target="https://github.com/openai/openai-agents-python" TargetMode="External"/>
  <Relationship Id="rIde_uqhajx45x8gzsc7gq1a" Type="http://schemas.openxmlformats.org/officeDocument/2006/relationships/hyperlink" Target="https://docs.llamaindex.ai/" TargetMode="External"/>
  <Relationship Id="rIderkqrn4_hagtiaw_q8qcq" Type="http://schemas.openxmlformats.org/officeDocument/2006/relationships/hyperlink" Target="https://github.com/run-llama/llama_index" TargetMode="External"/>
  <Relationship Id="rIdiwzuedhekn27e3dbsyoua" Type="http://schemas.openxmlformats.org/officeDocument/2006/relationships/hyperlink" Target="https://docs.letta.com/" TargetMode="External"/>
  <Relationship Id="rIdkvgzokqgm_5aiycrso28a" Type="http://schemas.openxmlformats.org/officeDocument/2006/relationships/hyperlink" Target="https://github.com/letta-ai/letta" TargetMode="External"/>
  <Relationship Id="rId8bozt84g-lbtoaknwhski" Type="http://schemas.openxmlformats.org/officeDocument/2006/relationships/hyperlink" Target="https://arxiv.org/abs/2309.15217" TargetMode="External"/>
  <Relationship Id="rIdiaymd7h8ybqw4o2cgjstp" Type="http://schemas.openxmlformats.org/officeDocument/2006/relationships/hyperlink" Target="https://github.com/explodinggradients/ragas" TargetMode="External"/>
  <Relationship Id="rId90fkjov0cb9ldoostlb1i" Type="http://schemas.openxmlformats.org/officeDocument/2006/relationships/hyperlink" Target="https://docs.smith.langchain.com/" TargetMode="External"/>
  <Relationship Id="rIdmdl-rsog6knuaitg9fion" Type="http://schemas.openxmlformats.org/officeDocument/2006/relationships/hyperlink" Target="https://docs.confident-ai.com/" TargetMode="External"/>
  <Relationship Id="rIdy1i8y-fkwy312r3dgstv2" Type="http://schemas.openxmlformats.org/officeDocument/2006/relationships/hyperlink" Target="https://github.com/confident-ai/deepeval" TargetMode="External"/>
  <Relationship Id="rId50" Type="http://schemas.openxmlformats.org/officeDocument/2006/relationships/fontTable" Target="fontTable.xml"/>
</Relationships>

</file>

<file path=word/_rels/endnotes.xml.rels><?xml version="1.0" encoding="utf-8"?>
<Relationships xmlns="http://schemas.openxmlformats.org/package/2006/relationships"/>

</file>

<file path=word/_rels/fontTable.xml.rels><?xml version="1.0" encoding="utf-8"?>
<Relationships xmlns="http://schemas.openxmlformats.org/package/2006/relationships"/>

</file>

<file path=word/_rels/footer1.xml.rels><?xml version="1.0" encoding="utf-8"?>
<Relationships xmlns="http://schemas.openxmlformats.org/package/2006/relationships"/>

</file>

<file path=word/_rels/footnotes.xml.rels><?xml version="1.0" encoding="utf-8"?>
<Relationships xmlns="http://schemas.openxmlformats.org/package/2006/relationships"/>

</file>

<file path=word/_rels/header1.xml.rels><?xml version="1.0" encoding="utf-8"?>
<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2026-04-25T23:04:07.458Z</dcterms:created>
  <dcterms:modified xsi:type="dcterms:W3CDTF">2026-04-25T23:04:07.459Z</dcterms:modified>
</cp:coreProperties>
</file>

<file path=docProps/custom.xml><?xml version="1.0" encoding="utf-8"?>
<Properties xmlns="http://schemas.openxmlformats.org/officeDocument/2006/custom-properties" xmlns:vt="http://schemas.openxmlformats.org/officeDocument/2006/docPropsVTypes"/>
</file>