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"/>
        <w:jc w:val="center"/>
      </w:pPr>
      <w:r>
        <w:rPr>
          <w:rFonts w:ascii="Arial" w:cs="Arial" w:eastAsia="Arial" w:hAnsi="Arial"/>
          <w:b/>
          <w:bCs/>
          <w:caps/>
          <w:color w:val="555555"/>
          <w:sz w:val="20"/>
          <w:szCs w:val="20"/>
        </w:rPr>
        <w:t xml:space="preserve">PROYECTO DE TESIS  —  DOCUMENTO 04</w:t>
      </w:r>
    </w:p>
    <w:p>
      <w:pPr>
        <w:pBdr>
          <w:bottom w:val="single" w:color="2E75B6" w:sz="8" w:space="4"/>
        </w:pBdr>
        <w:spacing w:after="60" w:before="0"/>
        <w:jc w:val="center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INDICADORES Y MÉTRICAS POR PAPER / PROYECTO</w:t>
      </w:r>
    </w:p>
    <w:p>
      <w:pPr>
        <w:spacing w:after="200" w:before="80"/>
        <w:jc w:val="center"/>
      </w:pPr>
      <w:r>
        <w:rPr>
          <w:rFonts w:ascii="Arial" w:cs="Arial" w:eastAsia="Arial" w:hAnsi="Arial"/>
          <w:i/>
          <w:iCs/>
          <w:color w:val="2E75B6"/>
          <w:sz w:val="20"/>
          <w:szCs w:val="20"/>
        </w:rPr>
        <w:t xml:space="preserve">Análisis sistemático de las métricas utilizadas en cada fuente y su muestra experimental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Propósito y criterios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Este documento cataloga los indicadores y métricas empleados en cada paper o proyecto de referencia, especificando: nombre del indicador, definición técnica, valor o resultado reportado, unidad de medida y si el trabajo incluye una muestra o dataset experimental. Al final se incluye una tabla consolidada de todos los indicadores únicos con su relevancia directa para el diseño experimental de la tesis.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Criterio de inclusión de indicadores: se incluye todo indicador que mida calidad de respuesta, uso de herramientas, capacidad de memoria, costo computacional (tokens, latencia) o degradación de contexto. Se excluyen métricas internas de entrenamiento (loss, perplexidad de entrenamiento) salvo cuando son reportadas como resultado de evaluación.</w:t>
      </w:r>
    </w:p>
    <w:p>
      <w:pPr>
        <w:spacing w:after="140" w:before="14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Indicadores por paper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Categoría A: Papers Fundacionales</w:t>
      </w:r>
    </w:p>
    <w:tbl>
      <w:tblPr>
        <w:tblW w:type="dxa" w:w="10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00"/>
        <w:gridCol w:w="4000"/>
        <w:gridCol w:w="2100"/>
        <w:gridCol w:w="1060"/>
      </w:tblGrid>
      <w:tr>
        <w:trPr>
          <w:tblHeader/>
        </w:trPr>
        <w:tc>
          <w:tcPr>
            <w:tcW w:type="dxa" w:w="90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A01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2022 / ICLR 2023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ReAct: Synergizing Reasoning and Acting in Language Models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Yao et al.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E"/>
                <w:sz w:val="16"/>
                <w:szCs w:val="16"/>
              </w:rPr>
              <w:t xml:space="preserve">✔ Con muestra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Muestra/dataset: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 benchmarks estándar: HotPotQA (1 K preguntas multi-hop), Fever (1 K afirmaciones), ALFWorld (134 juegos de texto), WebShop (200 instrucciones de compra). Todos conjuntos de test públicos.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Indicadores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Nombre del indicador / métrica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Definición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Valor / resultado reportado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Unidad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Exact Match (EM)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Coincidencia exacta entre la respuesta generada y la respuesta gold.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66.6% (ReAct) vs 60.5% (CoT) en HotPotQA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5F60"/>
                <w:sz w:val="17"/>
                <w:szCs w:val="17"/>
              </w:rPr>
              <w:t xml:space="preserve">%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F1 Score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Media armónica de precisión y recall a nivel token.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Reportado por benchmark (HotPotQA)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5F60"/>
                <w:sz w:val="17"/>
                <w:szCs w:val="17"/>
              </w:rPr>
              <w:t xml:space="preserve">%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Accuracy (Fever)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Porcentaje de afirmaciones correctamente clasificadas como SUPPORTS / REFUTES.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80% (ReAct)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5F60"/>
                <w:sz w:val="17"/>
                <w:szCs w:val="17"/>
              </w:rPr>
              <w:t xml:space="preserve">%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Success Rate (ALFWorld)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Porcentaje de juegos completados con éxito.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71% (ReAct) vs 45% (Act-only)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5F60"/>
                <w:sz w:val="17"/>
                <w:szCs w:val="17"/>
              </w:rPr>
              <w:t xml:space="preserve">%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Success Rate (WebShop)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Porcentaje de instrucciones de compra completadas satisfactoriamente.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40% (ReAct)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5F60"/>
                <w:sz w:val="17"/>
                <w:szCs w:val="17"/>
              </w:rPr>
              <w:t xml:space="preserve">%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Notas</w:t>
            </w:r>
          </w:p>
        </w:tc>
        <w:tc>
          <w:tcPr>
            <w:tcW w:type="dxa" w:w="9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No reporta métricas de costo de tokens ni latencia. Métricas de calidad de respuesta puras.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10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00"/>
        <w:gridCol w:w="4000"/>
        <w:gridCol w:w="2100"/>
        <w:gridCol w:w="1060"/>
      </w:tblGrid>
      <w:tr>
        <w:trPr>
          <w:tblHeader/>
        </w:trPr>
        <w:tc>
          <w:tcPr>
            <w:tcW w:type="dxa" w:w="90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A02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2023 / NeurIPS 2023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Toolformer: Language Models Can Teach Themselves to Use Tools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Schick et al.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E"/>
                <w:sz w:val="16"/>
                <w:szCs w:val="16"/>
              </w:rPr>
              <w:t xml:space="preserve">✔ Con muestra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Muestra/dataset: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 herramientas (calculadora, Q&amp;A, 2 motores de búsqueda, traducción, calendario). Evaluado en 5 benchmarks zero-shot: LAMA, ARC, PIQA, NLI, SocialIQA. Modelos base: GPT-J (6.7B), OPT (6.7B).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Indicadores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Nombre del indicador / métrica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Definición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Valor / resultado reportado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Unidad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Accuracy (zero-shot)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Precisión en cada benchmark sin ejemplos de entrenamiento específicos.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Supera a GPT-3 (175B) en LAMA, ARC, NLI con un modelo 25x más pequeño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5F60"/>
                <w:sz w:val="17"/>
                <w:szCs w:val="17"/>
              </w:rPr>
              <w:t xml:space="preserve">%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Perplexity (language modeling)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Calidad del modelado de lenguaje para verificar que el uso de tools no degrada la capacidad base.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Sin degradación significativa respecto al modelo base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5F60"/>
                <w:sz w:val="17"/>
                <w:szCs w:val="17"/>
              </w:rPr>
              <w:t xml:space="preserve">perplexity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Tool call rate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Porcentaje de tokens donde el modelo decide invocar una herramienta.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Aprendido automáticamente; varía por tarea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5F60"/>
                <w:sz w:val="17"/>
                <w:szCs w:val="17"/>
              </w:rPr>
              <w:t xml:space="preserve">%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Notas</w:t>
            </w:r>
          </w:p>
        </w:tc>
        <w:tc>
          <w:tcPr>
            <w:tcW w:type="dxa" w:w="9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Pionero en métricas de tool call rate como indicador de eficiencia. No reporta latencia ni costo de tokens.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A5C2E"/>
          <w:sz w:val="23"/>
          <w:szCs w:val="23"/>
        </w:rPr>
        <w:t xml:space="preserve">Categoría B: Memoria en LLMs</w:t>
      </w:r>
    </w:p>
    <w:tbl>
      <w:tblPr>
        <w:tblW w:type="dxa" w:w="10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00"/>
        <w:gridCol w:w="4000"/>
        <w:gridCol w:w="2100"/>
        <w:gridCol w:w="1060"/>
      </w:tblGrid>
      <w:tr>
        <w:trPr>
          <w:tblHeader/>
        </w:trPr>
        <w:tc>
          <w:tcPr>
            <w:tcW w:type="dxa" w:w="90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B01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2023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E"/>
                <w:sz w:val="19"/>
                <w:szCs w:val="19"/>
              </w:rPr>
              <w:t xml:space="preserve">MemGPT: Towards LLMs as Operating Systems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Packer et al.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E"/>
                <w:sz w:val="16"/>
                <w:szCs w:val="16"/>
              </w:rPr>
              <w:t xml:space="preserve">✔ Con muestra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E"/>
                <w:sz w:val="18"/>
                <w:szCs w:val="18"/>
              </w:rPr>
              <w:t xml:space="preserve">Muestra/dataset: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 dominios de evaluación: (1) análisis de documentos multi-parte (MemGPT vs. GPT-4 con contexto largo) con datasets de QA sobre documentos extensos; (2) conversación multi-sesión con un asistente personal simulado en 5 sesiones de 30 turnos cada una.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Indicadores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Nombre del indicador / métrica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Definición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Valor / resultado reportado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Unidad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C2E"/>
                <w:sz w:val="17"/>
                <w:szCs w:val="17"/>
              </w:rPr>
              <w:t xml:space="preserve">QA Accuracy (multi-doc)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Precisión en preguntas que requieren información de múltiples partes de un documento que excede la ventana de contexto.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MemGPT: 75.8% vs GPT-4 fixed context: 52.1%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5F60"/>
                <w:sz w:val="17"/>
                <w:szCs w:val="17"/>
              </w:rPr>
              <w:t xml:space="preserve">%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C2E"/>
                <w:sz w:val="17"/>
                <w:szCs w:val="17"/>
              </w:rPr>
              <w:t xml:space="preserve">Consistency score (multi-session)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Evaluación humana de coherencia entre sesiones consecutivas.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Mejora significativa sobre baseline sin memoria.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5F60"/>
                <w:sz w:val="17"/>
                <w:szCs w:val="17"/>
              </w:rPr>
              <w:t xml:space="preserve">Escala 1–5 (evaluadores humanos)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C2E"/>
                <w:sz w:val="17"/>
                <w:szCs w:val="17"/>
              </w:rPr>
              <w:t xml:space="preserve">Context window utilization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Uso eficiente de la ventana de contexto mediante paginación de memoria.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Permite operar sobre documentos 10x mayores que la ventana.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5F60"/>
                <w:sz w:val="17"/>
                <w:szCs w:val="17"/>
              </w:rPr>
              <w:t xml:space="preserve">Ratio de extensión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E"/>
                <w:sz w:val="17"/>
                <w:szCs w:val="17"/>
              </w:rPr>
              <w:t xml:space="preserve">Notas</w:t>
            </w:r>
          </w:p>
        </w:tc>
        <w:tc>
          <w:tcPr>
            <w:tcW w:type="dxa" w:w="9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Métricas de evaluación humana + automáticas. Sin reporte explícito de costo de tokens.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10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00"/>
        <w:gridCol w:w="4000"/>
        <w:gridCol w:w="2100"/>
        <w:gridCol w:w="1060"/>
      </w:tblGrid>
      <w:tr>
        <w:trPr>
          <w:tblHeader/>
        </w:trPr>
        <w:tc>
          <w:tcPr>
            <w:tcW w:type="dxa" w:w="90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B02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2023 / AAAI 2024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E"/>
                <w:sz w:val="19"/>
                <w:szCs w:val="19"/>
              </w:rPr>
              <w:t xml:space="preserve">MemoryBank: Enhancing Large Language Models with Long-Term Memory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Zhong et al.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E"/>
                <w:sz w:val="16"/>
                <w:szCs w:val="16"/>
              </w:rPr>
              <w:t xml:space="preserve">✔ Con muestra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E"/>
                <w:sz w:val="18"/>
                <w:szCs w:val="18"/>
              </w:rPr>
              <w:t xml:space="preserve">Muestra/dataset: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Dataset de conversaciones de SiliconFriend (asistente de IA compañero) con usuarios reales. Evaluación en conversaciones de hasta 30 sesiones. Modelo base: ChatGLM-6B. Anotadores humanos para evaluación cualitativa.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Indicadores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Nombre del indicador / métrica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Definición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Valor / resultado reportado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Unidad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C2E"/>
                <w:sz w:val="17"/>
                <w:szCs w:val="17"/>
              </w:rPr>
              <w:t xml:space="preserve">Memory Recall Rate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Porcentaje de hechos del usuario correctamente recuperados cuando son relevantes.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Mejora de ~35% sobre baseline sin memoria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5F60"/>
                <w:sz w:val="17"/>
                <w:szCs w:val="17"/>
              </w:rPr>
              <w:t xml:space="preserve">%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C2E"/>
                <w:sz w:val="17"/>
                <w:szCs w:val="17"/>
              </w:rPr>
              <w:t xml:space="preserve">Empathy Score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Evaluación humana de la empatía percibida en las respuestas del asistente.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4.2/5 con MemoryBank vs 3.1/5 sin memoria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5F60"/>
                <w:sz w:val="17"/>
                <w:szCs w:val="17"/>
              </w:rPr>
              <w:t xml:space="preserve">Escala 1–5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C2E"/>
                <w:sz w:val="17"/>
                <w:szCs w:val="17"/>
              </w:rPr>
              <w:t xml:space="preserve">Consistency Score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Coherencia de las respuestas con información previa del usuario.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4.0/5 con MemoryBank vs 2.8/5 sin memoria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5F60"/>
                <w:sz w:val="17"/>
                <w:szCs w:val="17"/>
              </w:rPr>
              <w:t xml:space="preserve">Escala 1–5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C2E"/>
                <w:sz w:val="17"/>
                <w:szCs w:val="17"/>
              </w:rPr>
              <w:t xml:space="preserve">Forgetting curve compliance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Qué tan bien el mecanismo de olvido imita la curva de Ebbinghaus (retención de memorias importantes, olvido de triviales).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Reportado cualitativamente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5F60"/>
                <w:sz w:val="17"/>
                <w:szCs w:val="17"/>
              </w:rPr>
              <w:t xml:space="preserve">Cualitativo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E"/>
                <w:sz w:val="17"/>
                <w:szCs w:val="17"/>
              </w:rPr>
              <w:t xml:space="preserve">Notas</w:t>
            </w:r>
          </w:p>
        </w:tc>
        <w:tc>
          <w:tcPr>
            <w:tcW w:type="dxa" w:w="9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Combina métricas automáticas y evaluación humana. Sin métricas de costo de tokens ni latencia.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10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00"/>
        <w:gridCol w:w="4000"/>
        <w:gridCol w:w="2100"/>
        <w:gridCol w:w="1060"/>
      </w:tblGrid>
      <w:tr>
        <w:trPr>
          <w:tblHeader/>
        </w:trPr>
        <w:tc>
          <w:tcPr>
            <w:tcW w:type="dxa" w:w="90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B03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2025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E"/>
                <w:sz w:val="19"/>
                <w:szCs w:val="19"/>
              </w:rPr>
              <w:t xml:space="preserve">Mem0: Building Production-Ready AI Agents with Scalable Long-Term Memory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Chhikara et al.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E"/>
                <w:sz w:val="16"/>
                <w:szCs w:val="16"/>
              </w:rPr>
              <w:t xml:space="preserve">✔ Con muestra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E"/>
                <w:sz w:val="18"/>
                <w:szCs w:val="18"/>
              </w:rPr>
              <w:t xml:space="preserve">Muestra/dataset: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Benchmark LOCOMO y benchmark propietario de Mem0 (público en mem0.ai/research). Comparación contra: OpenAI Assistants API, full context, RAG, y otros sistemas de memoria. Dataset de conversaciones multi-sesión con ground truth de preferencias y hechos.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Indicadores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Nombre del indicador / métrica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Definición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Valor / resultado reportado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Unidad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C2E"/>
                <w:sz w:val="17"/>
                <w:szCs w:val="17"/>
              </w:rPr>
              <w:t xml:space="preserve">LLM-as-a-Judge score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Evaluación de la calidad de respuesta usando un LLM juez (GPT-4o) comparando respuesta generada vs. respuesta de referencia.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+26% relativo vs. OpenAI Assistants API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5F60"/>
                <w:sz w:val="17"/>
                <w:szCs w:val="17"/>
              </w:rPr>
              <w:t xml:space="preserve">%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C2E"/>
                <w:sz w:val="17"/>
                <w:szCs w:val="17"/>
              </w:rPr>
              <w:t xml:space="preserve">Latencia p95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Percentil 95 del tiempo de respuesta end-to-end.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91% de reducción vs. baseline de contexto completo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5F60"/>
                <w:sz w:val="17"/>
                <w:szCs w:val="17"/>
              </w:rPr>
              <w:t xml:space="preserve">ms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C2E"/>
                <w:sz w:val="17"/>
                <w:szCs w:val="17"/>
              </w:rPr>
              <w:t xml:space="preserve">Costo de tokens (input)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Tokens consumidos en el prompt por consulta.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&gt;90% de reducción vs. full context baseline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5F60"/>
                <w:sz w:val="17"/>
                <w:szCs w:val="17"/>
              </w:rPr>
              <w:t xml:space="preserve">tokens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C2E"/>
                <w:sz w:val="17"/>
                <w:szCs w:val="17"/>
              </w:rPr>
              <w:t xml:space="preserve">Memory precision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Precisión de los hechos almacenados en memoria (sin duplicados ni contradicciones).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Reportado en benchmark público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5F60"/>
                <w:sz w:val="17"/>
                <w:szCs w:val="17"/>
              </w:rPr>
              <w:t xml:space="preserve">%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C2E"/>
                <w:sz w:val="17"/>
                <w:szCs w:val="17"/>
              </w:rPr>
              <w:t xml:space="preserve">Memory recall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Porcentaje de hechos relevantes correctamente recuperados cuando son necesarios.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Reportado en benchmark público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5F60"/>
                <w:sz w:val="17"/>
                <w:szCs w:val="17"/>
              </w:rPr>
              <w:t xml:space="preserve">%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E"/>
                <w:sz w:val="17"/>
                <w:szCs w:val="17"/>
              </w:rPr>
              <w:t xml:space="preserve">Notas</w:t>
            </w:r>
          </w:p>
        </w:tc>
        <w:tc>
          <w:tcPr>
            <w:tcW w:type="dxa" w:w="9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El paper con las métricas económicas (tokens, latencia) más explícitas de la categoría. Benchmarks reproducibles públicamente.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10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00"/>
        <w:gridCol w:w="4000"/>
        <w:gridCol w:w="2100"/>
        <w:gridCol w:w="1060"/>
      </w:tblGrid>
      <w:tr>
        <w:trPr>
          <w:tblHeader/>
        </w:trPr>
        <w:tc>
          <w:tcPr>
            <w:tcW w:type="dxa" w:w="90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B04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2025 / COLING 2025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E"/>
                <w:sz w:val="19"/>
                <w:szCs w:val="19"/>
              </w:rPr>
              <w:t xml:space="preserve">CarMem: Enhancing Long-Term Memory in LLM Voice Assistants through Category-Bounding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Kirmayr et al.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E"/>
                <w:sz w:val="16"/>
                <w:szCs w:val="16"/>
              </w:rPr>
              <w:t xml:space="preserve">✔ Con muestra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E"/>
                <w:sz w:val="18"/>
                <w:szCs w:val="18"/>
              </w:rPr>
              <w:t xml:space="preserve">Muestra/dataset: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Dataset CarMem sintético multi-turno y multi-sesión, basado en datos industriales de asistentes en automóvil. Dataset público. Evaluado en 4 categorías de preferencias de usuario (música, temperatura, navegación, entretenimiento).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Indicadores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Nombre del indicador / métrica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Definición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Valor / resultado reportado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Unidad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C2E"/>
                <w:sz w:val="17"/>
                <w:szCs w:val="17"/>
              </w:rPr>
              <w:t xml:space="preserve">Preference extraction F1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F1 en la extracción correcta de preferencias del usuario desde la conversación.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Reportado por categoría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5F60"/>
                <w:sz w:val="17"/>
                <w:szCs w:val="17"/>
              </w:rPr>
              <w:t xml:space="preserve">F1 (0–1)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C2E"/>
                <w:sz w:val="17"/>
                <w:szCs w:val="17"/>
              </w:rPr>
              <w:t xml:space="preserve">Redundancy rate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Porcentaje de preferencias almacenadas que son duplicadas o redundantes.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Reducción significativa vs. memoria no categorizada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5F60"/>
                <w:sz w:val="17"/>
                <w:szCs w:val="17"/>
              </w:rPr>
              <w:t xml:space="preserve">%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C2E"/>
                <w:sz w:val="17"/>
                <w:szCs w:val="17"/>
              </w:rPr>
              <w:t xml:space="preserve">Contradiction rate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Porcentaje de pares de preferencias almacenadas que se contradicen entre sí.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Reducción significativa vs. baseline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5F60"/>
                <w:sz w:val="17"/>
                <w:szCs w:val="17"/>
              </w:rPr>
              <w:t xml:space="preserve">%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C2E"/>
                <w:sz w:val="17"/>
                <w:szCs w:val="17"/>
              </w:rPr>
              <w:t xml:space="preserve">Category hit rate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Porcentaje de preferencias correctamente asignadas a su categoría predefinida.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Reportado por categoría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5F60"/>
                <w:sz w:val="17"/>
                <w:szCs w:val="17"/>
              </w:rPr>
              <w:t xml:space="preserve">%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E"/>
                <w:sz w:val="17"/>
                <w:szCs w:val="17"/>
              </w:rPr>
              <w:t xml:space="preserve">Notas</w:t>
            </w:r>
          </w:p>
        </w:tc>
        <w:tc>
          <w:tcPr>
            <w:tcW w:type="dxa" w:w="9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Introduce métricas de calidad de la memoria (redundancia y contradicción) que son directamente aplicables a la tesis. Dataset público.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3D0070"/>
          <w:sz w:val="23"/>
          <w:szCs w:val="23"/>
        </w:rPr>
        <w:t xml:space="preserve">Categoría C: Recuperación (RAG)</w:t>
      </w:r>
    </w:p>
    <w:tbl>
      <w:tblPr>
        <w:tblW w:type="dxa" w:w="10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00"/>
        <w:gridCol w:w="4000"/>
        <w:gridCol w:w="2100"/>
        <w:gridCol w:w="1060"/>
      </w:tblGrid>
      <w:tr>
        <w:trPr>
          <w:tblHeader/>
        </w:trPr>
        <w:tc>
          <w:tcPr>
            <w:tcW w:type="dxa" w:w="90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007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C01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2023 / ICLR 2024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0070"/>
                <w:sz w:val="19"/>
                <w:szCs w:val="19"/>
              </w:rPr>
              <w:t xml:space="preserve">Self-RAG: Learning to Retrieve, Generate and Critique through Self-Reflection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Asai et al.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E"/>
                <w:sz w:val="16"/>
                <w:szCs w:val="16"/>
              </w:rPr>
              <w:t xml:space="preserve">✔ Con muestra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0070"/>
                <w:sz w:val="18"/>
                <w:szCs w:val="18"/>
              </w:rPr>
              <w:t xml:space="preserve">Muestra/dataset: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6 benchmarks públicos: PopQA (open-domain QA), TriviaQA-unfiltered, PubHealth (health fact-checking), ARC-Challenge, ASQA (long-form QA), FactScore (biography generation). Modelo base: Llama2 7B y 13B fine-tuned.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007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Indicadores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007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Nombre del indicador / métrica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007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Definición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007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Valor / resultado reportado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007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Unidad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D0070"/>
                <w:sz w:val="17"/>
                <w:szCs w:val="17"/>
              </w:rPr>
              <w:t xml:space="preserve">Accuracy / EM (QA)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Exactitud en preguntas de respuesta corta (exact match o accuracy).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Self-RAG 7B supera a ChatGPT en PopQA (54.9% vs 50.8%) y TriviaQA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5F60"/>
                <w:sz w:val="17"/>
                <w:szCs w:val="17"/>
              </w:rPr>
              <w:t xml:space="preserve">%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D0070"/>
                <w:sz w:val="17"/>
                <w:szCs w:val="17"/>
              </w:rPr>
              <w:t xml:space="preserve">FactScore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Precisión de afirmaciones factuales en texto generado, evaluadas contra una base de conocimiento.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Self-RAG 13B: 70.8% vs ChatGPT: 52.0%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5F60"/>
                <w:sz w:val="17"/>
                <w:szCs w:val="17"/>
              </w:rPr>
              <w:t xml:space="preserve">%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D0070"/>
                <w:sz w:val="17"/>
                <w:szCs w:val="17"/>
              </w:rPr>
              <w:t xml:space="preserve">MAUVE (fluency)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Medida de fluidez y naturalidad del texto generado.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Comparable a modelos base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5F60"/>
                <w:sz w:val="17"/>
                <w:szCs w:val="17"/>
              </w:rPr>
              <w:t xml:space="preserve">0–1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D0070"/>
                <w:sz w:val="17"/>
                <w:szCs w:val="17"/>
              </w:rPr>
              <w:t xml:space="preserve">Retrieval frequency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Porcentaje de tokens donde el modelo decide recuperar pasajes (indicador de selectividad).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Varía por tarea: más frecuente en QA, menos en generación simple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5F60"/>
                <w:sz w:val="17"/>
                <w:szCs w:val="17"/>
              </w:rPr>
              <w:t xml:space="preserve">%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D0070"/>
                <w:sz w:val="17"/>
                <w:szCs w:val="17"/>
              </w:rPr>
              <w:t xml:space="preserve">Citation accuracy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Porcentaje de afirmaciones correctamente respaldadas por pasajes recuperados.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Mejora significativa vs. RAG estándar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5F60"/>
                <w:sz w:val="17"/>
                <w:szCs w:val="17"/>
              </w:rPr>
              <w:t xml:space="preserve">%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D0070"/>
                <w:sz w:val="17"/>
                <w:szCs w:val="17"/>
              </w:rPr>
              <w:t xml:space="preserve">Notas</w:t>
            </w:r>
          </w:p>
        </w:tc>
        <w:tc>
          <w:tcPr>
            <w:tcW w:type="dxa" w:w="9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Introduce el token de reflexión como indicador de comportamiento del modelo. Sin métricas de tokens ni latencia.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10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00"/>
        <w:gridCol w:w="4000"/>
        <w:gridCol w:w="2100"/>
        <w:gridCol w:w="1060"/>
      </w:tblGrid>
      <w:tr>
        <w:trPr>
          <w:tblHeader/>
        </w:trPr>
        <w:tc>
          <w:tcPr>
            <w:tcW w:type="dxa" w:w="90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007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C02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2025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0070"/>
                <w:sz w:val="19"/>
                <w:szCs w:val="19"/>
              </w:rPr>
              <w:t xml:space="preserve">RAG-MCP: Mitigating Prompt Bloat in LLM Tool Selection via RAG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Gan &amp; Sun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E"/>
                <w:sz w:val="16"/>
                <w:szCs w:val="16"/>
              </w:rPr>
              <w:t xml:space="preserve">✔ Con muestra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0070"/>
                <w:sz w:val="18"/>
                <w:szCs w:val="18"/>
              </w:rPr>
              <w:t xml:space="preserve">Muestra/dataset: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MCP stress test con catálogos de herramientas de tamaño creciente (10, 50, 100, 200 tools). Dataset de consultas de evaluación con ground truth de tool correcta. Comparación directa: RAG-MCP vs. exposición total de tools.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007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Indicadores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007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Nombre del indicador / métrica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007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Definición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007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Valor / resultado reportado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007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Unidad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D0070"/>
                <w:sz w:val="17"/>
                <w:szCs w:val="17"/>
              </w:rPr>
              <w:t xml:space="preserve">Tool selection accuracy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Porcentaje de consultas donde el modelo selecciona la herramienta correcta del catálogo.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43.13% (RAG-MCP) vs 13.62% (baseline, todas las tools)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5F60"/>
                <w:sz w:val="17"/>
                <w:szCs w:val="17"/>
              </w:rPr>
              <w:t xml:space="preserve">%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D0070"/>
                <w:sz w:val="17"/>
                <w:szCs w:val="17"/>
              </w:rPr>
              <w:t xml:space="preserve">Prompt token reduction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Reducción porcentual en el número de tokens del prompt al usar recuperación semántica de tools.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&gt;50% de reducción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5F60"/>
                <w:sz w:val="17"/>
                <w:szCs w:val="17"/>
              </w:rPr>
              <w:t xml:space="preserve">%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D0070"/>
                <w:sz w:val="17"/>
                <w:szCs w:val="17"/>
              </w:rPr>
              <w:t xml:space="preserve">Retrieval precision@k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Precisión de las k tools recuperadas semánticamente en relación con la tool correcta.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Reportado para k=1, k=3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5F60"/>
                <w:sz w:val="17"/>
                <w:szCs w:val="17"/>
              </w:rPr>
              <w:t xml:space="preserve">%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D0070"/>
                <w:sz w:val="17"/>
                <w:szCs w:val="17"/>
              </w:rPr>
              <w:t xml:space="preserve">Accuracy vs. catálogo size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Degradación de la precisión conforme crece el número de tools en el catálogo (curva de escalado).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Sin RAG: degrada fuertemente. Con RAG-MCP: se mantiene estable.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5F60"/>
                <w:sz w:val="17"/>
                <w:szCs w:val="17"/>
              </w:rPr>
              <w:t xml:space="preserve">%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D0070"/>
                <w:sz w:val="17"/>
                <w:szCs w:val="17"/>
              </w:rPr>
              <w:t xml:space="preserve">Notas</w:t>
            </w:r>
          </w:p>
        </w:tc>
        <w:tc>
          <w:tcPr>
            <w:tcW w:type="dxa" w:w="9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El paper con los indicadores más directamente relevantes para la tesis. Métricas económicas (tokens) explícitas.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10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00"/>
        <w:gridCol w:w="4000"/>
        <w:gridCol w:w="2100"/>
        <w:gridCol w:w="1060"/>
      </w:tblGrid>
      <w:tr>
        <w:trPr>
          <w:tblHeader/>
        </w:trPr>
        <w:tc>
          <w:tcPr>
            <w:tcW w:type="dxa" w:w="90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007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C03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2024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0070"/>
                <w:sz w:val="19"/>
                <w:szCs w:val="19"/>
              </w:rPr>
              <w:t xml:space="preserve">From Local to Global: A Graph RAG Approach to Query-Focused Summarization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Edge et al.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E"/>
                <w:sz w:val="16"/>
                <w:szCs w:val="16"/>
              </w:rPr>
              <w:t xml:space="preserve">✔ Con muestra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0070"/>
                <w:sz w:val="18"/>
                <w:szCs w:val="18"/>
              </w:rPr>
              <w:t xml:space="preserve">Muestra/dataset: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 corpora: noticias de podcasts (HackerNews) y artículos académicos de arXiv. Evaluación con consultas de nivel global (requieren síntesis de múltiples documentos) y local (sobre entidades específicas). Jueces LLM para comparación.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007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Indicadores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007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Nombre del indicador / métrica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007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Definición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007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Valor / resultado reportado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007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Unidad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D0070"/>
                <w:sz w:val="17"/>
                <w:szCs w:val="17"/>
              </w:rPr>
              <w:t xml:space="preserve">Comprehensiveness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Evaluación de la exhaustividad de la respuesta generada, medida por LLM juez.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GraphRAG supera RAG vector en 77% de comparaciones directas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5F60"/>
                <w:sz w:val="17"/>
                <w:szCs w:val="17"/>
              </w:rPr>
              <w:t xml:space="preserve">Win rate (%)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D0070"/>
                <w:sz w:val="17"/>
                <w:szCs w:val="17"/>
              </w:rPr>
              <w:t xml:space="preserve">Diversity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Variedad de perspectivas o fuentes integradas en la respuesta.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GraphRAG supera en 90% de comparaciones directas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5F60"/>
                <w:sz w:val="17"/>
                <w:szCs w:val="17"/>
              </w:rPr>
              <w:t xml:space="preserve">Win rate (%)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D0070"/>
                <w:sz w:val="17"/>
                <w:szCs w:val="17"/>
              </w:rPr>
              <w:t xml:space="preserve">Empowerment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Utilidad percibida de la respuesta para tomar decisiones informadas.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GraphRAG supera en 72% de comparaciones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5F60"/>
                <w:sz w:val="17"/>
                <w:szCs w:val="17"/>
              </w:rPr>
              <w:t xml:space="preserve">Win rate (%)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D0070"/>
                <w:sz w:val="17"/>
                <w:szCs w:val="17"/>
              </w:rPr>
              <w:t xml:space="preserve">Indexing token cost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Costo en tokens para construir el grafo de conocimiento.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Extremadamente alto (el repo advierte). Varía según corpus.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5F60"/>
                <w:sz w:val="17"/>
                <w:szCs w:val="17"/>
              </w:rPr>
              <w:t xml:space="preserve">tokens (costo USD reportado)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D0070"/>
                <w:sz w:val="17"/>
                <w:szCs w:val="17"/>
              </w:rPr>
              <w:t xml:space="preserve">Notas</w:t>
            </w:r>
          </w:p>
        </w:tc>
        <w:tc>
          <w:tcPr>
            <w:tcW w:type="dxa" w:w="9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Métricas basadas en evaluación relativa con LLM juez. El paper reporta explícitamente el costo de indexado como limitación.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7B3800"/>
          <w:sz w:val="23"/>
          <w:szCs w:val="23"/>
        </w:rPr>
        <w:t xml:space="preserve">Categoría D: Benchmarks de Evaluación</w:t>
      </w:r>
    </w:p>
    <w:tbl>
      <w:tblPr>
        <w:tblW w:type="dxa" w:w="10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00"/>
        <w:gridCol w:w="4000"/>
        <w:gridCol w:w="2100"/>
        <w:gridCol w:w="1060"/>
      </w:tblGrid>
      <w:tr>
        <w:trPr>
          <w:tblHeader/>
        </w:trPr>
        <w:tc>
          <w:tcPr>
            <w:tcW w:type="dxa" w:w="90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38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D01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2024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3800"/>
                <w:sz w:val="19"/>
                <w:szCs w:val="19"/>
              </w:rPr>
              <w:t xml:space="preserve">ToolBeHonest: A Multi-level Hallucination Diagnostic Benchmark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Zhang et al.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E"/>
                <w:sz w:val="16"/>
                <w:szCs w:val="16"/>
              </w:rPr>
              <w:t xml:space="preserve">✔ Con muestra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3800"/>
                <w:sz w:val="18"/>
                <w:szCs w:val="18"/>
              </w:rPr>
              <w:t xml:space="preserve">Muestra/dataset: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700 muestras de evaluación en 7 tareas, generadas con anotación manual en múltiples rondas. Modelos evaluados: GPT-4o, Gemini-1.5-Pro, Claude-3, Llama-3, Mistral, Qwen entre otros (&gt;10 modelos).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38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Indicadores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380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Nombre del indicador / métrica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380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Definición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380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Valor / resultado reportado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380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Unidad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3800"/>
                <w:sz w:val="17"/>
                <w:szCs w:val="17"/>
              </w:rPr>
              <w:t xml:space="preserve">Solvability Detection score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Capacidad del modelo para detectar si una tarea es resoluble con las tools disponibles (incluyendo el caso de tools faltantes).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GPT-4o: 37.0/100; Gemini-1.5-Pro: 45.3/100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5F60"/>
                <w:sz w:val="17"/>
                <w:szCs w:val="17"/>
              </w:rPr>
              <w:t xml:space="preserve">Puntuación 0–100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3800"/>
                <w:sz w:val="17"/>
                <w:szCs w:val="17"/>
              </w:rPr>
              <w:t xml:space="preserve">Solution Planning score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Calidad del plan de uso de herramientas generado por el modelo.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Reportado por nivel de dificultad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5F60"/>
                <w:sz w:val="17"/>
                <w:szCs w:val="17"/>
              </w:rPr>
              <w:t xml:space="preserve">Puntuación 0–100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3800"/>
                <w:sz w:val="17"/>
                <w:szCs w:val="17"/>
              </w:rPr>
              <w:t xml:space="preserve">Missing-tool hallucination rate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Tasa con la que el modelo inventa o reutiliza incorrectamente una tool cuando la necesaria está ausente.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Alta en todos los modelos evaluados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5F60"/>
                <w:sz w:val="17"/>
                <w:szCs w:val="17"/>
              </w:rPr>
              <w:t xml:space="preserve">%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3800"/>
                <w:sz w:val="17"/>
                <w:szCs w:val="17"/>
              </w:rPr>
              <w:t xml:space="preserve">Tool distractor error rate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Tasa de selección de tools distractoras en lugar de la correcta.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Aumenta con el número de distractores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5F60"/>
                <w:sz w:val="17"/>
                <w:szCs w:val="17"/>
              </w:rPr>
              <w:t xml:space="preserve">%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3800"/>
                <w:sz w:val="17"/>
                <w:szCs w:val="17"/>
              </w:rPr>
              <w:t xml:space="preserve">Notas</w:t>
            </w:r>
          </w:p>
        </w:tc>
        <w:tc>
          <w:tcPr>
            <w:tcW w:type="dxa" w:w="9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Benchmark de referencia para medir error de selección de tools. Aplicable directamente a la Fase 2 del experimento de la tesis.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10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00"/>
        <w:gridCol w:w="4000"/>
        <w:gridCol w:w="2100"/>
        <w:gridCol w:w="1060"/>
      </w:tblGrid>
      <w:tr>
        <w:trPr>
          <w:tblHeader/>
        </w:trPr>
        <w:tc>
          <w:tcPr>
            <w:tcW w:type="dxa" w:w="90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38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D02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2025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3800"/>
                <w:sz w:val="19"/>
                <w:szCs w:val="19"/>
              </w:rPr>
              <w:t xml:space="preserve">ToolHaystack: Stress-Testing Tool-Augmented LLMs in Long-Term Interactions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No publicado completamente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E"/>
                <w:sz w:val="16"/>
                <w:szCs w:val="16"/>
              </w:rPr>
              <w:t xml:space="preserve">✔ Con muestra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3800"/>
                <w:sz w:val="18"/>
                <w:szCs w:val="18"/>
              </w:rPr>
              <w:t xml:space="preserve">Muestra/dataset: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14 agentes LLM evaluados (modelos estado del arte incluyendo GPT-4, Claude, Gemini, Llama series). Conversaciones de hasta N turnos con tareas intercaladas y distractores. Dataset sintético con flujos de tareas compuestos.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38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Indicadores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380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Nombre del indicador / métrica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380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Definición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380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Valor / resultado reportado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380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Unidad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3800"/>
                <w:sz w:val="17"/>
                <w:szCs w:val="17"/>
              </w:rPr>
              <w:t xml:space="preserve">Task completion rate (long context)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Porcentaje de tareas completadas correctamente en conversaciones largas.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Degrada significativamente vs. conversaciones cortas en todos los modelos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5F60"/>
                <w:sz w:val="17"/>
                <w:szCs w:val="17"/>
              </w:rPr>
              <w:t xml:space="preserve">%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3800"/>
                <w:sz w:val="17"/>
                <w:szCs w:val="17"/>
              </w:rPr>
              <w:t xml:space="preserve">Distractor sensitivity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Caída de rendimiento al insertar tareas distractoras intercaladas.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Alta sensibilidad incluso en modelos top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5F60"/>
                <w:sz w:val="17"/>
                <w:szCs w:val="17"/>
              </w:rPr>
              <w:t xml:space="preserve">Δ% de accuracy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3800"/>
                <w:sz w:val="17"/>
                <w:szCs w:val="17"/>
              </w:rPr>
              <w:t xml:space="preserve">Long-term dependency accuracy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Precisión en tareas que requieren información de turnos anteriores (dependencia de largo alcance).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Cae con el número de turnos intermedios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5F60"/>
                <w:sz w:val="17"/>
                <w:szCs w:val="17"/>
              </w:rPr>
              <w:t xml:space="preserve">%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3800"/>
                <w:sz w:val="17"/>
                <w:szCs w:val="17"/>
              </w:rPr>
              <w:t xml:space="preserve">Consistency score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Coherencia de las respuestas a lo largo de la conversación.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Degrada progresivamente con la longitud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5F60"/>
                <w:sz w:val="17"/>
                <w:szCs w:val="17"/>
              </w:rPr>
              <w:t xml:space="preserve">%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3800"/>
                <w:sz w:val="17"/>
                <w:szCs w:val="17"/>
              </w:rPr>
              <w:t xml:space="preserve">Notas</w:t>
            </w:r>
          </w:p>
        </w:tc>
        <w:tc>
          <w:tcPr>
            <w:tcW w:type="dxa" w:w="9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Benchmark directamente relevante para medir context rot en escenarios multi-tool. Curvas de degradación por longitud de contexto.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10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00"/>
        <w:gridCol w:w="4000"/>
        <w:gridCol w:w="2100"/>
        <w:gridCol w:w="1060"/>
      </w:tblGrid>
      <w:tr>
        <w:trPr>
          <w:tblHeader/>
        </w:trPr>
        <w:tc>
          <w:tcPr>
            <w:tcW w:type="dxa" w:w="90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38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D03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2025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3800"/>
                <w:sz w:val="19"/>
                <w:szCs w:val="19"/>
              </w:rPr>
              <w:t xml:space="preserve">The Reasoning Trap: How Enhancing LLM Reasoning Amplifies Tool Hallucination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No publicado completamente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E"/>
                <w:sz w:val="16"/>
                <w:szCs w:val="16"/>
              </w:rPr>
              <w:t xml:space="preserve">✔ Con muestra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3800"/>
                <w:sz w:val="18"/>
                <w:szCs w:val="18"/>
              </w:rPr>
              <w:t xml:space="preserve">Muestra/dataset: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Benchmark SimpleToolHalluBench con 2 escenarios: (A) ninguna tool disponible (el modelo debe abstenerse) y (B) solo tools distractoras disponibles (el modelo debe detectar que ninguna sirve). Múltiples modelos base + variantes con RL.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38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Indicadores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380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Nombre del indicador / métrica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380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Definición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380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Valor / resultado reportado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380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Unidad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3800"/>
                <w:sz w:val="17"/>
                <w:szCs w:val="17"/>
              </w:rPr>
              <w:t xml:space="preserve">Hallucination rate (no-tool)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Tasa con la que el modelo inventa una tool o llama a una inexistente cuando ninguna está disponible.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Aumenta con el nivel de razonamiento reforzado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5F60"/>
                <w:sz w:val="17"/>
                <w:szCs w:val="17"/>
              </w:rPr>
              <w:t xml:space="preserve">%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3800"/>
                <w:sz w:val="17"/>
                <w:szCs w:val="17"/>
              </w:rPr>
              <w:t xml:space="preserve">Hallucination rate (distractor-only)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Tasa de selección incorrecta cuando solo hay tools distractoras.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Aumenta con RL training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5F60"/>
                <w:sz w:val="17"/>
                <w:szCs w:val="17"/>
              </w:rPr>
              <w:t xml:space="preserve">%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3800"/>
                <w:sz w:val="17"/>
                <w:szCs w:val="17"/>
              </w:rPr>
              <w:t xml:space="preserve">Utility score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Utilidad de la respuesta final para el usuario (medida con LLM juez).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Cae cuando se mitiga la alucinación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5F60"/>
                <w:sz w:val="17"/>
                <w:szCs w:val="17"/>
              </w:rPr>
              <w:t xml:space="preserve">%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3800"/>
                <w:sz w:val="17"/>
                <w:szCs w:val="17"/>
              </w:rPr>
              <w:t xml:space="preserve">Reasoning depth vs. hallucination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Correlación entre profundidad de razonamiento (pasos) y tasa de alucinación de tools.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Correlación positiva: más razonamiento → más alucinación de tools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5F60"/>
                <w:sz w:val="17"/>
                <w:szCs w:val="17"/>
              </w:rPr>
              <w:t xml:space="preserve">Correlación 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3800"/>
                <w:sz w:val="17"/>
                <w:szCs w:val="17"/>
              </w:rPr>
              <w:t xml:space="preserve">Notas</w:t>
            </w:r>
          </w:p>
        </w:tc>
        <w:tc>
          <w:tcPr>
            <w:tcW w:type="dxa" w:w="9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Documenta el trade-off precisión/alucinación en tool use. Relevante para justificar técnicas de gating que no dependan solo del razonamiento del modelo.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10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00"/>
        <w:gridCol w:w="4000"/>
        <w:gridCol w:w="2100"/>
        <w:gridCol w:w="1060"/>
      </w:tblGrid>
      <w:tr>
        <w:trPr>
          <w:tblHeader/>
        </w:trPr>
        <w:tc>
          <w:tcPr>
            <w:tcW w:type="dxa" w:w="90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38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D04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2024 / ICLR 2025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3800"/>
                <w:sz w:val="19"/>
                <w:szCs w:val="19"/>
              </w:rPr>
              <w:t xml:space="preserve">LongMemEval: Benchmarking Chat Assistants on Long-Term Interactive Memory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Wu et al.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E"/>
                <w:sz w:val="16"/>
                <w:szCs w:val="16"/>
              </w:rPr>
              <w:t xml:space="preserve">✔ Con muestra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3800"/>
                <w:sz w:val="18"/>
                <w:szCs w:val="18"/>
              </w:rPr>
              <w:t xml:space="preserve">Muestra/dataset: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500 preguntas curadas embebidas en historiales de conversación de 115K tokens (LongMemEval-S) y hasta 1.5M tokens (LongMemEval-M). 5 tipos de preguntas: extracción, razonamiento multi-sesión, razonamiento temporal, actualización de conocimiento, abstención.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38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Indicadores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380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Nombre del indicador / métrica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380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Definición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380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Valor / resultado reportado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380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Unidad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3800"/>
                <w:sz w:val="17"/>
                <w:szCs w:val="17"/>
              </w:rPr>
              <w:t xml:space="preserve">Accuracy (offline reading)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Precisión cuando el modelo lee solo la sesión con la respuesta correcta.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GPT-4o: ~92%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5F60"/>
                <w:sz w:val="17"/>
                <w:szCs w:val="17"/>
              </w:rPr>
              <w:t xml:space="preserve">%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3800"/>
                <w:sz w:val="17"/>
                <w:szCs w:val="17"/>
              </w:rPr>
              <w:t xml:space="preserve">Accuracy (full interactive)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Precisión en modo interactivo completo con todas las sesiones.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GPT-4o: ~58% (caída de ~34 pp)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5F60"/>
                <w:sz w:val="17"/>
                <w:szCs w:val="17"/>
              </w:rPr>
              <w:t xml:space="preserve">%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3800"/>
                <w:sz w:val="17"/>
                <w:szCs w:val="17"/>
              </w:rPr>
              <w:t xml:space="preserve">Multi-session reasoning accuracy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Precisión en preguntas que requieren integrar información de múltiples sesiones.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La más difícil; todos los modelos &lt;50%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5F60"/>
                <w:sz w:val="17"/>
                <w:szCs w:val="17"/>
              </w:rPr>
              <w:t xml:space="preserve">%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3800"/>
                <w:sz w:val="17"/>
                <w:szCs w:val="17"/>
              </w:rPr>
              <w:t xml:space="preserve">Temporal reasoning accuracy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Precisión en preguntas que requieren razonamiento sobre cuándo ocurrió algo.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Moderada; mejor con time-aware query expansion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5F60"/>
                <w:sz w:val="17"/>
                <w:szCs w:val="17"/>
              </w:rPr>
              <w:t xml:space="preserve">%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3800"/>
                <w:sz w:val="17"/>
                <w:szCs w:val="17"/>
              </w:rPr>
              <w:t xml:space="preserve">Knowledge update accuracy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Precisión cuando una preferencia o hecho del usuario ha cambiado entre sesiones.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Baja; los modelos tienden a usar el dato antiguo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5F60"/>
                <w:sz w:val="17"/>
                <w:szCs w:val="17"/>
              </w:rPr>
              <w:t xml:space="preserve">%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3800"/>
                <w:sz w:val="17"/>
                <w:szCs w:val="17"/>
              </w:rPr>
              <w:t xml:space="preserve">Abstention accuracy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Tasa correcta de abstención cuando la respuesta no está en el historial.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Variable; tendencia a alucinación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5F60"/>
                <w:sz w:val="17"/>
                <w:szCs w:val="17"/>
              </w:rPr>
              <w:t xml:space="preserve">%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3800"/>
                <w:sz w:val="17"/>
                <w:szCs w:val="17"/>
              </w:rPr>
              <w:t xml:space="preserve">Notas</w:t>
            </w:r>
          </w:p>
        </w:tc>
        <w:tc>
          <w:tcPr>
            <w:tcW w:type="dxa" w:w="9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Benchmark más completo para memoria longitudinal. Las 6 métricas corresponden a las 5 habilidades evaluadas. ICLR 2025.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10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00"/>
        <w:gridCol w:w="4000"/>
        <w:gridCol w:w="2100"/>
        <w:gridCol w:w="1060"/>
      </w:tblGrid>
      <w:tr>
        <w:trPr>
          <w:tblHeader/>
        </w:trPr>
        <w:tc>
          <w:tcPr>
            <w:tcW w:type="dxa" w:w="90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38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D05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2024 / ACL 2024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3800"/>
                <w:sz w:val="19"/>
                <w:szCs w:val="19"/>
              </w:rPr>
              <w:t xml:space="preserve">LoCoMo: Evaluating Very Long-Term Conversational Memory of LLM Agents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Maharana et al.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E"/>
                <w:sz w:val="16"/>
                <w:szCs w:val="16"/>
              </w:rPr>
              <w:t xml:space="preserve">✔ Con muestra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3800"/>
                <w:sz w:val="18"/>
                <w:szCs w:val="18"/>
              </w:rPr>
              <w:t xml:space="preserve">Muestra/dataset: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Dataset LoCoMo: conversaciones con 300 turnos promedio, ~9K tokens por sesión, hasta 35 sesiones. Generado con pipeline máquina-humano. Tareas: QA sobre el historial, resumen de eventos, generación dialógica multimodal.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38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Indicadores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380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Nombre del indicador / métrica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380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Definición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380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Valor / resultado reportado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380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Unidad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3800"/>
                <w:sz w:val="17"/>
                <w:szCs w:val="17"/>
              </w:rPr>
              <w:t xml:space="preserve">QA Accuracy (sobre historial)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Precisión en preguntas factuales sobre eventos de la conversación pasada.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Modelos top &lt;60%; humanos ~90%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5F60"/>
                <w:sz w:val="17"/>
                <w:szCs w:val="17"/>
              </w:rPr>
              <w:t xml:space="preserve">%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3800"/>
                <w:sz w:val="17"/>
                <w:szCs w:val="17"/>
              </w:rPr>
              <w:t xml:space="preserve">Event summarization ROUGE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Calidad del resumen de eventos de la conversación medido con ROUGE-L.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Reportado por modelo evaluado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5F60"/>
                <w:sz w:val="17"/>
                <w:szCs w:val="17"/>
              </w:rPr>
              <w:t xml:space="preserve">ROUGE-L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3800"/>
                <w:sz w:val="17"/>
                <w:szCs w:val="17"/>
              </w:rPr>
              <w:t xml:space="preserve">Temporal causality accuracy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Precisión en preguntas que requieren entender relaciones causales en el tiempo.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La dimensión más difícil para todos los modelos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5F60"/>
                <w:sz w:val="17"/>
                <w:szCs w:val="17"/>
              </w:rPr>
              <w:t xml:space="preserve">%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3800"/>
                <w:sz w:val="17"/>
                <w:szCs w:val="17"/>
              </w:rPr>
              <w:t xml:space="preserve">RAG improvement Δ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Ganancia de precisión al añadir RAG sobre el historial vs. modelo base.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Mejora parcial; sigue muy por debajo de humanos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5F60"/>
                <w:sz w:val="17"/>
                <w:szCs w:val="17"/>
              </w:rPr>
              <w:t xml:space="preserve">Δ%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3800"/>
                <w:sz w:val="17"/>
                <w:szCs w:val="17"/>
              </w:rPr>
              <w:t xml:space="preserve">Notas</w:t>
            </w:r>
          </w:p>
        </w:tc>
        <w:tc>
          <w:tcPr>
            <w:tcW w:type="dxa" w:w="9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Dataset más largo de conversaciones multi-sesión disponible públicamente. Referencia para diseño experimental multi-sesión de la tesis.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05F60"/>
          <w:sz w:val="23"/>
          <w:szCs w:val="23"/>
        </w:rPr>
        <w:t xml:space="preserve">Categoría E: Frameworks / Especificaciones</w:t>
      </w:r>
    </w:p>
    <w:tbl>
      <w:tblPr>
        <w:tblW w:type="dxa" w:w="10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00"/>
        <w:gridCol w:w="4000"/>
        <w:gridCol w:w="2100"/>
        <w:gridCol w:w="1060"/>
      </w:tblGrid>
      <w:tr>
        <w:trPr>
          <w:tblHeader/>
        </w:trPr>
        <w:tc>
          <w:tcPr>
            <w:tcW w:type="dxa" w:w="90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F6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E01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Nov 2024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5F60"/>
                <w:sz w:val="19"/>
                <w:szCs w:val="19"/>
              </w:rPr>
              <w:t xml:space="preserve">Model Context Protocol – Especificación Oficial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Anthropic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0000"/>
                <w:sz w:val="16"/>
                <w:szCs w:val="16"/>
              </w:rPr>
              <w:t xml:space="preserve">✘ Sin muestra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5F60"/>
                <w:sz w:val="18"/>
                <w:szCs w:val="18"/>
              </w:rPr>
              <w:t xml:space="preserve">Muestra/dataset: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Especificación técnica. No incluye benchmarks ni experimentos empíricos.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F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Indicadores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F6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Nombre del indicador / métrica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F6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Definición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F6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Valor / resultado reportado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F6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Unidad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5F60"/>
                <w:sz w:val="17"/>
                <w:szCs w:val="17"/>
              </w:rPr>
              <w:t xml:space="preserve">Número de primitivos del protocolo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Primitivos definidos para servidores (Tools, Resources, Prompts) y clientes (Roots, Sampling).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5 primitivos totales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5F60"/>
                <w:sz w:val="17"/>
                <w:szCs w:val="17"/>
              </w:rPr>
              <w:t xml:space="preserve">Conteo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5F60"/>
                <w:sz w:val="17"/>
                <w:szCs w:val="17"/>
              </w:rPr>
              <w:t xml:space="preserve">Overhead de tokens por tool definition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Costo estimado de tokens por cada definición de herramienta expuesta al modelo.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Documentado: decenas de miles de tokens para catálogos grandes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5F60"/>
                <w:sz w:val="17"/>
                <w:szCs w:val="17"/>
              </w:rPr>
              <w:t xml:space="preserve">tokens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5F60"/>
                <w:sz w:val="17"/>
                <w:szCs w:val="17"/>
              </w:rPr>
              <w:t xml:space="preserve">Latencia de listChanged notification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Tiempo de propagación de la notificación de cambio en el catálogo de tools.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Definido en el protocolo; depende de la implementación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5F60"/>
                <w:sz w:val="17"/>
                <w:szCs w:val="17"/>
              </w:rPr>
              <w:t xml:space="preserve">ms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5F60"/>
                <w:sz w:val="17"/>
                <w:szCs w:val="17"/>
              </w:rPr>
              <w:t xml:space="preserve">Notas</w:t>
            </w:r>
          </w:p>
        </w:tc>
        <w:tc>
          <w:tcPr>
            <w:tcW w:type="dxa" w:w="9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La especificación no es un paper experimental sino una norma técnica. Los indicadores son definiciones del protocolo, no resultados empíricos.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10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00"/>
        <w:gridCol w:w="4000"/>
        <w:gridCol w:w="2100"/>
        <w:gridCol w:w="1060"/>
      </w:tblGrid>
      <w:tr>
        <w:trPr>
          <w:tblHeader/>
        </w:trPr>
        <w:tc>
          <w:tcPr>
            <w:tcW w:type="dxa" w:w="90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F6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E02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2024–2025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5F60"/>
                <w:sz w:val="19"/>
                <w:szCs w:val="19"/>
              </w:rPr>
              <w:t xml:space="preserve">LangGraph – State Management and Agent Orchestration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LangChain Team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3800"/>
                <w:sz w:val="16"/>
                <w:szCs w:val="16"/>
              </w:rPr>
              <w:t xml:space="preserve">~ Parcial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5F60"/>
                <w:sz w:val="18"/>
                <w:szCs w:val="18"/>
              </w:rPr>
              <w:t xml:space="preserve">Muestra/dataset: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Documentación técnica con ejemplos de uso. No publica benchmarks propios comparativos, pero LangSmith provee datos de evaluación de usuarios en producción.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F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Indicadores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F6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Nombre del indicador / métrica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F6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Definición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F6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Valor / resultado reportado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F6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Unidad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5F60"/>
                <w:sz w:val="17"/>
                <w:szCs w:val="17"/>
              </w:rPr>
              <w:t xml:space="preserve">Checkpoint overhead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Latencia adicional por persistir el estado del agente en cada paso.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Reportado como bajo en docs; varía por backend de almacenamiento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5F60"/>
                <w:sz w:val="17"/>
                <w:szCs w:val="17"/>
              </w:rPr>
              <w:t xml:space="preserve">ms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5F60"/>
                <w:sz w:val="17"/>
                <w:szCs w:val="17"/>
              </w:rPr>
              <w:t xml:space="preserve">Thread recovery time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Tiempo para reanudar un hilo desde un checkpoint fallido.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Sub-segundo en memoria; varía con almacenamiento persistente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5F60"/>
                <w:sz w:val="17"/>
                <w:szCs w:val="17"/>
              </w:rPr>
              <w:t xml:space="preserve">ms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5F60"/>
                <w:sz w:val="17"/>
                <w:szCs w:val="17"/>
              </w:rPr>
              <w:t xml:space="preserve">Memory store latency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Latencia de lectura/escritura del long-term store JSON.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Dependiente del backend (SQLite, PostgreSQL, Redis)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5F60"/>
                <w:sz w:val="17"/>
                <w:szCs w:val="17"/>
              </w:rPr>
              <w:t xml:space="preserve">ms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5F60"/>
                <w:sz w:val="17"/>
                <w:szCs w:val="17"/>
              </w:rPr>
              <w:t xml:space="preserve">Notas</w:t>
            </w:r>
          </w:p>
        </w:tc>
        <w:tc>
          <w:tcPr>
            <w:tcW w:type="dxa" w:w="9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Framework de producción; los indicadores provienen de documentación técnica y experiencia reportada por usuarios, no de papers académicos.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05F60"/>
          <w:sz w:val="23"/>
          <w:szCs w:val="23"/>
        </w:rPr>
        <w:t xml:space="preserve">Categoría F: Herramientas de Evaluación</w:t>
      </w:r>
    </w:p>
    <w:tbl>
      <w:tblPr>
        <w:tblW w:type="dxa" w:w="10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00"/>
        <w:gridCol w:w="4000"/>
        <w:gridCol w:w="2100"/>
        <w:gridCol w:w="1060"/>
      </w:tblGrid>
      <w:tr>
        <w:trPr>
          <w:tblHeader/>
        </w:trPr>
        <w:tc>
          <w:tcPr>
            <w:tcW w:type="dxa" w:w="90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F6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E03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2023–2025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5F60"/>
                <w:sz w:val="19"/>
                <w:szCs w:val="19"/>
              </w:rPr>
              <w:t xml:space="preserve">Ragas: Automated Evaluation of RAG Pipelines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Es et al.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E"/>
                <w:sz w:val="16"/>
                <w:szCs w:val="16"/>
              </w:rPr>
              <w:t xml:space="preserve">✔ Con muestra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5F60"/>
                <w:sz w:val="18"/>
                <w:szCs w:val="18"/>
              </w:rPr>
              <w:t xml:space="preserve">Muestra/dataset: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Validado contra evaluación humana en datasets de QA (Natural Questions, TriviaQA) y datasets propios de RAG. Paper original 2023, framework en evolución continua.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F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Indicadores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F6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Nombre del indicador / métrica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F6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Definición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F6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Valor / resultado reportado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F6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Unidad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5F60"/>
                <w:sz w:val="17"/>
                <w:szCs w:val="17"/>
              </w:rPr>
              <w:t xml:space="preserve">Context Precision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Fracción de los chunks recuperados que son relevantes para la pregunta.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Correlación ~0.75 con evaluación humana en NQ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5F60"/>
                <w:sz w:val="17"/>
                <w:szCs w:val="17"/>
              </w:rPr>
              <w:t xml:space="preserve">0–1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5F60"/>
                <w:sz w:val="17"/>
                <w:szCs w:val="17"/>
              </w:rPr>
              <w:t xml:space="preserve">Context Recall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Fracción del ground truth cubierta por los chunks recuperados.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Correlación ~0.72 con evaluación humana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5F60"/>
                <w:sz w:val="17"/>
                <w:szCs w:val="17"/>
              </w:rPr>
              <w:t xml:space="preserve">0–1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5F60"/>
                <w:sz w:val="17"/>
                <w:szCs w:val="17"/>
              </w:rPr>
              <w:t xml:space="preserve">Faithfulness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Proporción de afirmaciones en la respuesta que están respaldadas por el contexto recuperado.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Correlación ~0.81 con evaluación humana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5F60"/>
                <w:sz w:val="17"/>
                <w:szCs w:val="17"/>
              </w:rPr>
              <w:t xml:space="preserve">0–1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5F60"/>
                <w:sz w:val="17"/>
                <w:szCs w:val="17"/>
              </w:rPr>
              <w:t xml:space="preserve">Answer Relevancy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Relevancia de la respuesta generada respecto a la pregunta original.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Correlación ~0.78 con evaluación humana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5F60"/>
                <w:sz w:val="17"/>
                <w:szCs w:val="17"/>
              </w:rPr>
              <w:t xml:space="preserve">0–1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5F60"/>
                <w:sz w:val="17"/>
                <w:szCs w:val="17"/>
              </w:rPr>
              <w:t xml:space="preserve">Noise Sensitivity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Sensibilidad del sistema a la inserción de chunks ruidosos o irrelevantes.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Métrica diagnóstica; varía por modelo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5F60"/>
                <w:sz w:val="17"/>
                <w:szCs w:val="17"/>
              </w:rPr>
              <w:t xml:space="preserve">0–1 (mayor = más sensible)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5F60"/>
                <w:sz w:val="17"/>
                <w:szCs w:val="17"/>
              </w:rPr>
              <w:t xml:space="preserve">Tool Call Accuracy (agentes)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Precisión en la selección y uso de herramientas por el agente.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Métrica para agentes; reportado en Ragas v0.2+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5F60"/>
                <w:sz w:val="17"/>
                <w:szCs w:val="17"/>
              </w:rPr>
              <w:t xml:space="preserve">0–1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5F60"/>
                <w:sz w:val="17"/>
                <w:szCs w:val="17"/>
              </w:rPr>
              <w:t xml:space="preserve">Notas</w:t>
            </w:r>
          </w:p>
        </w:tc>
        <w:tc>
          <w:tcPr>
            <w:tcW w:type="dxa" w:w="9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Suite de evaluación más completa para RAG y agentes. Las métricas son el estándar de facto para evaluar sistemas de recuperación aumentada.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Tabla consolidada de indicadores para la tesis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La siguiente tabla unifica todos los indicadores únicos identificados y su relevancia directa para el protocolo de evaluación experimental de la tesis. Los marcados como 'Directa — métrica primaria' serán las variables dependientes del experimento.</w:t>
      </w:r>
    </w:p>
    <w:p>
      <w:pPr>
        <w:spacing w:after="60" w:before="60"/>
      </w:pPr>
      <w:r>
        <w:t xml:space="preserve"/>
      </w:r>
    </w:p>
    <w:tbl>
      <w:tblPr>
        <w:tblW w:type="dxa" w:w="11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2000"/>
        <w:gridCol w:w="1000"/>
        <w:gridCol w:w="27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Indicador / Métrica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Definición breve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Papers de origen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Unidad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Relevancia para la tesis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Costo de tokens (input/output/cached)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Tokens consumidos por consulta, desglosados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Mem0, RAG-MCP, GraphRAG, OpenAI docs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5F60"/>
                <w:sz w:val="17"/>
                <w:szCs w:val="17"/>
              </w:rPr>
              <w:t xml:space="preserve">tokens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Directa — métrica primaria de la tesis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Latencia p50 / p95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Percentiles de tiempo de respuesta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Mem0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5F60"/>
                <w:sz w:val="17"/>
                <w:szCs w:val="17"/>
              </w:rPr>
              <w:t xml:space="preserve">ms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Directa — métrica primaria de la tesis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Prompt token reduction (%)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Reducción de tokens al aplicar técnica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RAG-MCP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5F60"/>
                <w:sz w:val="17"/>
                <w:szCs w:val="17"/>
              </w:rPr>
              <w:t xml:space="preserve">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Directa — mide eficiencia de gating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Tool selection accuracy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% de selección correcta de herramienta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RAG-MCP, ToolBH, SimpleToolHalluBench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5F60"/>
                <w:sz w:val="17"/>
                <w:szCs w:val="17"/>
              </w:rPr>
              <w:t xml:space="preserve">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Directa — mide context rot por tools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Task completion rate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% de tareas completadas en contexto largo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ToolHaystack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5F60"/>
                <w:sz w:val="17"/>
                <w:szCs w:val="17"/>
              </w:rPr>
              <w:t xml:space="preserve">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Directa — mide degradación por longitud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LLM-as-a-Judge score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Calidad de respuesta evaluada por LLM juez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Mem0, LoCoMo, LongMemEval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5F60"/>
                <w:sz w:val="17"/>
                <w:szCs w:val="17"/>
              </w:rPr>
              <w:t xml:space="preserve">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Directa — calidad de respuesta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Accuracy / Exact Match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Coincidencia con respuesta gold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ReAct, Self-RAG, LongMemEval, LoCoMo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5F60"/>
                <w:sz w:val="17"/>
                <w:szCs w:val="17"/>
              </w:rPr>
              <w:t xml:space="preserve">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Directa — precisión de respuesta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Faithfulness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Respuesta respaldada por contexto recuperado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Ragas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5F60"/>
                <w:sz w:val="17"/>
                <w:szCs w:val="17"/>
              </w:rPr>
              <w:t xml:space="preserve">0–1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Indirecta — mide context rot por alucinación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Context Precision / Recall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Calidad del contexto recuperado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Ragas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5F60"/>
                <w:sz w:val="17"/>
                <w:szCs w:val="17"/>
              </w:rPr>
              <w:t xml:space="preserve">0–1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Indirecta — calidad del retrieval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Memory Recall Rate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% de hechos relevantes correctamente recuperados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MemoryBank, LongMemEval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5F60"/>
                <w:sz w:val="17"/>
                <w:szCs w:val="17"/>
              </w:rPr>
              <w:t xml:space="preserve">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Directa — mide eficacia de memoria LT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Redundancy rate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% de memorias duplicadas o redundantes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CarMem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5F60"/>
                <w:sz w:val="17"/>
                <w:szCs w:val="17"/>
              </w:rPr>
              <w:t xml:space="preserve">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Directa — calidad de memoria categorizada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Contradiction rate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% de pares de memorias contradictorias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CarMem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5F60"/>
                <w:sz w:val="17"/>
                <w:szCs w:val="17"/>
              </w:rPr>
              <w:t xml:space="preserve">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Directa — coherencia de memoria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Knowledge update accuracy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% de actualizaciones de hechos captadas correctamente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LongMemEval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5F60"/>
                <w:sz w:val="17"/>
                <w:szCs w:val="17"/>
              </w:rPr>
              <w:t xml:space="preserve">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Directa — stale memory detection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Hallucination rate (tools)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% de invocaciones a tools inexistentes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ToolBH, SimpleToolHalluBench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5F60"/>
                <w:sz w:val="17"/>
                <w:szCs w:val="17"/>
              </w:rPr>
              <w:t xml:space="preserve">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Directa — mide tool overload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Missing-tool detection rate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% de detección correcta de tools faltantes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ToolBH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5F60"/>
                <w:sz w:val="17"/>
                <w:szCs w:val="17"/>
              </w:rPr>
              <w:t xml:space="preserve">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Directa — robustez de tool gating</w:t>
            </w:r>
          </w:p>
        </w:tc>
      </w:tr>
    </w:tbl>
    <w:p>
      <w:pPr>
        <w:spacing w:after="140" w:before="14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Notas sobre replicabilidad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La mayoría de los benchmarks de evaluación (LongMemEval, LoCoMo, ToolBH, CarMem dataset) están disponibles públicamente, lo que permite replicar los experimentos y comparar los resultados de la tesis directamente con los valores reportados en la literatura. Los benchmarks de Mem0 (mem0.ai/research) también son públicos aunque desarrollados por el propio proveedor.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Para los indicadores económicos (tokens, latencia), los valores de referencia provienen principalmente de la documentación de OpenAI (Prompt Caching), Anthropic (MCP docs) y el paper de Mem0. La tesis medirá estos indicadores de forma experimental propia, lo que permitirá comparar directamente con los valores publicados.</w:t>
      </w:r>
    </w:p>
    <w:sectPr>
      <w:headerReference w:type="default" r:id="rId7"/>
      <w:footerReference w:type="default" r:id="rId8"/>
      <w:pgSz w:w="12240" w:h="15840" w:orient="landscape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spacing w:before="60"/>
      <w:jc w:val="right"/>
    </w:pPr>
    <w:r>
      <w:rPr>
        <w:rFonts w:ascii="Arial" w:cs="Arial" w:eastAsia="Arial" w:hAnsi="Arial"/>
        <w:color w:val="555555"/>
        <w:sz w:val="18"/>
        <w:szCs w:val="18"/>
      </w:rPr>
      <w:t xml:space="preserve">Página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8"/>
        <w:szCs w:val="18"/>
      </w:rPr>
      <w:t xml:space="preserve"> de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TESIS  |  DOC-04: Indicadores y Métricas por Paper</w:t>
    </w:r>
    <w:r>
      <w:rPr>
        <w:rFonts w:ascii="Arial" w:cs="Arial" w:eastAsia="Arial" w:hAnsi="Arial"/>
        <w:color w:val="555555"/>
        <w:sz w:val="18"/>
        <w:szCs w:val="18"/>
      </w:rPr>
      <w:t xml:space="preserve">  —  Edinson Núñez  ·  Abril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2026-04-25T23:43:21.549Z</dcterms:created>
  <dcterms:modified xsi:type="dcterms:W3CDTF">2026-04-25T23:43:21.549Z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