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lineRule="auto"/>
      </w:pPr>
      <w:r>
        <w:rPr>
          <w:rFonts w:ascii="Times New Roman" w:cs="Times New Roman" w:eastAsia="Times New Roman" w:hAnsi="Times New Roman"/>
          <w:sz w:val="24"/>
          <w:szCs w:val="24"/>
        </w:rPr>
        <w:t xml:space="preserve"/>
      </w:r>
    </w:p>
    <w:p>
      <w:pPr>
        <w:spacing w:line="480" w:lineRule="auto"/>
      </w:pPr>
      <w:r>
        <w:rPr>
          <w:rFonts w:ascii="Times New Roman" w:cs="Times New Roman" w:eastAsia="Times New Roman" w:hAnsi="Times New Roman"/>
          <w:sz w:val="24"/>
          <w:szCs w:val="24"/>
        </w:rPr>
        <w:t xml:space="preserve"/>
      </w:r>
    </w:p>
    <w:p>
      <w:pPr>
        <w:spacing w:line="480" w:lineRule="auto"/>
      </w:pPr>
      <w:r>
        <w:rPr>
          <w:rFonts w:ascii="Times New Roman" w:cs="Times New Roman" w:eastAsia="Times New Roman" w:hAnsi="Times New Roman"/>
          <w:sz w:val="24"/>
          <w:szCs w:val="24"/>
        </w:rPr>
        <w:t xml:space="preserve"/>
      </w:r>
    </w:p>
    <w:p>
      <w:pPr>
        <w:spacing w:line="480" w:lineRule="auto"/>
        <w:jc w:val="center"/>
      </w:pPr>
      <w:r>
        <w:rPr>
          <w:rFonts w:ascii="Times New Roman" w:cs="Times New Roman" w:eastAsia="Times New Roman" w:hAnsi="Times New Roman"/>
          <w:b/>
          <w:bCs/>
          <w:color w:val="000000"/>
          <w:sz w:val="24"/>
          <w:szCs w:val="24"/>
        </w:rPr>
        <w:t xml:space="preserve">Medición del Impacto de Técnicas de Memoria y Gestión de Contexto sobre la Degradación de Respuestas en Agentes LLM Conectados a Múltiples Servidores MCP</w:t>
      </w:r>
    </w:p>
    <w:p>
      <w:pPr>
        <w:spacing w:line="480" w:lineRule="auto"/>
      </w:pPr>
      <w:r>
        <w:rPr>
          <w:rFonts w:ascii="Times New Roman" w:cs="Times New Roman" w:eastAsia="Times New Roman" w:hAnsi="Times New Roman"/>
          <w:sz w:val="24"/>
          <w:szCs w:val="24"/>
        </w:rPr>
        <w:t xml:space="preserve"/>
      </w:r>
    </w:p>
    <w:p>
      <w:pPr>
        <w:spacing w:line="480" w:lineRule="auto"/>
        <w:jc w:val="center"/>
      </w:pPr>
      <w:r>
        <w:rPr>
          <w:rFonts w:ascii="Times New Roman" w:cs="Times New Roman" w:eastAsia="Times New Roman" w:hAnsi="Times New Roman"/>
          <w:color w:val="000000"/>
          <w:sz w:val="24"/>
          <w:szCs w:val="24"/>
        </w:rPr>
        <w:t xml:space="preserve">Edinson Núñez</w:t>
      </w:r>
    </w:p>
    <w:p>
      <w:pPr>
        <w:spacing w:line="480" w:lineRule="auto"/>
      </w:pPr>
      <w:r>
        <w:rPr>
          <w:rFonts w:ascii="Times New Roman" w:cs="Times New Roman" w:eastAsia="Times New Roman" w:hAnsi="Times New Roman"/>
          <w:sz w:val="24"/>
          <w:szCs w:val="24"/>
        </w:rPr>
        <w:t xml:space="preserve"/>
      </w:r>
    </w:p>
    <w:p>
      <w:pPr>
        <w:spacing w:line="480" w:lineRule="auto"/>
        <w:jc w:val="center"/>
      </w:pPr>
      <w:r>
        <w:rPr>
          <w:rFonts w:ascii="Times New Roman" w:cs="Times New Roman" w:eastAsia="Times New Roman" w:hAnsi="Times New Roman"/>
          <w:color w:val="000000"/>
          <w:sz w:val="24"/>
          <w:szCs w:val="24"/>
        </w:rPr>
        <w:t xml:space="preserve">[Facultad / Escuela Profesional]</w:t>
      </w:r>
    </w:p>
    <w:p>
      <w:pPr>
        <w:spacing w:line="480" w:lineRule="auto"/>
        <w:jc w:val="center"/>
      </w:pPr>
      <w:r>
        <w:rPr>
          <w:rFonts w:ascii="Times New Roman" w:cs="Times New Roman" w:eastAsia="Times New Roman" w:hAnsi="Times New Roman"/>
          <w:color w:val="000000"/>
          <w:sz w:val="24"/>
          <w:szCs w:val="24"/>
        </w:rPr>
        <w:t xml:space="preserve">[Universidad]</w:t>
      </w:r>
    </w:p>
    <w:p>
      <w:pPr>
        <w:spacing w:line="480" w:lineRule="auto"/>
      </w:pPr>
      <w:r>
        <w:rPr>
          <w:rFonts w:ascii="Times New Roman" w:cs="Times New Roman" w:eastAsia="Times New Roman" w:hAnsi="Times New Roman"/>
          <w:sz w:val="24"/>
          <w:szCs w:val="24"/>
        </w:rPr>
        <w:t xml:space="preserve"/>
      </w:r>
    </w:p>
    <w:p>
      <w:pPr>
        <w:spacing w:line="480" w:lineRule="auto"/>
        <w:jc w:val="center"/>
      </w:pPr>
      <w:r>
        <w:rPr>
          <w:rFonts w:ascii="Times New Roman" w:cs="Times New Roman" w:eastAsia="Times New Roman" w:hAnsi="Times New Roman"/>
          <w:color w:val="000000"/>
          <w:sz w:val="24"/>
          <w:szCs w:val="24"/>
        </w:rPr>
        <w:t xml:space="preserve">[Asesor de Tesis]</w:t>
      </w:r>
    </w:p>
    <w:p>
      <w:pPr>
        <w:spacing w:line="480" w:lineRule="auto"/>
      </w:pPr>
      <w:r>
        <w:rPr>
          <w:rFonts w:ascii="Times New Roman" w:cs="Times New Roman" w:eastAsia="Times New Roman" w:hAnsi="Times New Roman"/>
          <w:sz w:val="24"/>
          <w:szCs w:val="24"/>
        </w:rPr>
        <w:t xml:space="preserve"/>
      </w:r>
    </w:p>
    <w:p>
      <w:pPr>
        <w:spacing w:line="480" w:lineRule="auto"/>
        <w:jc w:val="center"/>
      </w:pPr>
      <w:r>
        <w:rPr>
          <w:rFonts w:ascii="Times New Roman" w:cs="Times New Roman" w:eastAsia="Times New Roman" w:hAnsi="Times New Roman"/>
          <w:color w:val="000000"/>
          <w:sz w:val="24"/>
          <w:szCs w:val="24"/>
        </w:rPr>
        <w:t xml:space="preserve">Abril 2026</w:t>
      </w:r>
    </w:p>
    <w:p>
      <w:r>
        <w:br w:type="page"/>
      </w:r>
    </w:p>
    <w:p>
      <w:pPr>
        <w:spacing w:line="480" w:lineRule="auto"/>
        <w:jc w:val="center"/>
      </w:pPr>
      <w:r>
        <w:rPr>
          <w:rFonts w:ascii="Times New Roman" w:cs="Times New Roman" w:eastAsia="Times New Roman" w:hAnsi="Times New Roman"/>
          <w:b/>
          <w:bCs/>
          <w:color w:val="000000"/>
          <w:sz w:val="24"/>
          <w:szCs w:val="24"/>
        </w:rPr>
        <w:t xml:space="preserve">Capítulo I: Planteamiento del Problema</w:t>
      </w:r>
    </w:p>
    <w:p>
      <w:pPr>
        <w:spacing w:line="480" w:lineRule="auto"/>
      </w:pPr>
      <w:r>
        <w:rPr>
          <w:rFonts w:ascii="Times New Roman" w:cs="Times New Roman" w:eastAsia="Times New Roman" w:hAnsi="Times New Roman"/>
          <w:sz w:val="24"/>
          <w:szCs w:val="24"/>
        </w:rPr>
        <w:t xml:space="preserve"/>
      </w:r>
    </w:p>
    <w:p>
      <w:pPr>
        <w:spacing w:line="480" w:lineRule="auto"/>
        <w:jc w:val="center"/>
      </w:pPr>
      <w:r>
        <w:rPr>
          <w:rFonts w:ascii="Times New Roman" w:cs="Times New Roman" w:eastAsia="Times New Roman" w:hAnsi="Times New Roman"/>
          <w:b/>
          <w:bCs/>
          <w:color w:val="000000"/>
          <w:sz w:val="24"/>
          <w:szCs w:val="24"/>
        </w:rPr>
        <w:t xml:space="preserve">Realidad Problemática</w:t>
      </w:r>
    </w:p>
    <w:p>
      <w:pPr>
        <w:spacing w:line="480" w:lineRule="auto"/>
      </w:pPr>
      <w:r>
        <w:rPr>
          <w:rFonts w:ascii="Times New Roman" w:cs="Times New Roman" w:eastAsia="Times New Roman" w:hAnsi="Times New Roman"/>
          <w:sz w:val="24"/>
          <w:szCs w:val="24"/>
        </w:rPr>
        <w:t xml:space="preserve"/>
      </w:r>
    </w:p>
    <w:p>
      <w:pPr>
        <w:spacing w:line="480" w:lineRule="auto"/>
        <w:jc w:val="left"/>
      </w:pPr>
      <w:r>
        <w:rPr>
          <w:rFonts w:ascii="Times New Roman" w:cs="Times New Roman" w:eastAsia="Times New Roman" w:hAnsi="Times New Roman"/>
          <w:b/>
          <w:bCs/>
          <w:color w:val="000000"/>
          <w:sz w:val="24"/>
          <w:szCs w:val="24"/>
        </w:rPr>
        <w:t xml:space="preserve">La Expansión Global de la Inteligencia Artificial Generativa</w:t>
      </w:r>
    </w:p>
    <w:p>
      <w:pPr>
        <w:spacing w:line="480" w:lineRule="auto"/>
      </w:pPr>
      <w:r>
        <w:rPr>
          <w:rFonts w:ascii="Times New Roman" w:cs="Times New Roman" w:eastAsia="Times New Roman" w:hAnsi="Times New Roman"/>
          <w:sz w:val="24"/>
          <w:szCs w:val="24"/>
        </w:rPr>
        <w:t xml:space="preserve"/>
      </w:r>
    </w:p>
    <w:p>
      <w:pPr>
        <w:spacing w:line="480" w:lineRule="auto"/>
        <w:ind w:firstLine="720"/>
        <w:jc w:val="both"/>
      </w:pPr>
      <w:r>
        <w:rPr>
          <w:rFonts w:ascii="Times New Roman" w:cs="Times New Roman" w:eastAsia="Times New Roman" w:hAnsi="Times New Roman"/>
          <w:color w:val="000000"/>
          <w:sz w:val="24"/>
          <w:szCs w:val="24"/>
        </w:rPr>
        <w:t xml:space="preserve">La inteligencia artificial generativa ha experimentado una expansión sin precedentes en los últimos años, transformando de forma estructural la manera en que organizaciones y personas interactúan con los sistemas computacionales. De acuerdo con Microsoft (2025), la adopción global de herramientas de inteligencia artificial creció más del 80% entre octubre de 2024 y mediados de 2025, con aproximadamente una de cada seis personas en el mundo utilizando activamente herramientas de IA generativa. En el ámbito empresarial, la adopción de IA a nivel global alcanzó el 78% de las organizaciones en 2024, con el 92% de las empresas Fortune 500 reportando el uso activo de IA generativa en sus flujos de trabajo (Menlo Ventures, 2025).</w:t>
      </w:r>
    </w:p>
    <w:p>
      <w:pPr>
        <w:spacing w:line="480" w:lineRule="auto"/>
        <w:ind w:firstLine="720"/>
        <w:jc w:val="both"/>
      </w:pPr>
      <w:r>
        <w:rPr>
          <w:rFonts w:ascii="Times New Roman" w:cs="Times New Roman" w:eastAsia="Times New Roman" w:hAnsi="Times New Roman"/>
          <w:color w:val="000000"/>
          <w:sz w:val="24"/>
          <w:szCs w:val="24"/>
        </w:rPr>
        <w:t xml:space="preserve">El gasto global en IA generativa a nivel empresarial ascendió a 37 mil millones de dólares en 2025, frente a 11.5 mil millones en 2024, lo que representa un crecimiento de 3.2 veces en un solo año (Menlo Ventures, 2025). El mercado de modelos de lenguaje de gran escala (LLM) para aplicaciones empresariales, valorado en 8.8 mil millones de dólares en 2025, proyecta alcanzar 71.1 mil millones de dólares en 2034, con una tasa de crecimiento anual compuesta del 26.1% (Global Market Insights, 2025). Este crecimiento no es solo en experimentación: las organizaciones pusieron 11 veces más modelos de IA en producción en 2025 en comparación con el año anterior (Databricks, 2025), lo que evidencia una transición del piloto al despliegue operativo real.</w:t>
      </w:r>
    </w:p>
    <w:p>
      <w:pPr>
        <w:spacing w:line="480" w:lineRule="auto"/>
        <w:ind w:firstLine="720"/>
        <w:jc w:val="both"/>
      </w:pPr>
      <w:r>
        <w:rPr>
          <w:rFonts w:ascii="Times New Roman" w:cs="Times New Roman" w:eastAsia="Times New Roman" w:hAnsi="Times New Roman"/>
          <w:color w:val="000000"/>
          <w:sz w:val="24"/>
          <w:szCs w:val="24"/>
        </w:rPr>
        <w:t xml:space="preserve">En el centro de esta transformación se encuentran los modelos de lenguaje de gran escala (LLM), sistemas de inteligencia artificial basados en arquitecturas transformer que han demostrado capacidades sorprendentes de razonamiento, generación de texto y resolución de problemas complejos (Vaswani et al., 2017). Sin embargo, la evolución más significativa de los últimos dos años no ha sido la mejora de los modelos en sí, sino la arquitectura de los sistemas que los rodean: los agentes LLM, sistemas que dotan a estos modelos de herramientas externas, capacidad de planificación y memoria persistente (Yao et al., 2022; Schick et al., 2023).</w:t>
      </w:r>
    </w:p>
    <w:p>
      <w:pPr>
        <w:spacing w:line="480" w:lineRule="auto"/>
      </w:pPr>
      <w:r>
        <w:rPr>
          <w:rFonts w:ascii="Times New Roman" w:cs="Times New Roman" w:eastAsia="Times New Roman" w:hAnsi="Times New Roman"/>
          <w:sz w:val="24"/>
          <w:szCs w:val="24"/>
        </w:rPr>
        <w:t xml:space="preserve"/>
      </w:r>
    </w:p>
    <w:p>
      <w:pPr>
        <w:spacing w:line="480" w:lineRule="auto"/>
        <w:jc w:val="left"/>
      </w:pPr>
      <w:r>
        <w:rPr>
          <w:rFonts w:ascii="Times New Roman" w:cs="Times New Roman" w:eastAsia="Times New Roman" w:hAnsi="Times New Roman"/>
          <w:b/>
          <w:bCs/>
          <w:color w:val="000000"/>
          <w:sz w:val="24"/>
          <w:szCs w:val="24"/>
        </w:rPr>
        <w:t xml:space="preserve">El Surgimiento del Model Context Protocol y los Agentes Multi-Herramienta</w:t>
      </w:r>
    </w:p>
    <w:p>
      <w:pPr>
        <w:spacing w:line="480" w:lineRule="auto"/>
      </w:pPr>
      <w:r>
        <w:rPr>
          <w:rFonts w:ascii="Times New Roman" w:cs="Times New Roman" w:eastAsia="Times New Roman" w:hAnsi="Times New Roman"/>
          <w:sz w:val="24"/>
          <w:szCs w:val="24"/>
        </w:rPr>
        <w:t xml:space="preserve"/>
      </w:r>
    </w:p>
    <w:p>
      <w:pPr>
        <w:spacing w:line="480" w:lineRule="auto"/>
        <w:ind w:firstLine="720"/>
        <w:jc w:val="both"/>
      </w:pPr>
      <w:r>
        <w:rPr>
          <w:rFonts w:ascii="Times New Roman" w:cs="Times New Roman" w:eastAsia="Times New Roman" w:hAnsi="Times New Roman"/>
          <w:color w:val="000000"/>
          <w:sz w:val="24"/>
          <w:szCs w:val="24"/>
        </w:rPr>
        <w:t xml:space="preserve">La evolución de los agentes LLM hacia sistemas conectados a múltiples fuentes de datos y herramientas externas culminó, en noviembre de 2024, con la publicación del Model Context Protocol (MCP) por parte de Anthropic. El MCP es un estándar abierto que define la manera en que los asistentes de IA se integran con repositorios de contenido, herramientas de gestión empresarial y entornos de desarrollo, mediante una arquitectura de tres capas: el host que coordina la conversación, los clientes que mantienen sesiones individuales con cada servidor, y los servidores que exponen herramientas, recursos y prompts al modelo (Anthropic, 2024). Su adopción fue inmediata: en los primeros seis meses tras su publicación, cientos de organizaciones publicaron servidores MCP para calendarios, bases de datos, sistemas de gestión de proyectos, repositorios de código, herramientas de análisis de datos y servicios de comunicación.</w:t>
      </w:r>
    </w:p>
    <w:p>
      <w:pPr>
        <w:spacing w:line="480" w:lineRule="auto"/>
        <w:ind w:firstLine="720"/>
        <w:jc w:val="both"/>
      </w:pPr>
      <w:r>
        <w:rPr>
          <w:rFonts w:ascii="Times New Roman" w:cs="Times New Roman" w:eastAsia="Times New Roman" w:hAnsi="Times New Roman"/>
          <w:color w:val="000000"/>
          <w:sz w:val="24"/>
          <w:szCs w:val="24"/>
        </w:rPr>
        <w:t xml:space="preserve">Este fenómeno ha generado un escenario operativo inédito: agentes LLM conectados simultáneamente a cinco, diez o más servidores MCP, cada uno con su propio catálogo de herramientas y recursos. Anthropic (2024) documenta despliegues en producción con cientos o miles de herramientas disponibles, donde solo las definiciones de las herramientas pueden consumir decenas de miles de tokens antes de que el agente procese la consulta real del usuario. Este escenario representa una amenaza directa a la calidad y eficiencia de los sistemas basados en LLM.</w:t>
      </w:r>
    </w:p>
    <w:p>
      <w:pPr>
        <w:spacing w:line="480" w:lineRule="auto"/>
      </w:pPr>
      <w:r>
        <w:rPr>
          <w:rFonts w:ascii="Times New Roman" w:cs="Times New Roman" w:eastAsia="Times New Roman" w:hAnsi="Times New Roman"/>
          <w:sz w:val="24"/>
          <w:szCs w:val="24"/>
        </w:rPr>
        <w:t xml:space="preserve"/>
      </w:r>
    </w:p>
    <w:p>
      <w:pPr>
        <w:spacing w:line="480" w:lineRule="auto"/>
        <w:jc w:val="left"/>
      </w:pPr>
      <w:r>
        <w:rPr>
          <w:rFonts w:ascii="Times New Roman" w:cs="Times New Roman" w:eastAsia="Times New Roman" w:hAnsi="Times New Roman"/>
          <w:b/>
          <w:bCs/>
          <w:color w:val="000000"/>
          <w:sz w:val="24"/>
          <w:szCs w:val="24"/>
        </w:rPr>
        <w:t xml:space="preserve">El Problema Técnico: La Degradación Contextual (Context Rot)</w:t>
      </w:r>
    </w:p>
    <w:p>
      <w:pPr>
        <w:spacing w:line="480" w:lineRule="auto"/>
      </w:pPr>
      <w:r>
        <w:rPr>
          <w:rFonts w:ascii="Times New Roman" w:cs="Times New Roman" w:eastAsia="Times New Roman" w:hAnsi="Times New Roman"/>
          <w:sz w:val="24"/>
          <w:szCs w:val="24"/>
        </w:rPr>
        <w:t xml:space="preserve"/>
      </w:r>
    </w:p>
    <w:p>
      <w:pPr>
        <w:spacing w:line="480" w:lineRule="auto"/>
        <w:ind w:firstLine="720"/>
        <w:jc w:val="left"/>
      </w:pPr>
      <w:r>
        <w:rPr>
          <w:rFonts w:ascii="Times New Roman" w:cs="Times New Roman" w:eastAsia="Times New Roman" w:hAnsi="Times New Roman"/>
          <w:b/>
          <w:bCs/>
          <w:i/>
          <w:iCs/>
          <w:color w:val="000000"/>
          <w:sz w:val="24"/>
          <w:szCs w:val="24"/>
        </w:rPr>
        <w:t xml:space="preserve">Naturaleza y Magnitud del Fenómeno</w:t>
      </w:r>
    </w:p>
    <w:p>
      <w:pPr>
        <w:spacing w:line="480" w:lineRule="auto"/>
      </w:pPr>
      <w:r>
        <w:rPr>
          <w:rFonts w:ascii="Times New Roman" w:cs="Times New Roman" w:eastAsia="Times New Roman" w:hAnsi="Times New Roman"/>
          <w:sz w:val="24"/>
          <w:szCs w:val="24"/>
        </w:rPr>
        <w:t xml:space="preserve"/>
      </w:r>
    </w:p>
    <w:p>
      <w:pPr>
        <w:spacing w:line="480" w:lineRule="auto"/>
        <w:ind w:firstLine="720"/>
        <w:jc w:val="both"/>
      </w:pPr>
      <w:r>
        <w:rPr>
          <w:rFonts w:ascii="Times New Roman" w:cs="Times New Roman" w:eastAsia="Times New Roman" w:hAnsi="Times New Roman"/>
          <w:color w:val="000000"/>
          <w:sz w:val="24"/>
          <w:szCs w:val="24"/>
        </w:rPr>
        <w:t xml:space="preserve">La investigación reciente ha comenzado a caracterizar con precisión un fenómeno que los profesionales del campo ya observaban en la práctica: la degradación progresiva de la calidad de las respuestas de los agentes LLM conforme crece el contenido de su contexto de entrada. Chroma Research (2025) denominó este fenómeno context rot y documentó que la precisión de los modelos se degrada más del 30% en posiciones intermedias de la ventana de contexto en los 18 modelos de frontera evaluados, incluso cuando todos los tokens relevantes están presentes en el contexto. Este hallazgo es particularmente relevante porque ocurre independientemente del tamaño de la ventana de contexto del modelo: no es un problema de capacidad de almacenamiento, sino de procesamiento desigual de la información.</w:t>
      </w:r>
    </w:p>
    <w:p>
      <w:pPr>
        <w:spacing w:line="480" w:lineRule="auto"/>
        <w:ind w:firstLine="720"/>
        <w:jc w:val="both"/>
      </w:pPr>
      <w:r>
        <w:rPr>
          <w:rFonts w:ascii="Times New Roman" w:cs="Times New Roman" w:eastAsia="Times New Roman" w:hAnsi="Times New Roman"/>
          <w:color w:val="000000"/>
          <w:sz w:val="24"/>
          <w:szCs w:val="24"/>
        </w:rPr>
        <w:t xml:space="preserve">Investigaciones adicionales han confirmado y ampliado este hallazgo. Un estudio controlado sobre cinco modelos de código abierto y propietarios en tareas de matemáticas, respuesta a preguntas y generación de código demostró que el rendimiento se degrada sustancialmente al aumentar la longitud de la entrada, incluso cuando el modelo puede recuperar perfectamente todos los tokens relevantes (arXiv, 2025). Redis Labs (2025) documenta que las consultas empresariales consumen entre 50,000 y 100,000 tokens antes de que el modelo empiece a razonar, con la calidad de los metadatos —no el tamaño del contexto— como la restricción real de rendimiento. Se estima que más del 40% de los fallos en proyectos de IA se deben no al modelo en sí, sino a un contexto de mala calidad o irrelevante (IntuitionLabs, 2025). La evidencia proveniente de entornos de producción refuerza estos hallazgos: Vercel (2025) documentó que al reducir el catálogo de herramientas de su agente interno d0 de 17–18 herramientas a un conjunto mínimo de operaciones de sistema de archivos, la tasa de éxito pasó del 80% al 100%, el consumo de tokens se redujo en un 37%, la velocidad de respuesta mejoró 3.5 veces y el número de pasos necesarios disminuyó en un 42%. Este caso ilustra que la sobrecarga del catálogo de herramientas no es un problema teórico: tiene consecuencias operativas directas y medibles en sistemas de producción real.</w:t>
      </w:r>
    </w:p>
    <w:p>
      <w:pPr>
        <w:spacing w:line="480" w:lineRule="auto"/>
      </w:pPr>
      <w:r>
        <w:rPr>
          <w:rFonts w:ascii="Times New Roman" w:cs="Times New Roman" w:eastAsia="Times New Roman" w:hAnsi="Times New Roman"/>
          <w:sz w:val="24"/>
          <w:szCs w:val="24"/>
        </w:rPr>
        <w:t xml:space="preserve"/>
      </w:r>
    </w:p>
    <w:p>
      <w:pPr>
        <w:spacing w:line="480" w:lineRule="auto"/>
        <w:ind w:firstLine="720"/>
        <w:jc w:val="left"/>
      </w:pPr>
      <w:r>
        <w:rPr>
          <w:rFonts w:ascii="Times New Roman" w:cs="Times New Roman" w:eastAsia="Times New Roman" w:hAnsi="Times New Roman"/>
          <w:b/>
          <w:bCs/>
          <w:i/>
          <w:iCs/>
          <w:color w:val="000000"/>
          <w:sz w:val="24"/>
          <w:szCs w:val="24"/>
        </w:rPr>
        <w:t xml:space="preserve">Manifestaciones Específicas en Arquitecturas Multi-MCP</w:t>
      </w:r>
    </w:p>
    <w:p>
      <w:pPr>
        <w:spacing w:line="480" w:lineRule="auto"/>
      </w:pPr>
      <w:r>
        <w:rPr>
          <w:rFonts w:ascii="Times New Roman" w:cs="Times New Roman" w:eastAsia="Times New Roman" w:hAnsi="Times New Roman"/>
          <w:sz w:val="24"/>
          <w:szCs w:val="24"/>
        </w:rPr>
        <w:t xml:space="preserve"/>
      </w:r>
    </w:p>
    <w:p>
      <w:pPr>
        <w:spacing w:line="480" w:lineRule="auto"/>
        <w:ind w:firstLine="720"/>
        <w:jc w:val="both"/>
      </w:pPr>
      <w:r>
        <w:rPr>
          <w:rFonts w:ascii="Times New Roman" w:cs="Times New Roman" w:eastAsia="Times New Roman" w:hAnsi="Times New Roman"/>
          <w:color w:val="000000"/>
          <w:sz w:val="24"/>
          <w:szCs w:val="24"/>
        </w:rPr>
        <w:t xml:space="preserve">En el contexto específico de agentes LLM conectados a múltiples servidores MCP, el context rot se manifiesta a través de tres mecanismos interrelacionados. El primero es la sobrecarga de herramientas: Gan y Sun (2025) demostraron experimentalmente que, cuando el catálogo de herramientas disponibles supera cierto umbral, la tasa de selección correcta cae del 100% hacia el 13.62% en el baseline sin técnicas de mitigación. Zhang et al. (2024) documentaron que modelos avanzados como GPT-4o y Gemini-1.5-Pro solo alcanzan puntajes de 37.0 y 45.3 sobre 100, respectivamente, en la detección de situaciones donde la herramienta necesaria está ausente del catálogo disponible.</w:t>
      </w:r>
    </w:p>
    <w:p>
      <w:pPr>
        <w:spacing w:line="480" w:lineRule="auto"/>
        <w:ind w:firstLine="720"/>
        <w:jc w:val="both"/>
      </w:pPr>
      <w:r>
        <w:rPr>
          <w:rFonts w:ascii="Times New Roman" w:cs="Times New Roman" w:eastAsia="Times New Roman" w:hAnsi="Times New Roman"/>
          <w:color w:val="000000"/>
          <w:sz w:val="24"/>
          <w:szCs w:val="24"/>
        </w:rPr>
        <w:t xml:space="preserve">El segundo mecanismo es la acumulación no controlada de resultados intermedios: cada llamada a una herramienta MCP devuelve datos que se incorporan al contexto del modelo, incrementando el costo de procesamiento y diluyendo la señal relevante para la consulta actual (LangChain, 2024). En conversaciones largas con múltiples llamadas a herramientas, este efecto se acumula de forma que el modelo pierde capacidad de atender los tokens más relevantes para la consulta presente (Wu et al., 2024; Maharana et al., 2024).</w:t>
      </w:r>
    </w:p>
    <w:p>
      <w:pPr>
        <w:spacing w:line="480" w:lineRule="auto"/>
        <w:ind w:firstLine="720"/>
        <w:jc w:val="both"/>
      </w:pPr>
      <w:r>
        <w:rPr>
          <w:rFonts w:ascii="Times New Roman" w:cs="Times New Roman" w:eastAsia="Times New Roman" w:hAnsi="Times New Roman"/>
          <w:color w:val="000000"/>
          <w:sz w:val="24"/>
          <w:szCs w:val="24"/>
        </w:rPr>
        <w:t xml:space="preserve">El tercer mecanismo es la mezcla no estructurada de memorias: en ausencia de una arquitectura de memoria deliberada, las preferencias del usuario, los hechos operacionales, los resultados de herramientas previas y el estado conversacional actual se almacenan en la misma estructura sin diferenciación, generando contradicciones, staleness —datos desactualizados que el modelo trata como vigentes— y pérdida de coherencia entre sesiones (Kirmayr et al., 2025; Zhong et al., 2023; Packer et al., 2023).</w:t>
      </w:r>
    </w:p>
    <w:p>
      <w:pPr>
        <w:spacing w:line="480" w:lineRule="auto"/>
      </w:pPr>
      <w:r>
        <w:rPr>
          <w:rFonts w:ascii="Times New Roman" w:cs="Times New Roman" w:eastAsia="Times New Roman" w:hAnsi="Times New Roman"/>
          <w:sz w:val="24"/>
          <w:szCs w:val="24"/>
        </w:rPr>
        <w:t xml:space="preserve"/>
      </w:r>
    </w:p>
    <w:p>
      <w:pPr>
        <w:spacing w:line="480" w:lineRule="auto"/>
        <w:jc w:val="left"/>
      </w:pPr>
      <w:r>
        <w:rPr>
          <w:rFonts w:ascii="Times New Roman" w:cs="Times New Roman" w:eastAsia="Times New Roman" w:hAnsi="Times New Roman"/>
          <w:b/>
          <w:bCs/>
          <w:color w:val="000000"/>
          <w:sz w:val="24"/>
          <w:szCs w:val="24"/>
        </w:rPr>
        <w:t xml:space="preserve">El Estado Incompleto de las Técnicas de Mitigación</w:t>
      </w:r>
    </w:p>
    <w:p>
      <w:pPr>
        <w:spacing w:line="480" w:lineRule="auto"/>
      </w:pPr>
      <w:r>
        <w:rPr>
          <w:rFonts w:ascii="Times New Roman" w:cs="Times New Roman" w:eastAsia="Times New Roman" w:hAnsi="Times New Roman"/>
          <w:sz w:val="24"/>
          <w:szCs w:val="24"/>
        </w:rPr>
        <w:t xml:space="preserve"/>
      </w:r>
    </w:p>
    <w:p>
      <w:pPr>
        <w:spacing w:line="480" w:lineRule="auto"/>
        <w:ind w:firstLine="720"/>
        <w:jc w:val="both"/>
      </w:pPr>
      <w:r>
        <w:rPr>
          <w:rFonts w:ascii="Times New Roman" w:cs="Times New Roman" w:eastAsia="Times New Roman" w:hAnsi="Times New Roman"/>
          <w:color w:val="000000"/>
          <w:sz w:val="24"/>
          <w:szCs w:val="24"/>
        </w:rPr>
        <w:t xml:space="preserve">La literatura científica ha comenzado a proponer y validar técnicas para mitigar el context rot, pero de forma fragmentada, cada trabajo abordando una sola dimensión del problema. Gan y Sun (2025) proponen RAG-MCP, una técnica de recuperación semántica sobre catálogos de herramientas que reduce el prompt en más del 50% y triplica la precisión de selección. Chhikara et al. (2025) presentan Mem0, una capa de memoria longitudinal que reduce la latencia en el percentil 95 en un 91% y el costo de tokens en más del 90%. Kirmayr et al. (2025) demuestran que organizar la memoria por categorías predefinidas reduce significativamente las contradicciones y redundancias. Packer et al. (2023) establecen el paradigma de gestión virtual de contexto inspirado en sistemas operativos, que permite a los LLM operar sobre información que excede su ventana de contexto inmediata.</w:t>
      </w:r>
    </w:p>
    <w:p>
      <w:pPr>
        <w:spacing w:line="480" w:lineRule="auto"/>
        <w:ind w:firstLine="720"/>
        <w:jc w:val="both"/>
      </w:pPr>
      <w:r>
        <w:rPr>
          <w:rFonts w:ascii="Times New Roman" w:cs="Times New Roman" w:eastAsia="Times New Roman" w:hAnsi="Times New Roman"/>
          <w:color w:val="000000"/>
          <w:sz w:val="24"/>
          <w:szCs w:val="24"/>
        </w:rPr>
        <w:t xml:space="preserve">Sin embargo, existe una brecha crítica en la literatura: ningún trabajo experimental mide el impacto combinado de múltiples técnicas sobre un agente LLM conectado a múltiples servidores MCP, ni lo hace usando el costo de tokens y la latencia de respuesta como variables dependientes primarias. Los benchmarks existentes —LongMemEval (Wu et al., 2024), LoCoMo (Maharana et al., 2024) y ToolHaystack (2025)— miden dimensiones específicas del problema pero no su manifestación integrada en arquitecturas multi-MCP reales. Esta brecha es el punto de partida de la presente investigación.</w:t>
      </w:r>
    </w:p>
    <w:p>
      <w:pPr>
        <w:spacing w:line="480" w:lineRule="auto"/>
      </w:pPr>
      <w:r>
        <w:rPr>
          <w:rFonts w:ascii="Times New Roman" w:cs="Times New Roman" w:eastAsia="Times New Roman" w:hAnsi="Times New Roman"/>
          <w:sz w:val="24"/>
          <w:szCs w:val="24"/>
        </w:rPr>
        <w:t xml:space="preserve"/>
      </w:r>
    </w:p>
    <w:p>
      <w:pPr>
        <w:spacing w:line="480" w:lineRule="auto"/>
        <w:jc w:val="center"/>
      </w:pPr>
      <w:r>
        <w:rPr>
          <w:rFonts w:ascii="Times New Roman" w:cs="Times New Roman" w:eastAsia="Times New Roman" w:hAnsi="Times New Roman"/>
          <w:b/>
          <w:bCs/>
          <w:color w:val="000000"/>
          <w:sz w:val="24"/>
          <w:szCs w:val="24"/>
        </w:rPr>
        <w:t xml:space="preserve">Realidad Problemática en el Contexto Nacional (Perú)</w:t>
      </w:r>
    </w:p>
    <w:p>
      <w:pPr>
        <w:spacing w:line="480" w:lineRule="auto"/>
      </w:pPr>
      <w:r>
        <w:rPr>
          <w:rFonts w:ascii="Times New Roman" w:cs="Times New Roman" w:eastAsia="Times New Roman" w:hAnsi="Times New Roman"/>
          <w:sz w:val="24"/>
          <w:szCs w:val="24"/>
        </w:rPr>
        <w:t xml:space="preserve"/>
      </w:r>
    </w:p>
    <w:p>
      <w:pPr>
        <w:spacing w:line="480" w:lineRule="auto"/>
        <w:jc w:val="left"/>
      </w:pPr>
      <w:r>
        <w:rPr>
          <w:rFonts w:ascii="Times New Roman" w:cs="Times New Roman" w:eastAsia="Times New Roman" w:hAnsi="Times New Roman"/>
          <w:b/>
          <w:bCs/>
          <w:color w:val="000000"/>
          <w:sz w:val="24"/>
          <w:szCs w:val="24"/>
        </w:rPr>
        <w:t xml:space="preserve">El Avance de la Transformación Digital en el Perú</w:t>
      </w:r>
    </w:p>
    <w:p>
      <w:pPr>
        <w:spacing w:line="480" w:lineRule="auto"/>
      </w:pPr>
      <w:r>
        <w:rPr>
          <w:rFonts w:ascii="Times New Roman" w:cs="Times New Roman" w:eastAsia="Times New Roman" w:hAnsi="Times New Roman"/>
          <w:sz w:val="24"/>
          <w:szCs w:val="24"/>
        </w:rPr>
        <w:t xml:space="preserve"/>
      </w:r>
    </w:p>
    <w:p>
      <w:pPr>
        <w:spacing w:line="480" w:lineRule="auto"/>
        <w:ind w:firstLine="720"/>
        <w:jc w:val="both"/>
      </w:pPr>
      <w:r>
        <w:rPr>
          <w:rFonts w:ascii="Times New Roman" w:cs="Times New Roman" w:eastAsia="Times New Roman" w:hAnsi="Times New Roman"/>
          <w:color w:val="000000"/>
          <w:sz w:val="24"/>
          <w:szCs w:val="24"/>
        </w:rPr>
        <w:t xml:space="preserve">El Perú ha experimentado en los últimos años un avance significativo en su proceso de transformación digital, tanto en el sector privado como en el sector público. Según el Diario Oficial El Peruano (2024), el 76% de las empresas peruanas ha iniciado su proceso de transformación digital, un incremento sustancial frente al 34% registrado en 2021 y al 65% en 2022. Las áreas prioritarias de inversión son operaciones (81%) y tecnología (73%), lo que refleja una orientación hacia la automatización y optimización de procesos (EY Perú, 2024).</w:t>
      </w:r>
    </w:p>
    <w:p>
      <w:pPr>
        <w:spacing w:line="480" w:lineRule="auto"/>
        <w:ind w:firstLine="720"/>
        <w:jc w:val="both"/>
      </w:pPr>
      <w:r>
        <w:rPr>
          <w:rFonts w:ascii="Times New Roman" w:cs="Times New Roman" w:eastAsia="Times New Roman" w:hAnsi="Times New Roman"/>
          <w:color w:val="000000"/>
          <w:sz w:val="24"/>
          <w:szCs w:val="24"/>
        </w:rPr>
        <w:t xml:space="preserve">En el plano de la adopción de inteligencia artificial específicamente, las organizaciones peruanas invirtieron 50.1 millones de dólares en IA en 2024, con un crecimiento del 38.4% respecto al año anterior, con el 82.2% de esa inversión dirigida a soluciones de IA desarrolladas a medida (Visual ERP, 2025). A nivel de preparación gubernamental, el Perú se ubica en el puesto 60 del índice global de preparación gubernamental para la inteligencia artificial de Oxford Insights, siendo el quinto país de la región latinoamericana en ese ranking y superando a Colombia, Ecuador y México (Prensa Perú, 2025). En el Índice Latinoamericano de Inteligencia Artificial, el Perú avanzó de la octava posición en 2024 a la séptima en 2025, con una puntuación de 51.93 sobre 100 (ILIA, 2025).</w:t>
      </w:r>
    </w:p>
    <w:p>
      <w:pPr>
        <w:spacing w:line="480" w:lineRule="auto"/>
        <w:ind w:firstLine="720"/>
        <w:jc w:val="both"/>
      </w:pPr>
      <w:r>
        <w:rPr>
          <w:rFonts w:ascii="Times New Roman" w:cs="Times New Roman" w:eastAsia="Times New Roman" w:hAnsi="Times New Roman"/>
          <w:color w:val="000000"/>
          <w:sz w:val="24"/>
          <w:szCs w:val="24"/>
        </w:rPr>
        <w:t xml:space="preserve">Desde el ámbito del Estado, se han documentado 22 aplicaciones de inteligencia artificial implementadas en 17 entidades públicas peruanas, constituyendo lo que investigadores de la Universidad de Lima denominan la primera cartografía del ecosistema operativo de IA en la administración pública peruana (Revista Interfases, 2025). El gobierno peruano, a través de la Secretaría de Gobierno y Transformación Digital, ha establecido la plataforma IA Perú (gob.pe/iaperu) como punto de articulación de la política nacional de inteligencia artificial.</w:t>
      </w:r>
    </w:p>
    <w:p>
      <w:pPr>
        <w:spacing w:line="480" w:lineRule="auto"/>
      </w:pPr>
      <w:r>
        <w:rPr>
          <w:rFonts w:ascii="Times New Roman" w:cs="Times New Roman" w:eastAsia="Times New Roman" w:hAnsi="Times New Roman"/>
          <w:sz w:val="24"/>
          <w:szCs w:val="24"/>
        </w:rPr>
        <w:t xml:space="preserve"/>
      </w:r>
    </w:p>
    <w:p>
      <w:pPr>
        <w:spacing w:line="480" w:lineRule="auto"/>
        <w:jc w:val="left"/>
      </w:pPr>
      <w:r>
        <w:rPr>
          <w:rFonts w:ascii="Times New Roman" w:cs="Times New Roman" w:eastAsia="Times New Roman" w:hAnsi="Times New Roman"/>
          <w:b/>
          <w:bCs/>
          <w:color w:val="000000"/>
          <w:sz w:val="24"/>
          <w:szCs w:val="24"/>
        </w:rPr>
        <w:t xml:space="preserve">Brechas y Desafíos Específicos del Contexto Peruano</w:t>
      </w:r>
    </w:p>
    <w:p>
      <w:pPr>
        <w:spacing w:line="480" w:lineRule="auto"/>
      </w:pPr>
      <w:r>
        <w:rPr>
          <w:rFonts w:ascii="Times New Roman" w:cs="Times New Roman" w:eastAsia="Times New Roman" w:hAnsi="Times New Roman"/>
          <w:sz w:val="24"/>
          <w:szCs w:val="24"/>
        </w:rPr>
        <w:t xml:space="preserve"/>
      </w:r>
    </w:p>
    <w:p>
      <w:pPr>
        <w:spacing w:line="480" w:lineRule="auto"/>
        <w:ind w:firstLine="720"/>
        <w:jc w:val="both"/>
      </w:pPr>
      <w:r>
        <w:rPr>
          <w:rFonts w:ascii="Times New Roman" w:cs="Times New Roman" w:eastAsia="Times New Roman" w:hAnsi="Times New Roman"/>
          <w:color w:val="000000"/>
          <w:sz w:val="24"/>
          <w:szCs w:val="24"/>
        </w:rPr>
        <w:t xml:space="preserve">A pesar de los avances descritos, el Perú enfrenta desafíos específicos que hacen especialmente relevante la investigación sobre técnicas de optimización de sistemas LLM. En primer lugar, existe una brecha significativa en el uso avanzado de herramientas de IA: mientras que en Chile y Colombia el 17-18% de los usuarios reporta usar herramientas de IA de forma avanzada, en el Perú este porcentaje es solo el 6% (EY Perú, 2024). Esta brecha refleja una adopción predominantemente superficial de la tecnología, con uso limitado de las capacidades más sofisticadas, incluidos los agentes LLM con herramientas externas.</w:t>
      </w:r>
    </w:p>
    <w:p>
      <w:pPr>
        <w:spacing w:line="480" w:lineRule="auto"/>
        <w:ind w:firstLine="720"/>
        <w:jc w:val="both"/>
      </w:pPr>
      <w:r>
        <w:rPr>
          <w:rFonts w:ascii="Times New Roman" w:cs="Times New Roman" w:eastAsia="Times New Roman" w:hAnsi="Times New Roman"/>
          <w:color w:val="000000"/>
          <w:sz w:val="24"/>
          <w:szCs w:val="24"/>
        </w:rPr>
        <w:t xml:space="preserve">En segundo lugar, la infraestructura digital presenta disparidades importantes: según el Instituto Nacional de Estadística e Informática (INEI, 2024), solo el 58.4% de los hogares a nivel nacional cuenta con servicio de internet fijo, cifra que cae al 21.7% en los hogares rurales. Esta brecha de conectividad impone restricciones prácticas sobre el despliegue de sistemas de IA que dependen de comunicación continua con APIs remotas, como es el caso de los agentes LLM basados en MCP.</w:t>
      </w:r>
    </w:p>
    <w:p>
      <w:pPr>
        <w:spacing w:line="480" w:lineRule="auto"/>
        <w:ind w:firstLine="720"/>
        <w:jc w:val="both"/>
      </w:pPr>
      <w:r>
        <w:rPr>
          <w:rFonts w:ascii="Times New Roman" w:cs="Times New Roman" w:eastAsia="Times New Roman" w:hAnsi="Times New Roman"/>
          <w:color w:val="000000"/>
          <w:sz w:val="24"/>
          <w:szCs w:val="24"/>
        </w:rPr>
        <w:t xml:space="preserve">En tercer lugar, el principal obstáculo para la transformación digital reportado por las empresas peruanas no es tecnológico sino cultural y de capacidades: el 56% de las empresas identifica la cultura organizacional como el principal freno, seguido de la falta de habilidades digitales (EY Perú, 2024). En este contexto, el costo operativo de los sistemas de IA —expresado en costo de tokens y latencia— adquiere especial relevancia: sistemas más eficientes son más accesibles para organizaciones con presupuestos de tecnología limitados.</w:t>
      </w:r>
    </w:p>
    <w:p>
      <w:pPr>
        <w:spacing w:line="480" w:lineRule="auto"/>
      </w:pPr>
      <w:r>
        <w:rPr>
          <w:rFonts w:ascii="Times New Roman" w:cs="Times New Roman" w:eastAsia="Times New Roman" w:hAnsi="Times New Roman"/>
          <w:sz w:val="24"/>
          <w:szCs w:val="24"/>
        </w:rPr>
        <w:t xml:space="preserve"/>
      </w:r>
    </w:p>
    <w:p>
      <w:pPr>
        <w:spacing w:line="480" w:lineRule="auto"/>
        <w:jc w:val="left"/>
      </w:pPr>
      <w:r>
        <w:rPr>
          <w:rFonts w:ascii="Times New Roman" w:cs="Times New Roman" w:eastAsia="Times New Roman" w:hAnsi="Times New Roman"/>
          <w:b/>
          <w:bCs/>
          <w:color w:val="000000"/>
          <w:sz w:val="24"/>
          <w:szCs w:val="24"/>
        </w:rPr>
        <w:t xml:space="preserve">La Relevancia de la Investigación para el Contexto Peruano</w:t>
      </w:r>
    </w:p>
    <w:p>
      <w:pPr>
        <w:spacing w:line="480" w:lineRule="auto"/>
      </w:pPr>
      <w:r>
        <w:rPr>
          <w:rFonts w:ascii="Times New Roman" w:cs="Times New Roman" w:eastAsia="Times New Roman" w:hAnsi="Times New Roman"/>
          <w:sz w:val="24"/>
          <w:szCs w:val="24"/>
        </w:rPr>
        <w:t xml:space="preserve"/>
      </w:r>
    </w:p>
    <w:p>
      <w:pPr>
        <w:spacing w:line="480" w:lineRule="auto"/>
        <w:ind w:firstLine="720"/>
        <w:jc w:val="both"/>
      </w:pPr>
      <w:r>
        <w:rPr>
          <w:rFonts w:ascii="Times New Roman" w:cs="Times New Roman" w:eastAsia="Times New Roman" w:hAnsi="Times New Roman"/>
          <w:color w:val="000000"/>
          <w:sz w:val="24"/>
          <w:szCs w:val="24"/>
        </w:rPr>
        <w:t xml:space="preserve">La conjunción de los tres factores descritos —la acelerada adopción de IA generativa, la brecha en uso avanzado y las limitaciones de infraestructura y presupuesto— hace que el problema del context rot en agentes LLM multi-MCP sea especialmente relevante para el contexto peruano y latinoamericano. Las organizaciones que adoptan estos sistemas en etapas tempranas de madurez digital son particularmente vulnerables a los efectos del context rot: carecen de los procesos de monitoreo y optimización que las organizaciones tecnológicamente maduras han desarrollado, y son más sensibles al impacto económico del consumo excesivo de tokens y la latencia elevada.</w:t>
      </w:r>
    </w:p>
    <w:p>
      <w:pPr>
        <w:spacing w:line="480" w:lineRule="auto"/>
        <w:ind w:firstLine="720"/>
        <w:jc w:val="both"/>
      </w:pPr>
      <w:r>
        <w:rPr>
          <w:rFonts w:ascii="Times New Roman" w:cs="Times New Roman" w:eastAsia="Times New Roman" w:hAnsi="Times New Roman"/>
          <w:color w:val="000000"/>
          <w:sz w:val="24"/>
          <w:szCs w:val="24"/>
        </w:rPr>
        <w:t xml:space="preserve">La ausencia de investigación primaria en español sobre técnicas de memoria y mitigación del context rot en agentes LLM representa, además, una brecha específica del ecosistema científico hispanohablante. No se identificaron tesis doctorales, artículos de revistas indexadas ni ponencias en congresos iberoamericanos que aborden este problema de forma experimental y cuantitativa. La presente investigación tiene, por tanto, una doble contribución: empírica, al generar evidencia cuantitativa sobre el fenómeno en condiciones controladas; y contextual, al hacerlo desde y para el ecosistema tecnológico latinoamericano.</w:t>
      </w:r>
    </w:p>
    <w:p>
      <w:pPr>
        <w:spacing w:line="480" w:lineRule="auto"/>
        <w:ind w:firstLine="720"/>
        <w:jc w:val="both"/>
      </w:pPr>
      <w:r>
        <w:rPr>
          <w:rFonts w:ascii="Times New Roman" w:cs="Times New Roman" w:eastAsia="Times New Roman" w:hAnsi="Times New Roman"/>
          <w:color w:val="000000"/>
          <w:sz w:val="24"/>
          <w:szCs w:val="24"/>
        </w:rPr>
        <w:t xml:space="preserve">En síntesis, la realidad problemática evidencia que el context rot en agentes LLM conectados a múltiples servidores MCP es un problema técnico con consecuencias prácticas directas —en calidad de servicio, costo operativo y confiabilidad— que afecta a organizaciones de todo el mundo y que adquiere características específicas en el contexto de la transformación digital peruana. La investigación propuesta aborda esta brecha de forma sistemática, empírica y reproducible.</w:t>
      </w:r>
    </w:p>
    <w:p>
      <w:r>
        <w:br w:type="page"/>
      </w:r>
    </w:p>
    <w:p>
      <w:pPr>
        <w:spacing w:line="480" w:lineRule="auto"/>
        <w:jc w:val="center"/>
      </w:pPr>
      <w:r>
        <w:rPr>
          <w:rFonts w:ascii="Times New Roman" w:cs="Times New Roman" w:eastAsia="Times New Roman" w:hAnsi="Times New Roman"/>
          <w:b/>
          <w:bCs/>
          <w:color w:val="000000"/>
          <w:sz w:val="24"/>
          <w:szCs w:val="24"/>
        </w:rPr>
        <w:t xml:space="preserve">Referencias</w:t>
      </w:r>
    </w:p>
    <w:p>
      <w:pPr>
        <w:spacing w:line="480" w:lineRule="auto"/>
      </w:pPr>
      <w:r>
        <w:rPr>
          <w:rFonts w:ascii="Times New Roman" w:cs="Times New Roman" w:eastAsia="Times New Roman" w:hAnsi="Times New Roman"/>
          <w:sz w:val="24"/>
          <w:szCs w:val="24"/>
        </w:rPr>
        <w:t xml:space="preserve"/>
      </w:r>
    </w:p>
    <w:p>
      <w:pPr>
        <w:spacing w:line="480" w:lineRule="auto"/>
        <w:ind w:left="720" w:hanging="720"/>
        <w:jc w:val="both"/>
      </w:pPr>
      <w:r>
        <w:rPr>
          <w:rFonts w:ascii="Times New Roman" w:cs="Times New Roman" w:eastAsia="Times New Roman" w:hAnsi="Times New Roman"/>
          <w:color w:val="000000"/>
          <w:sz w:val="24"/>
          <w:szCs w:val="24"/>
        </w:rPr>
        <w:t xml:space="preserve">Anthropic. (2024). Model Context Protocol specification. https://modelcontextprotocol.io/specification/2025-11-25</w:t>
      </w:r>
    </w:p>
    <w:p>
      <w:pPr>
        <w:spacing w:line="480" w:lineRule="auto"/>
        <w:ind w:left="720" w:hanging="720"/>
        <w:jc w:val="both"/>
      </w:pPr>
      <w:r>
        <w:rPr>
          <w:rFonts w:ascii="Times New Roman" w:cs="Times New Roman" w:eastAsia="Times New Roman" w:hAnsi="Times New Roman"/>
          <w:color w:val="000000"/>
          <w:sz w:val="24"/>
          <w:szCs w:val="24"/>
        </w:rPr>
        <w:t xml:space="preserve">Chroma Research. (2025). Context rot: How increasing input tokens impacts LLM performance. https://research.trychroma.com/context-rot</w:t>
      </w:r>
    </w:p>
    <w:p>
      <w:pPr>
        <w:spacing w:line="480" w:lineRule="auto"/>
        <w:ind w:left="720" w:hanging="720"/>
        <w:jc w:val="both"/>
      </w:pPr>
      <w:r>
        <w:rPr>
          <w:rFonts w:ascii="Times New Roman" w:cs="Times New Roman" w:eastAsia="Times New Roman" w:hAnsi="Times New Roman"/>
          <w:color w:val="000000"/>
          <w:sz w:val="24"/>
          <w:szCs w:val="24"/>
        </w:rPr>
        <w:t xml:space="preserve">Chhikara, P., Singh, T., Yadav, D., Nie, N., &amp; Doerr, T. (2025). Mem0: Building production-ready AI agents with scalable long-term memory. arXiv. https://arxiv.org/abs/2504.19413</w:t>
      </w:r>
    </w:p>
    <w:p>
      <w:pPr>
        <w:spacing w:line="480" w:lineRule="auto"/>
        <w:ind w:left="720" w:hanging="720"/>
        <w:jc w:val="both"/>
      </w:pPr>
      <w:r>
        <w:rPr>
          <w:rFonts w:ascii="Times New Roman" w:cs="Times New Roman" w:eastAsia="Times New Roman" w:hAnsi="Times New Roman"/>
          <w:color w:val="000000"/>
          <w:sz w:val="24"/>
          <w:szCs w:val="24"/>
        </w:rPr>
        <w:t xml:space="preserve">Databricks. (2025). State of AI: Enterprise adoption &amp; growth trends. https://www.databricks.com/blog/state-ai-enterprise-adoption-growth-trends</w:t>
      </w:r>
    </w:p>
    <w:p>
      <w:pPr>
        <w:spacing w:line="480" w:lineRule="auto"/>
        <w:ind w:left="720" w:hanging="720"/>
        <w:jc w:val="both"/>
      </w:pPr>
      <w:r>
        <w:rPr>
          <w:rFonts w:ascii="Times New Roman" w:cs="Times New Roman" w:eastAsia="Times New Roman" w:hAnsi="Times New Roman"/>
          <w:color w:val="000000"/>
          <w:sz w:val="24"/>
          <w:szCs w:val="24"/>
        </w:rPr>
        <w:t xml:space="preserve">Diario Oficial El Peruano. (2024). Transformación digital: 72% de las empresas en el Perú comenzará este proceso en el 2024. https://elperuano.pe/noticia/235308-transformacion-digital-72-de-las-empresas-en-el-peru-comenzara-este-proceso-en-el-2024</w:t>
      </w:r>
    </w:p>
    <w:p>
      <w:pPr>
        <w:spacing w:line="480" w:lineRule="auto"/>
        <w:ind w:left="720" w:hanging="720"/>
        <w:jc w:val="both"/>
      </w:pPr>
      <w:r>
        <w:rPr>
          <w:rFonts w:ascii="Times New Roman" w:cs="Times New Roman" w:eastAsia="Times New Roman" w:hAnsi="Times New Roman"/>
          <w:color w:val="000000"/>
          <w:sz w:val="24"/>
          <w:szCs w:val="24"/>
        </w:rPr>
        <w:t xml:space="preserve">EY Perú. (2024). Nuevos horizontes de la madurez digital en el Perú 2024. EY. https://www.ey.com/es_pe/insights/revista-execution/central/inteligencia-artificial-hispanoamerica</w:t>
      </w:r>
    </w:p>
    <w:p>
      <w:pPr>
        <w:spacing w:line="480" w:lineRule="auto"/>
        <w:ind w:left="720" w:hanging="720"/>
        <w:jc w:val="both"/>
      </w:pPr>
      <w:r>
        <w:rPr>
          <w:rFonts w:ascii="Times New Roman" w:cs="Times New Roman" w:eastAsia="Times New Roman" w:hAnsi="Times New Roman"/>
          <w:color w:val="000000"/>
          <w:sz w:val="24"/>
          <w:szCs w:val="24"/>
        </w:rPr>
        <w:t xml:space="preserve">Gan, T., &amp; Sun, Q. (2025). RAG-MCP: Mitigating prompt bloat in LLM tool selection via retrieval-augmented generation. arXiv. https://arxiv.org/abs/2505.03275</w:t>
      </w:r>
    </w:p>
    <w:p>
      <w:pPr>
        <w:spacing w:line="480" w:lineRule="auto"/>
        <w:ind w:left="720" w:hanging="720"/>
        <w:jc w:val="both"/>
      </w:pPr>
      <w:r>
        <w:rPr>
          <w:rFonts w:ascii="Times New Roman" w:cs="Times New Roman" w:eastAsia="Times New Roman" w:hAnsi="Times New Roman"/>
          <w:color w:val="000000"/>
          <w:sz w:val="24"/>
          <w:szCs w:val="24"/>
        </w:rPr>
        <w:t xml:space="preserve">Global Market Insights. (2025). Enterprise LLM market size &amp; share, statistics report 2025–2034. https://www.gminsights.com/industry-analysis/enterprise-llm-market</w:t>
      </w:r>
    </w:p>
    <w:p>
      <w:pPr>
        <w:spacing w:line="480" w:lineRule="auto"/>
        <w:ind w:left="720" w:hanging="720"/>
        <w:jc w:val="both"/>
      </w:pPr>
      <w:r>
        <w:rPr>
          <w:rFonts w:ascii="Times New Roman" w:cs="Times New Roman" w:eastAsia="Times New Roman" w:hAnsi="Times New Roman"/>
          <w:color w:val="000000"/>
          <w:sz w:val="24"/>
          <w:szCs w:val="24"/>
        </w:rPr>
        <w:t xml:space="preserve">IntuitionLabs. (2025). What is context engineering? A guide for AI &amp; LLMs. https://intuitionlabs.ai/articles/what-is-context-engineering</w:t>
      </w:r>
    </w:p>
    <w:p>
      <w:pPr>
        <w:spacing w:line="480" w:lineRule="auto"/>
        <w:ind w:left="720" w:hanging="720"/>
        <w:jc w:val="both"/>
      </w:pPr>
      <w:r>
        <w:rPr>
          <w:rFonts w:ascii="Times New Roman" w:cs="Times New Roman" w:eastAsia="Times New Roman" w:hAnsi="Times New Roman"/>
          <w:color w:val="000000"/>
          <w:sz w:val="24"/>
          <w:szCs w:val="24"/>
        </w:rPr>
        <w:t xml:space="preserve">Instituto Nacional de Estadística e Informática. (2024). Estadísticas de tecnologías de información y comunicaciones en los hogares. INEI.</w:t>
      </w:r>
    </w:p>
    <w:p>
      <w:pPr>
        <w:spacing w:line="480" w:lineRule="auto"/>
        <w:ind w:left="720" w:hanging="720"/>
        <w:jc w:val="both"/>
      </w:pPr>
      <w:r>
        <w:rPr>
          <w:rFonts w:ascii="Times New Roman" w:cs="Times New Roman" w:eastAsia="Times New Roman" w:hAnsi="Times New Roman"/>
          <w:color w:val="000000"/>
          <w:sz w:val="24"/>
          <w:szCs w:val="24"/>
        </w:rPr>
        <w:t xml:space="preserve">Kirmayr, J., Stappen, L., Schneider, P., Matthes, F., &amp; André, E. (2025). CarMem: Enhancing long-term memory in LLM voice assistants through category-bounding. En Proceedings of COLING 2025: Industry Track. ACL Anthology. https://arxiv.org/abs/2501.09645</w:t>
      </w:r>
    </w:p>
    <w:p>
      <w:pPr>
        <w:spacing w:line="480" w:lineRule="auto"/>
        <w:ind w:left="720" w:hanging="720"/>
        <w:jc w:val="both"/>
      </w:pPr>
      <w:r>
        <w:rPr>
          <w:rFonts w:ascii="Times New Roman" w:cs="Times New Roman" w:eastAsia="Times New Roman" w:hAnsi="Times New Roman"/>
          <w:color w:val="000000"/>
          <w:sz w:val="24"/>
          <w:szCs w:val="24"/>
        </w:rPr>
        <w:t xml:space="preserve">LangChain. (2024). LangGraph: State management and agent orchestration [Documentación técnica]. LangChain Inc. https://langchain-ai.github.io/langgraph/</w:t>
      </w:r>
    </w:p>
    <w:p>
      <w:pPr>
        <w:spacing w:line="480" w:lineRule="auto"/>
        <w:ind w:left="720" w:hanging="720"/>
        <w:jc w:val="both"/>
      </w:pPr>
      <w:r>
        <w:rPr>
          <w:rFonts w:ascii="Times New Roman" w:cs="Times New Roman" w:eastAsia="Times New Roman" w:hAnsi="Times New Roman"/>
          <w:color w:val="000000"/>
          <w:sz w:val="24"/>
          <w:szCs w:val="24"/>
        </w:rPr>
        <w:t xml:space="preserve">Maharana, A., Lee, D.-H., Tulyakov, S., Bansal, M., Barbieri, F., &amp; Fang, Y. (2024). Evaluating very long-term conversational memory of LLM agents. En Proceedings of ACL 2024 (pp. 13851–13870). https://arxiv.org/abs/2402.17753</w:t>
      </w:r>
    </w:p>
    <w:p>
      <w:pPr>
        <w:spacing w:line="480" w:lineRule="auto"/>
        <w:ind w:left="720" w:hanging="720"/>
        <w:jc w:val="both"/>
      </w:pPr>
      <w:r>
        <w:rPr>
          <w:rFonts w:ascii="Times New Roman" w:cs="Times New Roman" w:eastAsia="Times New Roman" w:hAnsi="Times New Roman"/>
          <w:color w:val="000000"/>
          <w:sz w:val="24"/>
          <w:szCs w:val="24"/>
        </w:rPr>
        <w:t xml:space="preserve">Menlo Ventures. (2025). 2025: The state of generative AI in the enterprise. https://menlovc.com/perspective/2025-the-state-of-generative-ai-in-the-enterprise/</w:t>
      </w:r>
    </w:p>
    <w:p>
      <w:pPr>
        <w:spacing w:line="480" w:lineRule="auto"/>
        <w:ind w:left="720" w:hanging="720"/>
        <w:jc w:val="both"/>
      </w:pPr>
      <w:r>
        <w:rPr>
          <w:rFonts w:ascii="Times New Roman" w:cs="Times New Roman" w:eastAsia="Times New Roman" w:hAnsi="Times New Roman"/>
          <w:color w:val="000000"/>
          <w:sz w:val="24"/>
          <w:szCs w:val="24"/>
        </w:rPr>
        <w:t xml:space="preserve">Microsoft. (2025). Global AI adoption in 2025. AI Economy Institute. https://www.microsoft.com/en-us/corporate-responsibility/topics/ai-economy-institute/reports/global-ai-adoption-2025/</w:t>
      </w:r>
    </w:p>
    <w:p>
      <w:pPr>
        <w:spacing w:line="480" w:lineRule="auto"/>
        <w:ind w:left="720" w:hanging="720"/>
        <w:jc w:val="both"/>
      </w:pPr>
      <w:r>
        <w:rPr>
          <w:rFonts w:ascii="Times New Roman" w:cs="Times New Roman" w:eastAsia="Times New Roman" w:hAnsi="Times New Roman"/>
          <w:color w:val="000000"/>
          <w:sz w:val="24"/>
          <w:szCs w:val="24"/>
        </w:rPr>
        <w:t xml:space="preserve">Oxford Insights. (2024). Government AI readiness index 2024. Oxford Insights.</w:t>
      </w:r>
    </w:p>
    <w:p>
      <w:pPr>
        <w:spacing w:line="480" w:lineRule="auto"/>
        <w:ind w:left="720" w:hanging="720"/>
        <w:jc w:val="both"/>
      </w:pPr>
      <w:r>
        <w:rPr>
          <w:rFonts w:ascii="Times New Roman" w:cs="Times New Roman" w:eastAsia="Times New Roman" w:hAnsi="Times New Roman"/>
          <w:color w:val="000000"/>
          <w:sz w:val="24"/>
          <w:szCs w:val="24"/>
        </w:rPr>
        <w:t xml:space="preserve">Packer, C., Fang, V., Patil, S. G., Lin, K., Wooders, S., &amp; Gonzalez, J. (2023). MemGPT: Towards LLMs as operating systems. arXiv. https://arxiv.org/abs/2310.08560</w:t>
      </w:r>
    </w:p>
    <w:p>
      <w:pPr>
        <w:spacing w:line="480" w:lineRule="auto"/>
        <w:ind w:left="720" w:hanging="720"/>
        <w:jc w:val="both"/>
      </w:pPr>
      <w:r>
        <w:rPr>
          <w:rFonts w:ascii="Times New Roman" w:cs="Times New Roman" w:eastAsia="Times New Roman" w:hAnsi="Times New Roman"/>
          <w:color w:val="000000"/>
          <w:sz w:val="24"/>
          <w:szCs w:val="24"/>
        </w:rPr>
        <w:t xml:space="preserve">Prensa Perú. (2025). Índice de preparación de los gobiernos para la inteligencia artificial 2024. https://prensaperu.pe/2025/03/29/indice-de-preparacion-de-los-gobiernos-para-la-inteligencia-artificial-2024</w:t>
      </w:r>
    </w:p>
    <w:p>
      <w:pPr>
        <w:spacing w:line="480" w:lineRule="auto"/>
        <w:ind w:left="720" w:hanging="720"/>
        <w:jc w:val="both"/>
      </w:pPr>
      <w:r>
        <w:rPr>
          <w:rFonts w:ascii="Times New Roman" w:cs="Times New Roman" w:eastAsia="Times New Roman" w:hAnsi="Times New Roman"/>
          <w:color w:val="000000"/>
          <w:sz w:val="24"/>
          <w:szCs w:val="24"/>
        </w:rPr>
        <w:t xml:space="preserve">Redis Labs. (2025). Context window overflow: Breaking the barrier. https://redis.io/blog/context-window-overflow/</w:t>
      </w:r>
    </w:p>
    <w:p>
      <w:pPr>
        <w:spacing w:line="480" w:lineRule="auto"/>
        <w:ind w:left="720" w:hanging="720"/>
        <w:jc w:val="both"/>
      </w:pPr>
      <w:r>
        <w:rPr>
          <w:rFonts w:ascii="Times New Roman" w:cs="Times New Roman" w:eastAsia="Times New Roman" w:hAnsi="Times New Roman"/>
          <w:color w:val="000000"/>
          <w:sz w:val="24"/>
          <w:szCs w:val="24"/>
        </w:rPr>
        <w:t xml:space="preserve">Vercel. (2025, diciembre). We removed 80% of our agent’s tools. Vercel Engineering Blog. https://vercel.com/blog/we-removed-80-percent-of-our-agents-tools</w:t>
      </w:r>
    </w:p>
    <w:p>
      <w:pPr>
        <w:spacing w:line="480" w:lineRule="auto"/>
        <w:ind w:left="720" w:hanging="720"/>
        <w:jc w:val="both"/>
      </w:pPr>
      <w:r>
        <w:rPr>
          <w:rFonts w:ascii="Times New Roman" w:cs="Times New Roman" w:eastAsia="Times New Roman" w:hAnsi="Times New Roman"/>
          <w:color w:val="000000"/>
          <w:sz w:val="24"/>
          <w:szCs w:val="24"/>
        </w:rPr>
        <w:t xml:space="preserve">Revista Interfases. (2025). Implementación de inteligencia artificial en el Estado peruano: catálogo analítico de aplicaciones. Universidad de Lima. https://revistas.ulima.edu.pe/index.php/Interfases/article/view/8263</w:t>
      </w:r>
    </w:p>
    <w:p>
      <w:pPr>
        <w:spacing w:line="480" w:lineRule="auto"/>
        <w:ind w:left="720" w:hanging="720"/>
        <w:jc w:val="both"/>
      </w:pPr>
      <w:r>
        <w:rPr>
          <w:rFonts w:ascii="Times New Roman" w:cs="Times New Roman" w:eastAsia="Times New Roman" w:hAnsi="Times New Roman"/>
          <w:color w:val="000000"/>
          <w:sz w:val="24"/>
          <w:szCs w:val="24"/>
        </w:rPr>
        <w:t xml:space="preserve">Schick, T., Dwivedi-Yu, J., Dessì, R., Raileanu, R., Lomeli, M., Zettlemoyer, L., Cancedda, N., &amp; Scialom, T. (2023). Toolformer: Language models can teach themselves to use tools. En Advances in Neural Information Processing Systems (NeurIPS 2023). https://arxiv.org/abs/2302.04761</w:t>
      </w:r>
    </w:p>
    <w:p>
      <w:pPr>
        <w:spacing w:line="480" w:lineRule="auto"/>
        <w:ind w:left="720" w:hanging="720"/>
        <w:jc w:val="both"/>
      </w:pPr>
      <w:r>
        <w:rPr>
          <w:rFonts w:ascii="Times New Roman" w:cs="Times New Roman" w:eastAsia="Times New Roman" w:hAnsi="Times New Roman"/>
          <w:color w:val="000000"/>
          <w:sz w:val="24"/>
          <w:szCs w:val="24"/>
        </w:rPr>
        <w:t xml:space="preserve">Vaswani, A., Shazeer, N., Parmar, N., Uszkoreit, J., Jones, L., Gomez, A. N., Kaiser, Ł., &amp; Polosukhin, I. (2017). Attention is all you need. En Advances in Neural Information Processing Systems (Vol. 30). https://arxiv.org/abs/1706.03762</w:t>
      </w:r>
    </w:p>
    <w:p>
      <w:pPr>
        <w:spacing w:line="480" w:lineRule="auto"/>
        <w:ind w:left="720" w:hanging="720"/>
        <w:jc w:val="both"/>
      </w:pPr>
      <w:r>
        <w:rPr>
          <w:rFonts w:ascii="Times New Roman" w:cs="Times New Roman" w:eastAsia="Times New Roman" w:hAnsi="Times New Roman"/>
          <w:color w:val="000000"/>
          <w:sz w:val="24"/>
          <w:szCs w:val="24"/>
        </w:rPr>
        <w:t xml:space="preserve">Visual ERP. (2025). Inteligencia artificial en empresas peruanas 2025. https://grupovisualcont.com/noticias/inteligencia-artificial-en-empresas-peruanas-2025/</w:t>
      </w:r>
    </w:p>
    <w:p>
      <w:pPr>
        <w:spacing w:line="480" w:lineRule="auto"/>
        <w:ind w:left="720" w:hanging="720"/>
        <w:jc w:val="both"/>
      </w:pPr>
      <w:r>
        <w:rPr>
          <w:rFonts w:ascii="Times New Roman" w:cs="Times New Roman" w:eastAsia="Times New Roman" w:hAnsi="Times New Roman"/>
          <w:color w:val="000000"/>
          <w:sz w:val="24"/>
          <w:szCs w:val="24"/>
        </w:rPr>
        <w:t xml:space="preserve">Wu, D., Wang, H., Yu, W., Zhang, Y., Chang, K.-W., &amp; Yu, D. (2024). LongMemEval: Benchmarking chat assistants on long-term interactive memory. arXiv. https://arxiv.org/abs/2410.10813</w:t>
      </w:r>
    </w:p>
    <w:p>
      <w:pPr>
        <w:spacing w:line="480" w:lineRule="auto"/>
        <w:ind w:left="720" w:hanging="720"/>
        <w:jc w:val="both"/>
      </w:pPr>
      <w:r>
        <w:rPr>
          <w:rFonts w:ascii="Times New Roman" w:cs="Times New Roman" w:eastAsia="Times New Roman" w:hAnsi="Times New Roman"/>
          <w:color w:val="000000"/>
          <w:sz w:val="24"/>
          <w:szCs w:val="24"/>
        </w:rPr>
        <w:t xml:space="preserve">Yao, S., Zhao, J., Yu, D., Du, N., Shafran, I., Narasimhan, K., &amp; Cao, Y. (2022). ReAct: Synergizing reasoning and acting in language models. arXiv. https://arxiv.org/abs/2210.03629</w:t>
      </w:r>
    </w:p>
    <w:p>
      <w:pPr>
        <w:spacing w:line="480" w:lineRule="auto"/>
        <w:ind w:left="720" w:hanging="720"/>
        <w:jc w:val="both"/>
      </w:pPr>
      <w:r>
        <w:rPr>
          <w:rFonts w:ascii="Times New Roman" w:cs="Times New Roman" w:eastAsia="Times New Roman" w:hAnsi="Times New Roman"/>
          <w:color w:val="000000"/>
          <w:sz w:val="24"/>
          <w:szCs w:val="24"/>
        </w:rPr>
        <w:t xml:space="preserve">Zhang, Y., et al. (2024). ToolBeHonest: A multi-level hallucination diagnostic benchmark for tool-augmented large language models. arXiv. https://arxiv.org/abs/2406.20015</w:t>
      </w:r>
    </w:p>
    <w:p>
      <w:pPr>
        <w:spacing w:line="480" w:lineRule="auto"/>
        <w:ind w:left="720" w:hanging="720"/>
        <w:jc w:val="both"/>
      </w:pPr>
      <w:r>
        <w:rPr>
          <w:rFonts w:ascii="Times New Roman" w:cs="Times New Roman" w:eastAsia="Times New Roman" w:hAnsi="Times New Roman"/>
          <w:color w:val="000000"/>
          <w:sz w:val="24"/>
          <w:szCs w:val="24"/>
        </w:rPr>
        <w:t xml:space="preserve">Zhong, W., Guo, L., Gao, Q., Ye, H., &amp; Wang, Y. (2023). MemoryBank: Enhancing large language models with long-term memory. arXiv. https://arxiv.org/abs/2305.10250</w:t>
      </w:r>
    </w:p>
    <w:sectPr>
      <w:headerReference w:type="default" r:id="rId7"/>
      <w:headerReference w:type="firs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000000"/>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Times New Roman" w:cs="Times New Roman" w:eastAsia="Times New Roman" w:hAnsi="Times New Roman"/>
        <w:color w:val="000000"/>
        <w:sz w:val="24"/>
        <w:szCs w:val="24"/>
      </w:rPr>
      <w:t xml:space="preserve">Título Abreviado: MEMORIA Y DEGRADACIÓN EN AGENTES LLM CON SERVIDORES MCP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spacing w:line="480" w:lineRule="auto"/>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line="480" w:lineRule="auto"/>
      <w:jc w:val="cente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line="480" w:lineRule="auto"/>
      <w:jc w:val="left"/>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spacing w:line="480" w:lineRule="auto"/>
      <w:ind w:firstLine="720"/>
      <w:jc w:val="left"/>
      <w:outlineLvl w:val="2"/>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2026-04-25T23:59:07.324Z</dcterms:created>
  <dcterms:modified xsi:type="dcterms:W3CDTF">2026-04-25T23:59:07.324Z</dcterms:modified>
</cp:coreProperties>
</file>

<file path=docProps/custom.xml><?xml version="1.0" encoding="utf-8"?>
<Properties xmlns="http://schemas.openxmlformats.org/officeDocument/2006/custom-properties" xmlns:vt="http://schemas.openxmlformats.org/officeDocument/2006/docPropsVTypes"/>
</file>