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Medición del Impacto de Técnicas de Memoria y Gestión de Contexto sobre la Degradación de Respuestas en Agentes LLM Conectados a Múltiples Servidores MCP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DOC-17: Matriz General de Consistencia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Edinson Núñez  |  Tesis de Maestría  |  2026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Matriz General de Consistencia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matriz general de consistencia expande la Matriz de Consistencia (DOC-16) con 10 columnas que desagregan las variables independiente y dependiente en sus definiciones operacionales, indicadores específicos, escala de medida e instrumento de recolección, y el método estadístico de verificación para cada hipótesis. La correspondencia fila a fila garantiza la coherencia lógica entre todos los componentes del diseño de investigación. Las filas alternas en azul y blanco corresponden al problema general (PG/OG/HG) y los cinco pares problema-objetivo-hipótesis específicos (PE1–PE5 / OE1–OE5 / HE1–HE5).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1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color="2E4057" w:val="solid"/>
            <w:vAlign w:val="center"/>
          </w:tcPr>
          <w:p>
            <w:pPr>
              <w:spacing w:line="3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Problema de Investigación</w:t>
            </w:r>
          </w:p>
        </w:tc>
        <w:tc>
          <w:tcPr>
            <w:tcW w:type="dxa" w:w="2100"/>
            <w:shd w:color="2E4057" w:val="solid"/>
            <w:vAlign w:val="center"/>
          </w:tcPr>
          <w:p>
            <w:pPr>
              <w:spacing w:line="3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100"/>
            <w:shd w:color="2E4057" w:val="solid"/>
            <w:vAlign w:val="center"/>
          </w:tcPr>
          <w:p>
            <w:pPr>
              <w:spacing w:line="3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Hipótesis</w:t>
            </w:r>
          </w:p>
        </w:tc>
        <w:tc>
          <w:tcPr>
            <w:tcW w:type="dxa" w:w="1700"/>
            <w:shd w:color="2E4057" w:val="solid"/>
            <w:vAlign w:val="center"/>
          </w:tcPr>
          <w:p>
            <w:pPr>
              <w:spacing w:line="3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Nombre VI</w:t>
            </w:r>
          </w:p>
        </w:tc>
        <w:tc>
          <w:tcPr>
            <w:tcW w:type="dxa" w:w="2200"/>
            <w:shd w:color="2E4057" w:val="solid"/>
            <w:vAlign w:val="center"/>
          </w:tcPr>
          <w:p>
            <w:pPr>
              <w:spacing w:line="3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Definición Operacional VI</w:t>
            </w:r>
          </w:p>
        </w:tc>
        <w:tc>
          <w:tcPr>
            <w:tcW w:type="dxa" w:w="1700"/>
            <w:shd w:color="2E4057" w:val="solid"/>
            <w:vAlign w:val="center"/>
          </w:tcPr>
          <w:p>
            <w:pPr>
              <w:spacing w:line="3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Variable Dependiente</w:t>
            </w:r>
          </w:p>
        </w:tc>
        <w:tc>
          <w:tcPr>
            <w:tcW w:type="dxa" w:w="2500"/>
            <w:shd w:color="2E4057" w:val="solid"/>
            <w:vAlign w:val="center"/>
          </w:tcPr>
          <w:p>
            <w:pPr>
              <w:spacing w:line="3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Indicadores VD</w:t>
            </w:r>
          </w:p>
        </w:tc>
        <w:tc>
          <w:tcPr>
            <w:tcW w:type="dxa" w:w="1100"/>
            <w:shd w:color="2E4057" w:val="solid"/>
            <w:vAlign w:val="center"/>
          </w:tcPr>
          <w:p>
            <w:pPr>
              <w:spacing w:line="3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Escala</w:t>
            </w:r>
          </w:p>
        </w:tc>
        <w:tc>
          <w:tcPr>
            <w:tcW w:type="dxa" w:w="2100"/>
            <w:shd w:color="2E4057" w:val="solid"/>
            <w:vAlign w:val="center"/>
          </w:tcPr>
          <w:p>
            <w:pPr>
              <w:spacing w:line="3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Instrumento</w:t>
            </w:r>
          </w:p>
        </w:tc>
        <w:tc>
          <w:tcPr>
            <w:tcW w:type="dxa" w:w="2100"/>
            <w:shd w:color="2E4057" w:val="solid"/>
            <w:vAlign w:val="center"/>
          </w:tcPr>
          <w:p>
            <w:pPr>
              <w:spacing w:line="3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Método Estadístico</w:t>
            </w:r>
          </w:p>
        </w:tc>
      </w:tr>
      <w:tr>
        <w:tc>
          <w:tcPr>
            <w:tcW w:type="dxa" w:w="19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PG: ¿En qué medida las técnicas de memoria y gestión de contexto reducen el context rot en agentes LLM multi-MCP?</w:t>
            </w:r>
          </w:p>
        </w:tc>
        <w:tc>
          <w:tcPr>
            <w:tcW w:type="dxa" w:w="21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OG: Medir el impacto de las técnicas de memoria y gestión de contexto sobre el context rot en agentes LLM multi-MCP.</w:t>
            </w:r>
          </w:p>
        </w:tc>
        <w:tc>
          <w:tcPr>
            <w:tcW w:type="dxa" w:w="21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HG: Al menos una configuración de técnicas mejora el IQCR ≥ 30% después de 50 turnos vs. baseline. α = 0.05.</w:t>
            </w:r>
          </w:p>
        </w:tc>
        <w:tc>
          <w:tcPr>
            <w:tcW w:type="dxa" w:w="17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Técnica de memoria aplicada</w:t>
            </w:r>
          </w:p>
        </w:tc>
        <w:tc>
          <w:tcPr>
            <w:tcW w:type="dxa" w:w="22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Tipo de técnica: baseline, RAG, SessionFacts, MemoryBank, caching semántico, combinación óptima. Variable nominal con 6 niveles.</w:t>
            </w:r>
          </w:p>
        </w:tc>
        <w:tc>
          <w:tcPr>
            <w:tcW w:type="dxa" w:w="17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Context rot (IQCR)</w:t>
            </w:r>
          </w:p>
        </w:tc>
        <w:tc>
          <w:tcPr>
            <w:tcW w:type="dxa" w:w="25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Índice compuesto [0,1] de: exactitud (%); complemento de alucinación (%); BERTScore coherencia; eficiencia tokens/turno. Ponderación AHP.</w:t>
            </w:r>
          </w:p>
        </w:tc>
        <w:tc>
          <w:tcPr>
            <w:tcW w:type="dxa" w:w="11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Razón</w:t>
            </w:r>
          </w:p>
        </w:tc>
        <w:tc>
          <w:tcPr>
            <w:tcW w:type="dxa" w:w="21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Módulo evaluación automatizado + API counter Anthropic</w:t>
            </w:r>
          </w:p>
        </w:tc>
        <w:tc>
          <w:tcPr>
            <w:tcW w:type="dxa" w:w="21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t-test una cola; d Cohen; CI 95%; ANOVA multivariado</w:t>
            </w:r>
          </w:p>
        </w:tc>
      </w:tr>
      <w:tr>
        <w:tc>
          <w:tcPr>
            <w:tcW w:type="dxa" w:w="19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PE1: ¿Cómo y en qué magnitud se manifiesta el context rot sin técnicas de memoria en arquitectura multi-MCP?</w:t>
            </w:r>
          </w:p>
        </w:tc>
        <w:tc>
          <w:tcPr>
            <w:tcW w:type="dxa" w:w="21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OE1: Establecer línea base de degradación sin técnicas de memoria en conversaciones de 10–100 turnos con 2–5 servidores MCP.</w:t>
            </w:r>
          </w:p>
        </w:tc>
        <w:tc>
          <w:tcPr>
            <w:tcW w:type="dxa" w:w="21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HE1: Exactitud cae ≥ 25% y alucinación sube ≥ 15% entre turno 10 y turno 50. α = 0.05.</w:t>
            </w:r>
          </w:p>
        </w:tc>
        <w:tc>
          <w:tcPr>
            <w:tcW w:type="dxa" w:w="17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Ausencia de técnicas (baseline)</w:t>
            </w:r>
          </w:p>
        </w:tc>
        <w:tc>
          <w:tcPr>
            <w:tcW w:type="dxa" w:w="22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Condición de control sin ninguna técnica de memoria activa. Factor de asignación: confguración 'raw' del agente MCP.</w:t>
            </w:r>
          </w:p>
        </w:tc>
        <w:tc>
          <w:tcPr>
            <w:tcW w:type="dxa" w:w="17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Exactitud de respuesta / Tasa de alucinación</w:t>
            </w:r>
          </w:p>
        </w:tc>
        <w:tc>
          <w:tcPr>
            <w:tcW w:type="dxa" w:w="25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Exactitud: proporción resp. correctas vs. ground truth por turno (%)
Alucinación: proporción afirmaciones incorrectas verificadas (%)
Tokens acumulados</w:t>
            </w:r>
          </w:p>
        </w:tc>
        <w:tc>
          <w:tcPr>
            <w:tcW w:type="dxa" w:w="11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Razón</w:t>
            </w:r>
          </w:p>
        </w:tc>
        <w:tc>
          <w:tcPr>
            <w:tcW w:type="dxa" w:w="21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Comparación automática vs. ground truth; verificador de hechos LLM</w:t>
            </w:r>
          </w:p>
        </w:tc>
        <w:tc>
          <w:tcPr>
            <w:tcW w:type="dxa" w:w="21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Wilcoxon rangos con signo (bilateral); corrección Bonferroni; n ≥ 34 por grupo; 1-β = 0.80</w:t>
            </w:r>
          </w:p>
        </w:tc>
      </w:tr>
      <w:tr>
        <w:tc>
          <w:tcPr>
            <w:tcW w:type="dxa" w:w="19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PE2: ¿En qué medida cada técnica individual de memoria reduce la degradación en agentes LLM multi-MCP?</w:t>
            </w:r>
          </w:p>
        </w:tc>
        <w:tc>
          <w:tcPr>
            <w:tcW w:type="dxa" w:w="21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OE2: Comparar el efecto marginal de RAG, SessionFacts, MemoryBank y semantic caching sobre el IQCR respecto al baseline.</w:t>
            </w:r>
          </w:p>
        </w:tc>
        <w:tc>
          <w:tcPr>
            <w:tcW w:type="dxa" w:w="21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HE2: ≥ 1 técnica logra d ≥ 0.5 en ≥ 2 métricas del IQCR. α' = 0.01 (Bonferroni).</w:t>
            </w:r>
          </w:p>
        </w:tc>
        <w:tc>
          <w:tcPr>
            <w:tcW w:type="dxa" w:w="17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Técnica de memoria individual</w:t>
            </w:r>
          </w:p>
        </w:tc>
        <w:tc>
          <w:tcPr>
            <w:tcW w:type="dxa" w:w="22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 niveles: (1) RAG semántico con ChromaDB; (2) SessionFacts cada 10 turnos; (3) MemoryBank con decaimiento Ebbinghaus; (4) Semantic caching RedisVL (umbral cos = 0.92).</w:t>
            </w:r>
          </w:p>
        </w:tc>
        <w:tc>
          <w:tcPr>
            <w:tcW w:type="dxa" w:w="17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IQCR por turno</w:t>
            </w:r>
          </w:p>
        </w:tc>
        <w:tc>
          <w:tcPr>
            <w:tcW w:type="dxa" w:w="25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IQCR turno 30, 50 y 100
Reducción % exactitud vs. baseline
Reducción % alucinación vs. baseline
Variación tokens/turno vs. baseline</w:t>
            </w:r>
          </w:p>
        </w:tc>
        <w:tc>
          <w:tcPr>
            <w:tcW w:type="dxa" w:w="11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Razón</w:t>
            </w:r>
          </w:p>
        </w:tc>
        <w:tc>
          <w:tcPr>
            <w:tcW w:type="dxa" w:w="21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Módulo evaluación + ChromaDB + SQLite + RedisVL</w:t>
            </w:r>
          </w:p>
        </w:tc>
        <w:tc>
          <w:tcPr>
            <w:tcW w:type="dxa" w:w="21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ANOVA 1 factor; post-hoc Tukey HSD; d Cohen; η² parcial; CI 95%</w:t>
            </w:r>
          </w:p>
        </w:tc>
      </w:tr>
      <w:tr>
        <w:tc>
          <w:tcPr>
            <w:tcW w:type="dxa" w:w="19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PE3: ¿En qué medida el tool gating reduce la sobrecarga de contexto en catálogos MCP de gran escala?</w:t>
            </w:r>
          </w:p>
        </w:tc>
        <w:tc>
          <w:tcPr>
            <w:tcW w:type="dxa" w:w="21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OE3: Evaluar el impacto del tool gating sobre tokens de herramientas, selección correcta y alucinación de parámetros en catálogos de 20, 50 y 100 herramientas.</w:t>
            </w:r>
          </w:p>
        </w:tc>
        <w:tc>
          <w:tcPr>
            <w:tcW w:type="dxa" w:w="21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HE3: Tool gating reduce ≥ 50% tokens de herramientas; sin reducción significativa en selección correcta; aumento alucinación de parámetros &lt; 10%.</w:t>
            </w:r>
          </w:p>
        </w:tc>
        <w:tc>
          <w:tcPr>
            <w:tcW w:type="dxa" w:w="17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Estrategia de tool gating</w:t>
            </w:r>
          </w:p>
        </w:tc>
        <w:tc>
          <w:tcPr>
            <w:tcW w:type="dxa" w:w="22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condiciones: (1) sin gating (catálogo completo); (2) filtrado semántico top-k (k=5); (3) carga diferida. Moderador: tamaño catálogo (20/50/100 herramientas).</w:t>
            </w:r>
          </w:p>
        </w:tc>
        <w:tc>
          <w:tcPr>
            <w:tcW w:type="dxa" w:w="17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Tokens herramientas; selección correcta; alucinación parámetros</w:t>
            </w:r>
          </w:p>
        </w:tc>
        <w:tc>
          <w:tcPr>
            <w:tcW w:type="dxa" w:w="25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Tokens descripción herramientas/turno
Tasa selección correcta de herramienta (%)
Tasa alucinación de parámetros (%)
Reducción % tokens vs. sin gating</w:t>
            </w:r>
          </w:p>
        </w:tc>
        <w:tc>
          <w:tcPr>
            <w:tcW w:type="dxa" w:w="11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Razón</w:t>
            </w:r>
          </w:p>
        </w:tc>
        <w:tc>
          <w:tcPr>
            <w:tcW w:type="dxa" w:w="21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Módulo filtrado semántico (embeddings text-embedding-3-small); SimpleToolHalluBench</w:t>
            </w:r>
          </w:p>
        </w:tc>
        <w:tc>
          <w:tcPr>
            <w:tcW w:type="dxa" w:w="21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Beneficio: t-test 1 cola; Ausencia daño: TOST (margen ±10%); α = 0.05</w:t>
            </w:r>
          </w:p>
        </w:tc>
      </w:tr>
      <w:tr>
        <w:tc>
          <w:tcPr>
            <w:tcW w:type="dxa" w:w="19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PE4: ¿Qué combinación de técnicas maximiza la calidad de respuesta en agentes LLM multi-MCP considerando calidad y overhead?</w:t>
            </w:r>
          </w:p>
        </w:tc>
        <w:tc>
          <w:tcPr>
            <w:tcW w:type="dxa" w:w="21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OE4: Identificar la combinación óptima de técnicas mediante diseño factorial 2⁴⁻¹ (Res. IV) sobre el IQCR ponderado por AHP.</w:t>
            </w:r>
          </w:p>
        </w:tc>
        <w:tc>
          <w:tcPr>
            <w:tcW w:type="dxa" w:w="21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HE4: Combinación óptima supera a cada técnica individual en IQCR con mejora adicional ≥ 15% sobre la mejor técnica individual en sesiones ≥ 50 turnos.</w:t>
            </w:r>
          </w:p>
        </w:tc>
        <w:tc>
          <w:tcPr>
            <w:tcW w:type="dxa" w:w="17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Combinación de técnicas (factorial)</w:t>
            </w:r>
          </w:p>
        </w:tc>
        <w:tc>
          <w:tcPr>
            <w:tcW w:type="dxa" w:w="22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Diseño 2⁴⁻¹ resolución IV: 16 corridas que combinan presencia/ausencia de (A) RAG, (B) SessionFacts, (C) MemoryBank, (D) tool gating. Función objetivo: IQCR ponderado AHP.</w:t>
            </w:r>
          </w:p>
        </w:tc>
        <w:tc>
          <w:tcPr>
            <w:tcW w:type="dxa" w:w="17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IQCR de la combinación vs. técnicas individuales</w:t>
            </w:r>
          </w:p>
        </w:tc>
        <w:tc>
          <w:tcPr>
            <w:tcW w:type="dxa" w:w="25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IQCR combinación – IQCR mejor técnica individual
Coeficientes interacción 2FI (A×B, A×C, A×D, B×C, B×D, C×D)
Overhead latencia (ms/turno)
Overhead tokens adicionales (%)</w:t>
            </w:r>
          </w:p>
        </w:tc>
        <w:tc>
          <w:tcPr>
            <w:tcW w:type="dxa" w:w="11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Razón</w:t>
            </w:r>
          </w:p>
        </w:tc>
        <w:tc>
          <w:tcPr>
            <w:tcW w:type="dxa" w:w="21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MLflow para registro de experimentos; módulo de evaluación; scipy linalg para diseño factorial</w:t>
            </w:r>
          </w:p>
        </w:tc>
        <w:tc>
          <w:tcPr>
            <w:tcW w:type="dxa" w:w="2100"/>
            <w:shd w:color="EBF5FB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Efectos activos: criterio Lenth; comparación final: t-test + Bonferroni; η² parcial para interacciones</w:t>
            </w:r>
          </w:p>
        </w:tc>
      </w:tr>
      <w:tr>
        <w:tc>
          <w:tcPr>
            <w:tcW w:type="dxa" w:w="19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PE5: ¿Existen umbrales discretos de longitud de contexto y Nº de servidores MCP donde el context rot se vuelve estadísticamente significativo?</w:t>
            </w:r>
          </w:p>
        </w:tc>
        <w:tc>
          <w:tcPr>
            <w:tcW w:type="dxa" w:w="21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OE5: Localizar los umbrales de tokens acumulados y Nº servidores MCP donde el context rot se vuelve significativo, con y sin combinación óptima de técnicas.</w:t>
            </w:r>
          </w:p>
        </w:tc>
        <w:tc>
          <w:tcPr>
            <w:tcW w:type="dxa" w:w="21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HE5: Umbrales discretos en rango 20,000–60,000 tokens (sin memoria) y 50,000–100,000 tokens (con combinación óptima), detectables con CI 95% en ≥ 2 de 3 configs. de servidores.</w:t>
            </w:r>
          </w:p>
        </w:tc>
        <w:tc>
          <w:tcPr>
            <w:tcW w:type="dxa" w:w="17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Longitud de contexto acumulado; Nº servidores MCP</w:t>
            </w:r>
          </w:p>
        </w:tc>
        <w:tc>
          <w:tcPr>
            <w:tcW w:type="dxa" w:w="22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Longitud: suma tokens procesados desde inicio de sesión (variable continua).
Nº servidores: 2, 3, 5 servidores MCP activos (variable ordinal).
Tratamiento: con/sin combinación óptima.</w:t>
            </w:r>
          </w:p>
        </w:tc>
        <w:tc>
          <w:tcPr>
            <w:tcW w:type="dxa" w:w="17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Puntos de cambio en series de exactitud y alucinación</w:t>
            </w:r>
          </w:p>
        </w:tc>
        <w:tc>
          <w:tcPr>
            <w:tcW w:type="dxa" w:w="25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Ubicación del punto de cambio (tokens)
CI 95% del punto de cambio (bootstrap n=1,000)
Velocidad degradación pre/post umbral (pendiente)
Nº umbrales por configuración de servidores</w:t>
            </w:r>
          </w:p>
        </w:tc>
        <w:tc>
          <w:tcPr>
            <w:tcW w:type="dxa" w:w="11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Razón / Intervalo</w:t>
            </w:r>
          </w:p>
        </w:tc>
        <w:tc>
          <w:tcPr>
            <w:tcW w:type="dxa" w:w="21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Librería ruptures (Python): algoritmo PELT; bootstrapping con numpy; validación cruzada manual de puntos</w:t>
            </w:r>
          </w:p>
        </w:tc>
        <w:tc>
          <w:tcPr>
            <w:tcW w:type="dxa" w:w="2100"/>
            <w:shd w:color="FFFFFF" w:val="solid"/>
            <w:vAlign w:val="top"/>
          </w:tcPr>
          <w:p>
            <w:pPr>
              <w:spacing w:line="34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PELT (costo L2); bootstrap percentil 2.5–97.5%; análisis estratificado por Nº servidores; comparación umbral con/sin memoria: Mann-Whitney U</w:t>
            </w:r>
          </w:p>
        </w:tc>
      </w:tr>
    </w:tbl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00" w:lineRule="auto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Nota.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VI = Variable Independiente; VD = Variable Dependiente; IQCR = Índice de Calidad de Respuesta Compuesto; MCP = Model Context Protocol; RAG = Retrieval-Augmented Generation; PELT = Pruned Exact Linear Time; TOST = Two One-Sided Tests; AHP = Analytic Hierarchy Process; 2FI = Two-Factor Interaction; CI = Intervalo de Confianza; cos = similitud coseno; PG/PE = Problema General/Específico; OG/OE = Objetivo General/Específico; HG/HE = Hipótesis General/Específica.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Cohen, J. (1988). Statistical power analysis for the behavioral sciences (2.ª ed.). Lawrence Erlbaum Associates.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Hernández Sampieri, R., Fernández Collado, C., &amp; Baptista Lucio, P. (2014). Metodología de la investigación (6.ª ed.). McGraw-Hill Education.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Killick, R., Fearnhead, P., &amp; Eckley, I. A. (2012). Optimal detection of changepoints with a linear computational cost. Journal of the American Statistical Association, 107(500), 1590–1598. https://doi.org/10.1080/01621459.2012.737745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Montgomery, D. C. (2017). Design and analysis of experiments (9.ª ed.). Wiley.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Saaty, T. L. (1980). The analytic hierarchy process. McGraw-Hill.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Zhang, T., Kishore, V., Wu, F., Weinberger, K. Q., &amp; Artzi, Y. (2020). BERTScore: Evaluating text generation with BERT. International Conference on Learning Representations. https://openreview.net/forum?id=SkeHuCVFDr</w:t>
      </w:r>
    </w:p>
    <w:sectPr>
      <w:pgSz w:w="15840" w:h="2448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9"/>
        <w:szCs w:val="19"/>
      </w:rPr>
    </w:rPrDefault>
    <w:pPrDefault>
      <w:pPr>
        <w:spacing w:line="3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2026-04-27T05:53:50.541Z</dcterms:created>
  <dcterms:modified xsi:type="dcterms:W3CDTF">2026-04-27T05:53:50.541Z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