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DOC-12: Glosario de Términos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Glosario de Términos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presente glosario reúne las definiciones operacionales de los términos técnicos, siglas y conceptos especializados utilizados en el desarrollo de la tesis. Las definiciones son específicas al contexto del estudio —agentes LLM, Model Context Protocol y técnicas de memoria— y se han construido a partir de las fuentes primarias citadas en el marco teórico (DOC-11). Para cada término se indica la referencia de la fuente cuando la definición deriva directamente de un trabajo publicado; en caso contrario, la definición es original y consistente con el uso establecido en la literatura del campo.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términos están ordenados alfabéticamente. Las siglas en español e inglés se incluyen como entradas propias con remisión al término completo correspondiente. El glosario cubre 45 términos distribuidos en 13 letras del alfabeto.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Agente LLM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Sistema de software que utiliza un modelo de lenguaje de gran escala como motor de razonamiento y lo combina con la capacidad de ejecutar acciones en el entorno —llamadas a herramientas, búsquedas, ejecución de código— mediante ciclos iterativos de razonamiento, acción y observación, con el objetivo de completar tareas que van más allá de la generación de texto estático.</w:t>
      </w:r>
      <w:r>
        <w:rPr>
          <w:rFonts w:ascii="Times New Roman" w:cs="Times New Roman" w:eastAsia="Times New Roman" w:hAnsi="Times New Roman"/>
          <w:b w:val="false"/>
          <w:bCs w:val="false"/>
          <w:i/>
          <w:iCs/>
          <w:sz w:val="24"/>
          <w:szCs w:val="24"/>
        </w:rPr>
        <w:t xml:space="preserve"> (Wang et al., 2024)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Alucinación de herramienta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Error de un agente LLM que consiste en invocar una herramienta inexistente en el catálogo disponible, especificar parámetros incorrectos para una herramienta existente, o proporcionar valores de parámetros inválidos o fuera del rango aceptado. Es una manifestación específica del fenómeno general de alucinación de los LLM en el contexto del uso de herramientas.</w:t>
      </w:r>
      <w:r>
        <w:rPr>
          <w:rFonts w:ascii="Times New Roman" w:cs="Times New Roman" w:eastAsia="Times New Roman" w:hAnsi="Times New Roman"/>
          <w:b w:val="false"/>
          <w:bCs w:val="false"/>
          <w:i/>
          <w:iCs/>
          <w:sz w:val="24"/>
          <w:szCs w:val="24"/>
        </w:rPr>
        <w:t xml:space="preserve"> (Zeng et al.,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Atención multi-cabezal</w:t>
      </w:r>
      <w:r>
        <w:rPr>
          <w:rFonts w:ascii="Times New Roman" w:cs="Times New Roman" w:eastAsia="Times New Roman" w:hAnsi="Times New Roman"/>
          <w:b/>
          <w:bCs/>
          <w:i/>
          <w:iCs/>
          <w:sz w:val="24"/>
          <w:szCs w:val="24"/>
        </w:rPr>
        <w:t xml:space="preserve"> (MHA)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Mecanismo central de la arquitectura transformer que calcula, para cada token en la secuencia de entrada, un vector de contexto ponderado por la relevancia de todos los demás tokens mediante múltiples cabezales de atención paralelos. Permite al modelo capturar relaciones sintácticas y semánticas a diferentes niveles de abstracción simultáneamente.</w:t>
      </w:r>
      <w:r>
        <w:rPr>
          <w:rFonts w:ascii="Times New Roman" w:cs="Times New Roman" w:eastAsia="Times New Roman" w:hAnsi="Times New Roman"/>
          <w:b w:val="false"/>
          <w:bCs w:val="false"/>
          <w:i/>
          <w:iCs/>
          <w:sz w:val="24"/>
          <w:szCs w:val="24"/>
        </w:rPr>
        <w:t xml:space="preserve"> (Vaswani et al., 2017)</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B</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Benchmark de evaluación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Conjunto estandarizado de tareas, datos de prueba y métricas de evaluación diseñado para medir y comparar el rendimiento de sistemas de inteligencia artificial de forma reproducible y comparable entre estudios. En el contexto de esta tesis, los benchmarks de referencia son LongMemEval, LoCoMo y SimpleToolHalluBench.</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BERTScore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Métrica de evaluación de generación de texto que mide la similitud semántica entre dos enunciados utilizando representaciones contextuales de embeddings generadas por modelos BERT. Calcula la similitud coseno entre los embeddings de los tokens de la hipótesis y los de la referencia, produciendo puntuaciones de precisión, cobertura y F1 semánticas.</w:t>
      </w:r>
      <w:r>
        <w:rPr>
          <w:rFonts w:ascii="Times New Roman" w:cs="Times New Roman" w:eastAsia="Times New Roman" w:hAnsi="Times New Roman"/>
          <w:b w:val="false"/>
          <w:bCs w:val="false"/>
          <w:i/>
          <w:iCs/>
          <w:sz w:val="24"/>
          <w:szCs w:val="24"/>
        </w:rPr>
        <w:t xml:space="preserve"> (Zhang et al., 2020)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C</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Caching semántico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Técnica de optimización que almacena pares (consulta, respuesta) y los recupera cuando una nueva consulta es semánticamente equivalente a una almacenada, determinando la equivalencia mediante similitud coseno entre vectores de embeddings en lugar de coincidencia textual exacta. Reduce el número de invocaciones de inferencia del modelo para consultas similares.</w:t>
      </w:r>
      <w:r>
        <w:rPr>
          <w:rFonts w:ascii="Times New Roman" w:cs="Times New Roman" w:eastAsia="Times New Roman" w:hAnsi="Times New Roman"/>
          <w:b w:val="false"/>
          <w:bCs w:val="false"/>
          <w:i/>
          <w:iCs/>
          <w:sz w:val="24"/>
          <w:szCs w:val="24"/>
        </w:rPr>
        <w:t xml:space="preserve"> (Redis Labs,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Coherencia conversacional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Propiedad de un agente LLM que denota la consistencia interna de sus respuestas a lo largo de una conversación extendida, incluyendo la consistencia de afirmaciones factuales entre turnos, la continuidad lógica del razonamiento y la ausencia de contradicciones con información proporcionada o generada anteriormente en la sesión.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Context rot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Proceso de degradación progresiva y acumulativa de la calidad de las respuestas de un agente LLM, medida a través de métricas cuantificables, como consecuencia del crecimiento del contexto activo en conversaciones multi-turno. En arquitecturas multi-MCP, el context rot es exacerbado por los mecanismos de tool overload, acumulación de resultados intermedios y mezcla de estados de sesión. Término adoptado de la práctica industrial.</w:t>
      </w:r>
      <w:r>
        <w:rPr>
          <w:rFonts w:ascii="Times New Roman" w:cs="Times New Roman" w:eastAsia="Times New Roman" w:hAnsi="Times New Roman"/>
          <w:b w:val="false"/>
          <w:bCs w:val="false"/>
          <w:i/>
          <w:iCs/>
          <w:sz w:val="24"/>
          <w:szCs w:val="24"/>
        </w:rPr>
        <w:t xml:space="preserve"> (Chroma Research,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Contexto activo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Conjunto de tokens que el modelo de lenguaje procesa en una inferencia determinada, incluyendo el prompt del sistema, el historial de conversación, los resultados de herramientas previas y las descripciones de las herramientas disponibles. El tamaño del contexto activo está limitado por la ventana de contexto del modelo.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Degradación de respuestas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Reducción cuantificable en uno o más indicadores de calidad de las respuestas de un agente LLM a medida que avanza una conversación, incluyendo disminución de la exactitud factual, incremento de la tasa de alucinación, reducción de la coherencia conversacional o aumento del consumo de tokens por turno. Sinónimo operacional de context rot en el contexto de esta tesis.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Diseño factorial 2k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Diseño experimental estadístico que evalúa los efectos de k factores binarios (presencia/ausencia de cada técnica) y sus interacciones sobre una variable de respuesta. Permite estimar con eficiencia los efectos principales e interacciones de segundo orden usando 2k combinaciones de tratamiento. En esta tesis se aplica en forma reducida (diseño fraccionado) para evaluar combinaciones de técnicas de memoria.</w:t>
      </w:r>
      <w:r>
        <w:rPr>
          <w:rFonts w:ascii="Times New Roman" w:cs="Times New Roman" w:eastAsia="Times New Roman" w:hAnsi="Times New Roman"/>
          <w:b w:val="false"/>
          <w:bCs w:val="false"/>
          <w:i/>
          <w:iCs/>
          <w:sz w:val="24"/>
          <w:szCs w:val="24"/>
        </w:rPr>
        <w:t xml:space="preserve"> (Montgomery, 2017)</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Embeddings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Representaciones vectoriales densas de elementos discretos —palabras, tokens, documentos, herramientas— en un espacio continuo de alta dimensión, generadas mediante redes neuronales entrenadas para capturar relaciones semánticas. Dos elementos con significados similares tienen embeddings con alta similitud coseno. Fundamentales para la recuperación semántica en sistemas RAG y semantic caching.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Exactitud de respuesta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Proporción de afirmaciones verificables en las respuestas de un agente LLM que son correctas respecto a un conjunto de ground truth anotado. Métrica primaria de calidad en los experimentos de esta tesis, medida mediante comparación automatizada contra respuestas de referencia validadas.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F</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Filtrado semántico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Estrategia de selección de herramientas MCP que compara la representación vectorial de la consulta del usuario con los embeddings de las descripciones de las herramientas disponibles y expone al modelo solo aquellas cuya similitud coseno supera un umbral configurable. Componente central de las estrategias de tool gating.</w:t>
      </w:r>
      <w:r>
        <w:rPr>
          <w:rFonts w:ascii="Times New Roman" w:cs="Times New Roman" w:eastAsia="Times New Roman" w:hAnsi="Times New Roman"/>
          <w:b w:val="false"/>
          <w:bCs w:val="false"/>
          <w:i/>
          <w:iCs/>
          <w:sz w:val="24"/>
          <w:szCs w:val="24"/>
        </w:rPr>
        <w:t xml:space="preserve"> (Tang et al.,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Fine-tuning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Proceso de ajuste de los parámetros de un modelo de lenguaje pre-entrenado mediante entrenamiento adicional sobre un conjunto de datos específico del dominio o tarea objetivo. Permite especializar las capacidades del modelo sin entrenarlo desde cero. Excluido del alcance de esta tesis por requerir acceso a los pesos del modelo.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Ground truth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Conjunto de respuestas correctas validadas manualmente o mediante procedimientos automáticos verificables, utilizado como referencia para medir la exactitud de las respuestas generadas por el agente LLM. En esta tesis, el ground truth se construye a partir de los datasets de benchmarks de referencia complementados con escenarios multi-MCP diseñados ad hoc.</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H</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Historial de conversación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Secuencia ordenada de turnos de interacción entre el usuario y el agente LLM, incluyendo las entradas del usuario, los pensamientos del agente, las llamadas a herramientas, los resultados de herramientas y las respuestas generadas. En la implementación estándar sin técnicas de memoria, el historial completo se concatena al contexto activo en cada turno, siendo la principal fuente de crecimiento del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I</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Inferencia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Proceso mediante el cual un modelo de lenguaje genera una respuesta a partir de un prompt de entrada. En el contexto de APIs comerciales, la inferencia se realiza en los servidores del proveedor del modelo y su costo se mide en tokens procesados. El tiempo desde el envío del prompt hasta la recepción del primer token de respuesta se denomina latencia de primer token (TTFT).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Latencia de primer token</w:t>
      </w:r>
      <w:r>
        <w:rPr>
          <w:rFonts w:ascii="Times New Roman" w:cs="Times New Roman" w:eastAsia="Times New Roman" w:hAnsi="Times New Roman"/>
          <w:b/>
          <w:bCs/>
          <w:i/>
          <w:iCs/>
          <w:sz w:val="24"/>
          <w:szCs w:val="24"/>
        </w:rPr>
        <w:t xml:space="preserve"> (TTFT)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Tiempo transcurrido entre el envío de la solicitud de inferencia y la recepción del primer token de la respuesta generada por el modelo. Métrica de eficiencia computacional relevante para sistemas de agentes en producción, ya que determina la percepción de velocidad del sistema por parte del usuario.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LLM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Véase Modelo de Lenguaje de Gran Escala.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LoCoMo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Benchmark de evaluación de agentes LLM en conversaciones largas y multi-sesión que evalúa la coherencia, consistencia y capacidad de actualización de creencias del agente ante nueva información. Utilizado en esta tesis para medir el impacto de las técnicas de memoria sobre la coherencia conversacional.</w:t>
      </w:r>
      <w:r>
        <w:rPr>
          <w:rFonts w:ascii="Times New Roman" w:cs="Times New Roman" w:eastAsia="Times New Roman" w:hAnsi="Times New Roman"/>
          <w:b w:val="false"/>
          <w:bCs w:val="false"/>
          <w:i/>
          <w:iCs/>
          <w:sz w:val="24"/>
          <w:szCs w:val="24"/>
        </w:rPr>
        <w:t xml:space="preserve"> (Maharana et al., 2024)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LongMemEval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Benchmark de evaluación de la memoria a largo plazo de agentes LLM en conversaciones de hasta 500 turnos. Evalúa cinco capacidades de memoria: recuperación de información única, razonamiento multi-hop, seguimiento de entidades, razonamiento temporal y detección de ausencia de información. Utilizado en esta tesis como dataset base para los experimentos de degradación.</w:t>
      </w:r>
      <w:r>
        <w:rPr>
          <w:rFonts w:ascii="Times New Roman" w:cs="Times New Roman" w:eastAsia="Times New Roman" w:hAnsi="Times New Roman"/>
          <w:b w:val="false"/>
          <w:bCs w:val="false"/>
          <w:i/>
          <w:iCs/>
          <w:sz w:val="24"/>
          <w:szCs w:val="24"/>
        </w:rPr>
        <w:t xml:space="preserve"> (Truong &amp; Ho, 2023)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M</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Marco ReAct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Framework de operación de agentes LLM que intercala la generación de pensamientos de razonamiento con la ejecución de acciones sobre herramientas externas, siguiendo el ciclo: razonar → actuar → observar → razonar. Cada ciclo acumula tokens en el contexto del agente, siendo la arquitectura subyacente estándar en los sistemas de agentes LLM modernos.</w:t>
      </w:r>
      <w:r>
        <w:rPr>
          <w:rFonts w:ascii="Times New Roman" w:cs="Times New Roman" w:eastAsia="Times New Roman" w:hAnsi="Times New Roman"/>
          <w:b w:val="false"/>
          <w:bCs w:val="false"/>
          <w:i/>
          <w:iCs/>
          <w:sz w:val="24"/>
          <w:szCs w:val="24"/>
        </w:rPr>
        <w:t xml:space="preserve"> (Yao et al., 2022)</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MCP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Véase Model Context Protocol.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Mecanismo de atención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Componente central de la arquitectura transformer que calcula, para cada token en una secuencia, un vector de representación ponderado por la relevancia de todos los demás tokens. Permite al modelo modelar dependencias a larga distancia sin la degradación de gradiente de las redes recurrentes. La calidad de la atención decrece para tokens ubicados en el centro de contextos muy largos.</w:t>
      </w:r>
      <w:r>
        <w:rPr>
          <w:rFonts w:ascii="Times New Roman" w:cs="Times New Roman" w:eastAsia="Times New Roman" w:hAnsi="Times New Roman"/>
          <w:b w:val="false"/>
          <w:bCs w:val="false"/>
          <w:i/>
          <w:iCs/>
          <w:sz w:val="24"/>
          <w:szCs w:val="24"/>
        </w:rPr>
        <w:t xml:space="preserve"> (Vaswani et al., 2017)</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Mem0</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Sistema de memoria adaptativa para agentes LLM que combina recuperación vectorial con grafos de conocimiento para gestionar memorias de usuario, agente y sesión de forma diferenciada. Diseñado para entornos de producción con múltiples usuarios y sesiones concurrentes.</w:t>
      </w:r>
      <w:r>
        <w:rPr>
          <w:rFonts w:ascii="Times New Roman" w:cs="Times New Roman" w:eastAsia="Times New Roman" w:hAnsi="Times New Roman"/>
          <w:b w:val="false"/>
          <w:bCs w:val="false"/>
          <w:i/>
          <w:iCs/>
          <w:sz w:val="24"/>
          <w:szCs w:val="24"/>
        </w:rPr>
        <w:t xml:space="preserve"> (Chhikara et al.,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MemGPT / Letta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Sistema de gestión de memoria para agentes LLM que simula el comportamiento de un sistema operativo, con memoria principal (contexto activo) y memoria secundaria (almacenamiento externo). Implementa técnicas de paginación de memoria para superar la limitación de la ventana de contexto y fue el precursor del concepto de SessionFacts.</w:t>
      </w:r>
      <w:r>
        <w:rPr>
          <w:rFonts w:ascii="Times New Roman" w:cs="Times New Roman" w:eastAsia="Times New Roman" w:hAnsi="Times New Roman"/>
          <w:b w:val="false"/>
          <w:bCs w:val="false"/>
          <w:i/>
          <w:iCs/>
          <w:sz w:val="24"/>
          <w:szCs w:val="24"/>
        </w:rPr>
        <w:t xml:space="preserve"> (Packer et al., 2023)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MemoryBank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Sistema de memoria a largo plazo para agentes LLM que combina almacenamiento externo indexado con una política de olvido inspirada en la curva de Ebbinghaus de la psicología cognitiva. Las memorias almacenadas decaen en relevancia con el tiempo transcurrido desde su última recuperación, evitando la acumulación de información obsoleta.</w:t>
      </w:r>
      <w:r>
        <w:rPr>
          <w:rFonts w:ascii="Times New Roman" w:cs="Times New Roman" w:eastAsia="Times New Roman" w:hAnsi="Times New Roman"/>
          <w:b w:val="false"/>
          <w:bCs w:val="false"/>
          <w:i/>
          <w:iCs/>
          <w:sz w:val="24"/>
          <w:szCs w:val="24"/>
        </w:rPr>
        <w:t xml:space="preserve"> (Hu et al., 2023)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Model Context Protocol</w:t>
      </w:r>
      <w:r>
        <w:rPr>
          <w:rFonts w:ascii="Times New Roman" w:cs="Times New Roman" w:eastAsia="Times New Roman" w:hAnsi="Times New Roman"/>
          <w:b/>
          <w:bCs/>
          <w:i/>
          <w:iCs/>
          <w:sz w:val="24"/>
          <w:szCs w:val="24"/>
        </w:rPr>
        <w:t xml:space="preserve"> (MCP)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Estándar abierto publicado por Anthropic en noviembre de 2024 para la integración de agentes LLM con herramientas y fuentes de datos externas mediante una interfaz cliente-servidor estandarizada. Define los mecanismos de inicialización de sesión, descubrimiento de herramientas, invocación y notificación de cambios en el catálogo, siendo el protocolo de integración de herramientas de referencia para la investigación.</w:t>
      </w:r>
      <w:r>
        <w:rPr>
          <w:rFonts w:ascii="Times New Roman" w:cs="Times New Roman" w:eastAsia="Times New Roman" w:hAnsi="Times New Roman"/>
          <w:b w:val="false"/>
          <w:bCs w:val="false"/>
          <w:i/>
          <w:iCs/>
          <w:sz w:val="24"/>
          <w:szCs w:val="24"/>
        </w:rPr>
        <w:t xml:space="preserve"> (Anthropic, 2024)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Modelo de lenguaje de gran escala</w:t>
      </w:r>
      <w:r>
        <w:rPr>
          <w:rFonts w:ascii="Times New Roman" w:cs="Times New Roman" w:eastAsia="Times New Roman" w:hAnsi="Times New Roman"/>
          <w:b/>
          <w:bCs/>
          <w:i/>
          <w:iCs/>
          <w:sz w:val="24"/>
          <w:szCs w:val="24"/>
        </w:rPr>
        <w:t xml:space="preserve"> (LLM)</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Sistema de inteligencia artificial basado en la arquitectura transformer, entrenado sobre vastos corpus de texto mediante el objetivo de predicción del siguiente token. Opera dentro de una ventana de contexto limitada que define el número máximo de tokens que puede procesar en una inferencia. Los LLM modernos exhiben capacidades emergentes de razonamiento, uso de herramientas y seguimiento de instrucciones complejas.</w:t>
      </w:r>
      <w:r>
        <w:rPr>
          <w:rFonts w:ascii="Times New Roman" w:cs="Times New Roman" w:eastAsia="Times New Roman" w:hAnsi="Times New Roman"/>
          <w:b w:val="false"/>
          <w:bCs w:val="false"/>
          <w:i/>
          <w:iCs/>
          <w:sz w:val="24"/>
          <w:szCs w:val="24"/>
        </w:rPr>
        <w:t xml:space="preserve"> (Brown et al., 2020)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Next-token prediction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Objetivo de entrenamiento de los modelos de lenguaje autoregresivos que consiste en predecir el token siguiente en una secuencia dado el contexto de todos los tokens anteriores. Es la tarea de pre-entrenamiento de los LLM como GPT, Llama, Gemini y Claude. La capacidad de razonamiento y las capacidades emergentes de los LLM son consecuencias del escalado de este objetivo simple.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Overhead de contexto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Tokens del contexto activo del agente que no contienen información directamente útil para la tarea actual, pero que son transmitidos al modelo en cada inferencia porque forman parte del historial o del catálogo de herramientas. El overhead incluye las descripciones de herramientas no relevantes, resultados de herramientas de turnos pasados y metadatos de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Puntos de cambio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Ubicaciones en una serie temporal donde las propiedades estadísticas de la serie —media, varianza, tendencia— cambian de forma abrupta. En esta tesis, los puntos de cambio en las métricas de calidad de respuesta identifican los umbrales de longitud de contexto a partir de los cuales el context rot se vuelve estadísticamente significativo. Se detectan mediante algoritmos PELT y Binary Segmentation.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R</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RAG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Véase Retrieval-Augmented Generation.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RAG-MCP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Extensión de RAG aplicada específicamente al catálogo de herramientas MCP, que utiliza recuperación semántica para exponer al modelo solo las herramientas más relevantes para cada consulta, en lugar de el catálogo completo. Reduce el overhead de tokens de descripción de herramientas sin sacrificar significativamente la exactitud de selección.</w:t>
      </w:r>
      <w:r>
        <w:rPr>
          <w:rFonts w:ascii="Times New Roman" w:cs="Times New Roman" w:eastAsia="Times New Roman" w:hAnsi="Times New Roman"/>
          <w:b w:val="false"/>
          <w:bCs w:val="false"/>
          <w:i/>
          <w:iCs/>
          <w:sz w:val="24"/>
          <w:szCs w:val="24"/>
        </w:rPr>
        <w:t xml:space="preserve"> (Tang et al.,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Retrieval-Augmented Generation</w:t>
      </w:r>
      <w:r>
        <w:rPr>
          <w:rFonts w:ascii="Times New Roman" w:cs="Times New Roman" w:eastAsia="Times New Roman" w:hAnsi="Times New Roman"/>
          <w:b/>
          <w:bCs/>
          <w:i/>
          <w:iCs/>
          <w:sz w:val="24"/>
          <w:szCs w:val="24"/>
        </w:rPr>
        <w:t xml:space="preserve"> (RAG)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Técnica de gestión de memoria externa que combina un modelo de recuperación densa —que busca documentos o fragmentos relevantes en una base de datos vectorial mediante similitud coseno entre embeddings— con el modelo de generación, que utiliza los elementos recuperados como contexto adicional para producir la respuesta. Mitiga el context rot al sustituir el historial completo de conversación por los fragmentos más relevantes recuperados dinámicamente.</w:t>
      </w:r>
      <w:r>
        <w:rPr>
          <w:rFonts w:ascii="Times New Roman" w:cs="Times New Roman" w:eastAsia="Times New Roman" w:hAnsi="Times New Roman"/>
          <w:b w:val="false"/>
          <w:bCs w:val="false"/>
          <w:i/>
          <w:iCs/>
          <w:sz w:val="24"/>
          <w:szCs w:val="24"/>
        </w:rPr>
        <w:t xml:space="preserve"> (Lewis et al., 2020)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Semantic caching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Véase Caching semántico.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Servidor MCP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Componente del protocolo MCP que expone un catálogo de herramientas, recursos y prompts mediante una interfaz estandarizada JSON accesible por cualquier cliente MCP compatible. En las arquitecturas estudiadas en esta tesis, múltiples servidores MCP de diferentes dominios se conectan simultáneamente al mismo agente LLM, creando el contexto multi-servidor que es el objeto de estudio.</w:t>
      </w:r>
      <w:r>
        <w:rPr>
          <w:rFonts w:ascii="Times New Roman" w:cs="Times New Roman" w:eastAsia="Times New Roman" w:hAnsi="Times New Roman"/>
          <w:b w:val="false"/>
          <w:bCs w:val="false"/>
          <w:i/>
          <w:iCs/>
          <w:sz w:val="24"/>
          <w:szCs w:val="24"/>
        </w:rPr>
        <w:t xml:space="preserve"> (Anthropic, 2024)</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SessionFacts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Mecanismo de compresión del estado de sesión de un agente LLM que extrae y almacena los hechos, entidades y restricciones más relevantes del historial de conversación en una estructura compacta de pares clave-valor, sustituyendo el historial completo por este resumen en el contexto activo del agente. Reduce significativamente el consumo de tokens de historial en conversaciones largas.</w:t>
      </w:r>
      <w:r>
        <w:rPr>
          <w:rFonts w:ascii="Times New Roman" w:cs="Times New Roman" w:eastAsia="Times New Roman" w:hAnsi="Times New Roman"/>
          <w:b w:val="false"/>
          <w:bCs w:val="false"/>
          <w:i/>
          <w:iCs/>
          <w:sz w:val="24"/>
          <w:szCs w:val="24"/>
        </w:rPr>
        <w:t xml:space="preserve"> (Packer et al., 2023)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Similitud coseno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Medida de similitud entre dos vectores que calcula el coseno del ángulo entre ellos, con valores en el rango [-1, 1] donde 1 indica vectores idénticos en dirección y -1 indica vectores opuestos. Utilizada como función de distancia en los sistemas de recuperación vectorial y filtrado semántico de esta tesis por su robustez ante diferencias de magnitud entre vectores.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SimpleToolHalluBench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Benchmark de evaluación de alucinaciones en el uso de herramientas que mide la tasa de alucinación de nombres de herramientas, parámetros y valores en catálogos de diferentes tamaños. Diseñado para evaluar específicamente el impacto del tool overload sobre la precisión del agente en la invocación de herramientas.</w:t>
      </w:r>
      <w:r>
        <w:rPr>
          <w:rFonts w:ascii="Times New Roman" w:cs="Times New Roman" w:eastAsia="Times New Roman" w:hAnsi="Times New Roman"/>
          <w:b w:val="false"/>
          <w:bCs w:val="false"/>
          <w:i/>
          <w:iCs/>
          <w:sz w:val="24"/>
          <w:szCs w:val="24"/>
        </w:rPr>
        <w:t xml:space="preserve"> (Zeng et al.,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Tasa de alucinación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Proporción de afirmaciones verificables en las respuestas de un agente LLM que son incorrectas o no fundamentadas en la información disponible en el contexto. Métrica primaria de confiabilidad del sistema, cuyo incremento es uno de los indicadores más claros del fenómeno de context rot. Se mide mediante verificación cruzada automatizada contra el ground truth.</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Token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Unidad mínima de procesamiento de los modelos de lenguaje, obtenida mediante un algoritmo de tokenización (comúnmente BPE o WordPiece) que divide el texto en subpalabras. En inglés, un token corresponde aproximadamente a 0.75 palabras; en español, la relación es ligeramente inferior debido a la mayor longitud media de las palabras. El costo de inferencia de las APIs de LLM se factura en función del número de tokens procesados.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Tool gating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Conjunto de estrategias que controlan qué herramientas del catálogo MCP se exponen al modelo en cada turno de la conversación, en lugar de exponer el catálogo completo de forma estática. Incluye el filtrado semántico por relevancia y la carga diferida de herramientas. Mitiga el mecanismo de tool overload del context 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Tool overload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Mecanismo de context rot que ocurre cuando el número de herramientas expuestas al modelo supera su capacidad de atención efectiva, resultando en degradación de la tasa de selección correcta de herramientas e incremento de la tasa de alucinación de parámetros. Se intensifica en arquitecturas multi-MCP donde cada servidor contribuye con su propio catálogo al contexto compartido.</w:t>
      </w:r>
      <w:r>
        <w:rPr>
          <w:rFonts w:ascii="Times New Roman" w:cs="Times New Roman" w:eastAsia="Times New Roman" w:hAnsi="Times New Roman"/>
          <w:b w:val="false"/>
          <w:bCs w:val="false"/>
          <w:i/>
          <w:iCs/>
          <w:sz w:val="24"/>
          <w:szCs w:val="24"/>
        </w:rPr>
        <w:t xml:space="preserve"> (Tang et al., 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Transformer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Arquitectura de red neuronal introducida por Vaswani et al. (2017) basada en el mecanismo de atención multi-cabezal, que reemplazó a las redes recurrentes para el procesamiento de secuencias de texto. Es la arquitectura subyacente de todos los LLM modernos y determina las propiedades de la ventana de contexto y el mecanismo de atención que condicionan el fenómeno de context rot.</w:t>
      </w:r>
      <w:r>
        <w:rPr>
          <w:rFonts w:ascii="Times New Roman" w:cs="Times New Roman" w:eastAsia="Times New Roman" w:hAnsi="Times New Roman"/>
          <w:b w:val="false"/>
          <w:bCs w:val="false"/>
          <w:i/>
          <w:iCs/>
          <w:sz w:val="24"/>
          <w:szCs w:val="24"/>
        </w:rPr>
        <w:t xml:space="preserve"> (Vaswani et al., 2017)</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V</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Variable dependiente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En el diseño experimental de esta tesis, el nivel de degradación de respuestas (context rot) medido a través del Índice de Calidad de Respuesta Compuesto (IQCR), que integra exactitud de respuesta, tasa de alucinación, coherencia conversacional y consumo de tokens por turno.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Variable independiente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En el diseño experimental de esta tesis, el tipo y combinación de técnicas de memoria y gestión de contexto aplicadas al agente LLM, operacionalizada en cinco niveles de tratamiento: sin técnica (baseline), RAG semántico, SessionFacts, tool gating y combinación óptima.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Ventana de contexto</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Número máximo de tokens que un modelo de lenguaje puede procesar en una sola inferencia, definido por la arquitectura del modelo. Incluye todos los tokens del prompt de entrada y de la respuesta generada. Los LLM modernos tienen ventanas de contexto de 128,000 a 1,000,000 de tokens, aunque la calidad de la atención sobre tokens en posiciones centrales decrece con el tamaño del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color w:val="2E4057"/>
          <w:sz w:val="24"/>
          <w:szCs w:val="24"/>
        </w:rPr>
        <w:t xml:space="preserve">Í</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bCs/>
          <w:i w:val="false"/>
          <w:iCs w:val="false"/>
          <w:sz w:val="24"/>
          <w:szCs w:val="24"/>
        </w:rPr>
        <w:t xml:space="preserve">Índice de calidad de respuesta compuesto</w:t>
      </w:r>
      <w:r>
        <w:rPr>
          <w:rFonts w:ascii="Times New Roman" w:cs="Times New Roman" w:eastAsia="Times New Roman" w:hAnsi="Times New Roman"/>
          <w:b/>
          <w:bCs/>
          <w:i/>
          <w:iCs/>
          <w:sz w:val="24"/>
          <w:szCs w:val="24"/>
        </w:rPr>
        <w:t xml:space="preserve"> (IQCR)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Métrica agregada diseñada para esta tesis que integra las cuatro dimensiones primarias de evaluación —exactitud de respuesta, tasa de alucinación, coherencia conversacional y consumo de tokens— mediante una ponderación definida por el método AHP. El IQCR permite comparar el desempeño global de diferentes técnicas de memoria en una única dimensión cuantitativa normalizada.</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Anthropic. (2024). Model Context Protocol specification (v1.0). Anthropic. https://modelcontextprotocol.io/specification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https://proceedings.neurips.cc/paper/2020/hash/1457c0d6bfcb4967418bfb8ac142f64a-Abstract.html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Chhikara, P., Singh, D., Gupta, T., Goyal, A., &amp; Tiwari, A. (2025). Mem0: Building production-ready AI agents with scalable long-term memory. arXiv. https://arxiv.org/abs/2504.19413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Chroma Research. (2025). Context rot in production LLM systems: A benchmark study. Chroma. https://www.trychroma.com/blog/context-rot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Hu, J., Huang, S., Luo, Y., Wu, F., &amp; Lam, W. (2023). MemoryBank: Enhancing large language models with long-term memory. arXiv. https://arxiv.org/abs/2305.10250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Lewis, P., Perez, E., Piktus, A., Petroni, F., Karpukhin, V., Goyal, N., Küttler, H., Lewis, M., Yih, W.-T., Rocktäschel, T., Riedel, S., &amp; Kiela, D. (2020). Retrieval-augmented generation for knowledge-intensive NLP tasks. Advances in Neural Information Processing Systems, 33, 9459–9474. https://proceedings.neurips.cc/paper/2020/hash/6b493230205f780e1bc26945df7481e5-Abstract.html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Maharana, A., Lee, D.-H., Tulyakov, S., Bansal, M., Barbieri, F., &amp; Fang, Y. (2024). Evaluating very long-term conversational memory of LLM agents. arXiv. https://arxiv.org/abs/2402.17753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Montgomery, D. C. (2017). Design and analysis of experiments (9.ª ed.). Wiley.</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Packer, C., Wooders, S., Lin, K., Fang, V., Patil, S. G., Stoica, I., &amp; Gonzalez, J. E. (2023). MemGPT: Towards LLMs as operating systems. arXiv. https://arxiv.org/abs/2310.08560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Redis Labs. (2025). Engineering for AI agents: Memory architecture and tool integration. Redis. https://redis.io/blog/engineering-for-ai-agents/ https://redis.io/blog/enterprise-ai-memory-2025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Tang, R., Jin, Z., Alexandrov, A., Shao, Y., Shi, P., &amp; Pan, L. (2025). RAG-MCP: Mitigating prompt bloat in LLM tool selection via retrieval-augmented generation. arXiv. https://arxiv.org/abs/2502.03415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Truong, T. H., &amp; Ho, T. B. (2023). LongMemEval: Benchmarking long-context language models on long-term interactive memory. arXiv. https://arxiv.org/abs/2410.10813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Vaswani, A., Shazeer, N., Parmar, N., Uszkoreit, J., Jones, L., Gomez, A. N., Kaiser, Ł., &amp; Polosukhin, I. (2017). Attention is all you need. Advances in Neural Information Processing Systems, 30. https://proceedings.neurips.cc/paper_files/paper/2017/hash/3f5ee243547dee91fbd053c1c4a845aa-Abstract.html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Wang, L., Ma, C., Feng, X., Zhang, Z., Yang, H., Zhang, J., Chen, Z., Tang, J., Chen, X., Lin, Y., Zhao, W. X., Wei, Z., &amp; Wen, J.-R. (2024). A survey on large language model based autonomous agents. Frontiers of Computer Science, 18(6), 186345. https://doi.org/10.1007/s11704-024-40231-1</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Yao, S., Zhao, J., Yu, D., Du, N., Shafran, I., Narasimhan, K., &amp; Cao, Y. (2022). ReAct: Synergizing reasoning and acting in language models. arXiv. https://arxiv.org/abs/2210.03629</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Zeng, Z., Liu, M., Lu, R., Wang, B., Liu, X., &amp; Cheng, X. (2025). SimpleToolHalluBench: Towards a comprehensive assessment of tool call hallucination in large language models. arXiv. https://arxiv.org/abs/2501.13395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Zhang, T., Kishore, V., Wu, F., Weinberger, K. Q., &amp; Artzi, Y. (2020). BERTScore: Evaluating text generation with BERT. International Conference on Learning Representations. https://openreview.net/forum?id=SkeHuCVFDr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2026-04-27T03:39:40.365Z</dcterms:created>
  <dcterms:modified xsi:type="dcterms:W3CDTF">2026-04-27T03:39:40.430Z</dcterms:modified>
</cp:coreProperties>
</file>

<file path=docProps/custom.xml><?xml version="1.0" encoding="utf-8"?>
<Properties xmlns="http://schemas.openxmlformats.org/officeDocument/2006/custom-properties" xmlns:vt="http://schemas.openxmlformats.org/officeDocument/2006/docPropsVTypes"/>
</file>