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A5" w:rsidRPr="00FA3FA5" w:rsidRDefault="00FA3FA5" w:rsidP="00FA3F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3FA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FA3FA5">
        <w:rPr>
          <w:rFonts w:ascii="Times New Roman" w:eastAsia="Times New Roman" w:hAnsi="Times New Roman" w:cs="Times New Roman"/>
          <w:b/>
          <w:bCs/>
          <w:sz w:val="28"/>
          <w:szCs w:val="28"/>
        </w:rPr>
        <w:t>source</w:t>
      </w:r>
      <w:proofErr w:type="spellEnd"/>
      <w:r w:rsidRPr="00FA3FA5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creation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electronic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anchor="headerSourceDescription" w:history="1"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3.1.1.7 Source Description</w:t>
        </w:r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,</w:t>
      </w:r>
      <w:hyperlink r:id="rId7" w:anchor="headerMinimalRecommendedHeader" w:history="1"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3.1.8 Minimal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and</w:t>
        </w:r>
        <w:proofErr w:type="spellEnd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Recommended Header Information</w:t>
        </w:r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,</w:t>
      </w:r>
      <w:hyperlink r:id="rId8" w:anchor="FRBRentities" w:history="1"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3.2.1 FRBR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Entities</w:t>
        </w:r>
        <w:proofErr w:type="spellEnd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in MEI</w:t>
        </w:r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,</w:t>
      </w:r>
      <w:hyperlink r:id="rId9" w:anchor="&quot;msdesc&quot;" w:history="1"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3.3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Manuscript</w:t>
        </w:r>
        <w:proofErr w:type="spellEnd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Descriptions</w:t>
        </w:r>
        <w:proofErr w:type="spellEnd"/>
      </w:hyperlink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r w:rsidRPr="00FA3FA5">
        <w:rPr>
          <w:rFonts w:ascii="Times New Roman" w:eastAsia="Times New Roman" w:hAnsi="Times New Roman" w:cs="Times New Roman"/>
          <w:sz w:val="28"/>
          <w:szCs w:val="28"/>
        </w:rPr>
        <w:t>Module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MEI.header</w:t>
      </w:r>
      <w:proofErr w:type="spellEnd"/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r w:rsidRPr="00FA3FA5">
        <w:rPr>
          <w:rFonts w:ascii="Times New Roman" w:eastAsia="Times New Roman" w:hAnsi="Times New Roman" w:cs="Times New Roman"/>
          <w:sz w:val="28"/>
          <w:szCs w:val="28"/>
        </w:rPr>
        <w:t>Attributes</w:t>
      </w:r>
    </w:p>
    <w:p w:rsidR="00FA3FA5" w:rsidRPr="00FA3FA5" w:rsidRDefault="00FA3FA5" w:rsidP="00FA3F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attributes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compact</w:t>
        </w:r>
        <w:proofErr w:type="spellEnd"/>
      </w:hyperlink>
    </w:p>
    <w:p w:rsidR="00FA3FA5" w:rsidRPr="00FA3FA5" w:rsidRDefault="00FA3FA5" w:rsidP="00FA3F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attributes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full</w:t>
        </w:r>
        <w:proofErr w:type="spellEnd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definition</w:t>
        </w:r>
        <w:proofErr w:type="spellEnd"/>
      </w:hyperlink>
    </w:p>
    <w:p w:rsidR="00FA3FA5" w:rsidRPr="00FA3FA5" w:rsidRDefault="00FA3FA5" w:rsidP="00FA3F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2" w:anchor="attributes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class</w:t>
        </w:r>
        <w:proofErr w:type="spellEnd"/>
      </w:hyperlink>
    </w:p>
    <w:p w:rsidR="00FA3FA5" w:rsidRPr="00FA3FA5" w:rsidRDefault="00FA3FA5" w:rsidP="00FA3F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3" w:anchor="attributes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module</w:t>
        </w:r>
        <w:proofErr w:type="spellEnd"/>
      </w:hyperlink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Attribute: analog,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auth.uri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codedval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comptype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copyof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corresp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da</w:t>
      </w:r>
      <w:bookmarkStart w:id="0" w:name="_GoBack"/>
      <w:bookmarkEnd w:id="0"/>
      <w:r w:rsidRPr="00FA3FA5">
        <w:rPr>
          <w:rFonts w:ascii="Times New Roman" w:eastAsia="Times New Roman" w:hAnsi="Times New Roman" w:cs="Times New Roman"/>
          <w:sz w:val="28"/>
          <w:szCs w:val="28"/>
        </w:rPr>
        <w:t>ta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evaluate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follows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n,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precedes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recordtype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resp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sameas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synch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target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targettype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type,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xlink:actuate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xlink:role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xlink:show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xml:base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xml:id</w:t>
      </w:r>
      <w:proofErr w:type="spellEnd"/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Member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r w:rsidRPr="00FA3FA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isn't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member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any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Contained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</w:p>
    <w:p w:rsidR="00FA3FA5" w:rsidRPr="00FA3FA5" w:rsidRDefault="00FA3FA5" w:rsidP="00FA3F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4" w:anchor="containedBy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compact</w:t>
        </w:r>
        <w:proofErr w:type="spellEnd"/>
      </w:hyperlink>
    </w:p>
    <w:p w:rsidR="00FA3FA5" w:rsidRPr="00FA3FA5" w:rsidRDefault="00FA3FA5" w:rsidP="00FA3F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5" w:anchor="containedBy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class</w:t>
        </w:r>
        <w:proofErr w:type="spellEnd"/>
      </w:hyperlink>
    </w:p>
    <w:p w:rsidR="00FA3FA5" w:rsidRPr="00FA3FA5" w:rsidRDefault="00FA3FA5" w:rsidP="00FA3F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6" w:anchor="containedBy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module</w:t>
        </w:r>
        <w:proofErr w:type="spellEnd"/>
      </w:hyperlink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elements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having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direct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children</w:t>
      </w:r>
      <w:proofErr w:type="spellEnd"/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sourceDesc</w:t>
        </w:r>
        <w:proofErr w:type="spellEnd"/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) –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container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descriptions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(s)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creation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electronic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May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Contain</w:t>
      </w:r>
      <w:proofErr w:type="spellEnd"/>
    </w:p>
    <w:p w:rsidR="00FA3FA5" w:rsidRPr="00FA3FA5" w:rsidRDefault="00FA3FA5" w:rsidP="00FA3F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8" w:anchor="mayContain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compact</w:t>
        </w:r>
        <w:proofErr w:type="spellEnd"/>
      </w:hyperlink>
    </w:p>
    <w:p w:rsidR="00FA3FA5" w:rsidRPr="00FA3FA5" w:rsidRDefault="00FA3FA5" w:rsidP="00FA3F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9" w:anchor="mayContain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class</w:t>
        </w:r>
        <w:proofErr w:type="spellEnd"/>
      </w:hyperlink>
    </w:p>
    <w:p w:rsidR="00FA3FA5" w:rsidRPr="00FA3FA5" w:rsidRDefault="00FA3FA5" w:rsidP="00FA3F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20" w:anchor="mayContain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module</w:t>
        </w:r>
        <w:proofErr w:type="spellEnd"/>
      </w:hyperlink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direct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children</w:t>
      </w:r>
      <w:proofErr w:type="spellEnd"/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1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locus</w:t>
        </w:r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Defines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within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manuscript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manuscript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component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usually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(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possibly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discontinuous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folio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references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2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locusGrp</w:t>
        </w:r>
        <w:proofErr w:type="spellEnd"/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locus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) – Groups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locations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together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form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distinct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but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discontinuous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item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within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manuscript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manuscript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part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according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specific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foliation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3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model.biblLike</w:t>
        </w:r>
        <w:proofErr w:type="spellEnd"/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MEI.shared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) Groups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elements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containing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4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bibl</w:t>
        </w:r>
        <w:proofErr w:type="spellEnd"/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reference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Provides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loosely-structured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citation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sub-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components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may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may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not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explicitly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marked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5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biblStruct</w:t>
        </w:r>
        <w:proofErr w:type="spellEnd"/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citation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Contains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citation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sub-elements must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appear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in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specified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6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model.headLike</w:t>
        </w:r>
        <w:proofErr w:type="spellEnd"/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MEI.shared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) Groups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elements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provide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heading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division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markup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component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7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head</w:t>
        </w:r>
        <w:proofErr w:type="spellEnd"/>
      </w:hyperlink>
      <w:r w:rsidRPr="00FA3FA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heading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Contains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any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heading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example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title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heading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Remarks</w:t>
      </w:r>
      <w:proofErr w:type="spellEnd"/>
    </w:p>
    <w:p w:rsidR="00FA3FA5" w:rsidRPr="00FA3FA5" w:rsidRDefault="00FA3FA5" w:rsidP="00FA3FA5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FA3FA5">
        <w:rPr>
          <w:rFonts w:ascii="Times New Roman" w:hAnsi="Times New Roman" w:cs="Times New Roman"/>
          <w:sz w:val="28"/>
          <w:szCs w:val="28"/>
        </w:rPr>
        <w:t xml:space="preserve">This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via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creation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electronic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embodiment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proofErr w:type="spellStart"/>
        <w:r w:rsidRPr="00FA3FA5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manifestation</w:t>
        </w:r>
        <w:proofErr w:type="spellEnd"/>
      </w:hyperlink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element.The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musical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source.This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modelled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Text Encoding Initiative (TEI)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Encoded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Archival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 Description (EAD) </w:t>
      </w:r>
      <w:proofErr w:type="spellStart"/>
      <w:r w:rsidRPr="00FA3FA5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FA3F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</w:p>
    <w:p w:rsidR="00FA3FA5" w:rsidRPr="00FA3FA5" w:rsidRDefault="00FA3FA5" w:rsidP="00FA3F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29" w:anchor="constraints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text</w:t>
        </w:r>
        <w:proofErr w:type="spellEnd"/>
      </w:hyperlink>
    </w:p>
    <w:p w:rsidR="00FA3FA5" w:rsidRPr="00FA3FA5" w:rsidRDefault="00FA3FA5" w:rsidP="00FA3F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30" w:anchor="constraints" w:history="1">
        <w:proofErr w:type="spellStart"/>
        <w:r w:rsidRPr="00FA3FA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schematron</w:t>
        </w:r>
        <w:proofErr w:type="spellEnd"/>
      </w:hyperlink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r w:rsidRPr="00FA3FA5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target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attribute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should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content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3FA5" w:rsidRPr="00FA3FA5" w:rsidRDefault="00FA3FA5" w:rsidP="00FA3FA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Each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in @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target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should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correspond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@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xml:id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attribute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manifestation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FA3FA5">
        <w:rPr>
          <w:rFonts w:ascii="Times New Roman" w:eastAsia="Times New Roman" w:hAnsi="Times New Roman" w:cs="Times New Roman"/>
          <w:sz w:val="28"/>
          <w:szCs w:val="28"/>
        </w:rPr>
        <w:t>external</w:t>
      </w:r>
      <w:proofErr w:type="spellEnd"/>
      <w:r w:rsidRPr="00FA3FA5">
        <w:rPr>
          <w:rFonts w:ascii="Times New Roman" w:eastAsia="Times New Roman" w:hAnsi="Times New Roman" w:cs="Times New Roman"/>
          <w:sz w:val="28"/>
          <w:szCs w:val="28"/>
        </w:rPr>
        <w:t xml:space="preserve"> URI. </w:t>
      </w:r>
    </w:p>
    <w:p w:rsidR="008A4217" w:rsidRPr="00FA3FA5" w:rsidRDefault="008A4217">
      <w:pPr>
        <w:rPr>
          <w:sz w:val="28"/>
          <w:szCs w:val="28"/>
        </w:rPr>
      </w:pPr>
    </w:p>
    <w:sectPr w:rsidR="008A4217" w:rsidRPr="00FA3FA5" w:rsidSect="00F421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F54"/>
    <w:multiLevelType w:val="multilevel"/>
    <w:tmpl w:val="A35C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C36A3"/>
    <w:multiLevelType w:val="multilevel"/>
    <w:tmpl w:val="9DF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6E5D5F"/>
    <w:multiLevelType w:val="multilevel"/>
    <w:tmpl w:val="9D16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6D0E6F"/>
    <w:multiLevelType w:val="multilevel"/>
    <w:tmpl w:val="D418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A5"/>
    <w:rsid w:val="008A4217"/>
    <w:rsid w:val="00F4219F"/>
    <w:rsid w:val="00FA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255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eichen"/>
    <w:uiPriority w:val="9"/>
    <w:qFormat/>
    <w:rsid w:val="00FA3FA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FA3FA5"/>
    <w:rPr>
      <w:rFonts w:ascii="Times New Roman" w:hAnsi="Times New Roman" w:cs="Times New Roman"/>
      <w:b/>
      <w:bCs/>
      <w:sz w:val="27"/>
      <w:szCs w:val="27"/>
    </w:rPr>
  </w:style>
  <w:style w:type="character" w:styleId="Link">
    <w:name w:val="Hyperlink"/>
    <w:basedOn w:val="Absatzstandardschriftart"/>
    <w:uiPriority w:val="99"/>
    <w:semiHidden/>
    <w:unhideWhenUsed/>
    <w:rsid w:val="00FA3FA5"/>
    <w:rPr>
      <w:color w:val="0000FF"/>
      <w:u w:val="single"/>
    </w:rPr>
  </w:style>
  <w:style w:type="character" w:customStyle="1" w:styleId="ident">
    <w:name w:val="ident"/>
    <w:basedOn w:val="Absatzstandardschriftart"/>
    <w:rsid w:val="00FA3FA5"/>
  </w:style>
  <w:style w:type="character" w:customStyle="1" w:styleId="groupdesc">
    <w:name w:val="groupdesc"/>
    <w:basedOn w:val="Absatzstandardschriftart"/>
    <w:rsid w:val="00FA3FA5"/>
  </w:style>
  <w:style w:type="character" w:customStyle="1" w:styleId="classdesc">
    <w:name w:val="classdesc"/>
    <w:basedOn w:val="Absatzstandardschriftart"/>
    <w:rsid w:val="00FA3FA5"/>
  </w:style>
  <w:style w:type="character" w:customStyle="1" w:styleId="elementdesc">
    <w:name w:val="elementdesc"/>
    <w:basedOn w:val="Absatzstandardschriftart"/>
    <w:rsid w:val="00FA3FA5"/>
  </w:style>
  <w:style w:type="paragraph" w:styleId="StandardWeb">
    <w:name w:val="Normal (Web)"/>
    <w:basedOn w:val="Standard"/>
    <w:uiPriority w:val="99"/>
    <w:semiHidden/>
    <w:unhideWhenUsed/>
    <w:rsid w:val="00FA3FA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tt">
    <w:name w:val="att"/>
    <w:basedOn w:val="Absatzstandardschriftart"/>
    <w:rsid w:val="00FA3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eichen"/>
    <w:uiPriority w:val="9"/>
    <w:qFormat/>
    <w:rsid w:val="00FA3FA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FA3FA5"/>
    <w:rPr>
      <w:rFonts w:ascii="Times New Roman" w:hAnsi="Times New Roman" w:cs="Times New Roman"/>
      <w:b/>
      <w:bCs/>
      <w:sz w:val="27"/>
      <w:szCs w:val="27"/>
    </w:rPr>
  </w:style>
  <w:style w:type="character" w:styleId="Link">
    <w:name w:val="Hyperlink"/>
    <w:basedOn w:val="Absatzstandardschriftart"/>
    <w:uiPriority w:val="99"/>
    <w:semiHidden/>
    <w:unhideWhenUsed/>
    <w:rsid w:val="00FA3FA5"/>
    <w:rPr>
      <w:color w:val="0000FF"/>
      <w:u w:val="single"/>
    </w:rPr>
  </w:style>
  <w:style w:type="character" w:customStyle="1" w:styleId="ident">
    <w:name w:val="ident"/>
    <w:basedOn w:val="Absatzstandardschriftart"/>
    <w:rsid w:val="00FA3FA5"/>
  </w:style>
  <w:style w:type="character" w:customStyle="1" w:styleId="groupdesc">
    <w:name w:val="groupdesc"/>
    <w:basedOn w:val="Absatzstandardschriftart"/>
    <w:rsid w:val="00FA3FA5"/>
  </w:style>
  <w:style w:type="character" w:customStyle="1" w:styleId="classdesc">
    <w:name w:val="classdesc"/>
    <w:basedOn w:val="Absatzstandardschriftart"/>
    <w:rsid w:val="00FA3FA5"/>
  </w:style>
  <w:style w:type="character" w:customStyle="1" w:styleId="elementdesc">
    <w:name w:val="elementdesc"/>
    <w:basedOn w:val="Absatzstandardschriftart"/>
    <w:rsid w:val="00FA3FA5"/>
  </w:style>
  <w:style w:type="paragraph" w:styleId="StandardWeb">
    <w:name w:val="Normal (Web)"/>
    <w:basedOn w:val="Standard"/>
    <w:uiPriority w:val="99"/>
    <w:semiHidden/>
    <w:unhideWhenUsed/>
    <w:rsid w:val="00FA3FA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tt">
    <w:name w:val="att"/>
    <w:basedOn w:val="Absatzstandardschriftart"/>
    <w:rsid w:val="00FA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8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79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8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4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0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usic-encoding.org/guidelines/v4/content/metadata.html" TargetMode="External"/><Relationship Id="rId20" Type="http://schemas.openxmlformats.org/officeDocument/2006/relationships/hyperlink" Target="https://music-encoding.org/guidelines/v4/elements/source.html" TargetMode="External"/><Relationship Id="rId21" Type="http://schemas.openxmlformats.org/officeDocument/2006/relationships/hyperlink" Target="https://music-encoding.org/guidelines/v4/elements/locus.html" TargetMode="External"/><Relationship Id="rId22" Type="http://schemas.openxmlformats.org/officeDocument/2006/relationships/hyperlink" Target="https://music-encoding.org/guidelines/v4/elements/locusgrp.html" TargetMode="External"/><Relationship Id="rId23" Type="http://schemas.openxmlformats.org/officeDocument/2006/relationships/hyperlink" Target="https://music-encoding.org/guidelines/v4/model-classes/model.bibllike.html" TargetMode="External"/><Relationship Id="rId24" Type="http://schemas.openxmlformats.org/officeDocument/2006/relationships/hyperlink" Target="https://music-encoding.org/guidelines/v4/elements/bibl.html" TargetMode="External"/><Relationship Id="rId25" Type="http://schemas.openxmlformats.org/officeDocument/2006/relationships/hyperlink" Target="https://music-encoding.org/guidelines/v4/elements/biblstruct.html" TargetMode="External"/><Relationship Id="rId26" Type="http://schemas.openxmlformats.org/officeDocument/2006/relationships/hyperlink" Target="https://music-encoding.org/guidelines/v4/model-classes/model.headlike.html" TargetMode="External"/><Relationship Id="rId27" Type="http://schemas.openxmlformats.org/officeDocument/2006/relationships/hyperlink" Target="https://music-encoding.org/guidelines/v4/elements/head.html" TargetMode="External"/><Relationship Id="rId28" Type="http://schemas.openxmlformats.org/officeDocument/2006/relationships/hyperlink" Target="https://music-encoding.org/guidelines/v4/elements/manifestation.html" TargetMode="External"/><Relationship Id="rId29" Type="http://schemas.openxmlformats.org/officeDocument/2006/relationships/hyperlink" Target="https://music-encoding.org/guidelines/v4/elements/source.html" TargetMode="External"/><Relationship Id="rId30" Type="http://schemas.openxmlformats.org/officeDocument/2006/relationships/hyperlink" Target="https://music-encoding.org/guidelines/v4/elements/source.html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music-encoding.org/guidelines/v4/elements/source.html" TargetMode="External"/><Relationship Id="rId11" Type="http://schemas.openxmlformats.org/officeDocument/2006/relationships/hyperlink" Target="https://music-encoding.org/guidelines/v4/elements/source.html" TargetMode="External"/><Relationship Id="rId12" Type="http://schemas.openxmlformats.org/officeDocument/2006/relationships/hyperlink" Target="https://music-encoding.org/guidelines/v4/elements/source.html" TargetMode="External"/><Relationship Id="rId13" Type="http://schemas.openxmlformats.org/officeDocument/2006/relationships/hyperlink" Target="https://music-encoding.org/guidelines/v4/elements/source.html" TargetMode="External"/><Relationship Id="rId14" Type="http://schemas.openxmlformats.org/officeDocument/2006/relationships/hyperlink" Target="https://music-encoding.org/guidelines/v4/elements/source.html" TargetMode="External"/><Relationship Id="rId15" Type="http://schemas.openxmlformats.org/officeDocument/2006/relationships/hyperlink" Target="https://music-encoding.org/guidelines/v4/elements/source.html" TargetMode="External"/><Relationship Id="rId16" Type="http://schemas.openxmlformats.org/officeDocument/2006/relationships/hyperlink" Target="https://music-encoding.org/guidelines/v4/elements/source.html" TargetMode="External"/><Relationship Id="rId17" Type="http://schemas.openxmlformats.org/officeDocument/2006/relationships/hyperlink" Target="https://music-encoding.org/guidelines/v4/elements/sourcedesc.html" TargetMode="External"/><Relationship Id="rId18" Type="http://schemas.openxmlformats.org/officeDocument/2006/relationships/hyperlink" Target="https://music-encoding.org/guidelines/v4/elements/source.html" TargetMode="External"/><Relationship Id="rId19" Type="http://schemas.openxmlformats.org/officeDocument/2006/relationships/hyperlink" Target="https://music-encoding.org/guidelines/v4/elements/source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usic-encoding.org/guidelines/v4/content/metadata.html" TargetMode="External"/><Relationship Id="rId7" Type="http://schemas.openxmlformats.org/officeDocument/2006/relationships/hyperlink" Target="https://music-encoding.org/guidelines/v4/content/metadata.html" TargetMode="External"/><Relationship Id="rId8" Type="http://schemas.openxmlformats.org/officeDocument/2006/relationships/hyperlink" Target="https://music-encoding.org/guidelines/v4/content/metadata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4136</Characters>
  <Application>Microsoft Macintosh Word</Application>
  <DocSecurity>0</DocSecurity>
  <Lines>34</Lines>
  <Paragraphs>9</Paragraphs>
  <ScaleCrop>false</ScaleCrop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Irmlind Capelle</dc:creator>
  <cp:keywords/>
  <dc:description/>
  <cp:lastModifiedBy>Irmlind Capelle</cp:lastModifiedBy>
  <cp:revision>1</cp:revision>
  <dcterms:created xsi:type="dcterms:W3CDTF">2019-08-25T15:31:00Z</dcterms:created>
  <dcterms:modified xsi:type="dcterms:W3CDTF">2019-08-25T15:32:00Z</dcterms:modified>
</cp:coreProperties>
</file>