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EC213" w14:textId="77777777" w:rsidR="00032906" w:rsidRPr="00032906" w:rsidRDefault="00032906" w:rsidP="00A2469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2906">
        <w:rPr>
          <w:rFonts w:ascii="Times New Roman" w:eastAsia="Times New Roman" w:hAnsi="Times New Roman" w:cs="Times New Roman"/>
          <w:b/>
          <w:bCs/>
          <w:sz w:val="27"/>
          <w:szCs w:val="27"/>
        </w:rPr>
        <w:t>&lt;</w:t>
      </w:r>
      <w:proofErr w:type="spellStart"/>
      <w:r w:rsidRPr="00032906">
        <w:rPr>
          <w:rFonts w:ascii="Times New Roman" w:eastAsia="Times New Roman" w:hAnsi="Times New Roman" w:cs="Times New Roman"/>
          <w:b/>
          <w:bCs/>
          <w:sz w:val="27"/>
          <w:szCs w:val="27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b/>
          <w:bCs/>
          <w:sz w:val="27"/>
          <w:szCs w:val="27"/>
        </w:rPr>
        <w:t>&gt;</w:t>
      </w:r>
    </w:p>
    <w:p w14:paraId="60684A7C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Provides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detailed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description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—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distinct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artistic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creation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—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specifically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history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use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high-level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attributes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(e.g.,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key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tempo,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meter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medium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performance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intended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duration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</w:p>
    <w:p w14:paraId="1BFE735B" w14:textId="77777777" w:rsidR="00A24696" w:rsidRDefault="00A2469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9C2AA6" w14:textId="77777777" w:rsidR="00A2469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032906">
        <w:rPr>
          <w:rFonts w:ascii="Times New Roman" w:eastAsia="Times New Roman" w:hAnsi="Times New Roman" w:cs="Times New Roman"/>
          <w:sz w:val="20"/>
          <w:szCs w:val="20"/>
        </w:rPr>
        <w:t>Attributes</w:t>
      </w:r>
    </w:p>
    <w:p w14:paraId="011CEBD0" w14:textId="77777777" w:rsidR="00032906" w:rsidRPr="00032906" w:rsidRDefault="00A2469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@</w:t>
      </w:r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analog,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auth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auth.uri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codedval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copyof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corresp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data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evaluate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follows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label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n,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next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precedes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prev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resp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sameas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synch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target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targettype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type,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xlink:actuate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xlink:role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xlink:show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xml:base</w:t>
      </w:r>
      <w:proofErr w:type="spellEnd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="00032906" w:rsidRPr="00032906">
        <w:rPr>
          <w:rFonts w:ascii="Times New Roman" w:eastAsia="Times New Roman" w:hAnsi="Times New Roman" w:cs="Times New Roman"/>
          <w:sz w:val="20"/>
          <w:szCs w:val="20"/>
        </w:rPr>
        <w:t>xml:id</w:t>
      </w:r>
      <w:proofErr w:type="spellEnd"/>
    </w:p>
    <w:p w14:paraId="4D8F454E" w14:textId="77777777" w:rsidR="00A24696" w:rsidRDefault="00A2469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C62AAC4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Member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</w:p>
    <w:p w14:paraId="403DCF96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6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model.workLike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Collects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work-like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5171AE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Contained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</w:p>
    <w:p w14:paraId="3582DEED" w14:textId="77777777" w:rsidR="00A24696" w:rsidRDefault="00A2469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8AF0535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having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direct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children</w:t>
      </w:r>
      <w:proofErr w:type="spellEnd"/>
    </w:p>
    <w:p w14:paraId="6D67BDA9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7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workList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Grouping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mechanism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describing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non-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aspects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FE3DC87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8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model.workLike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MEI.header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Collects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work-like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39002AF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9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componentList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component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parts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C3ACAB" w14:textId="77777777" w:rsidR="00A24696" w:rsidRDefault="00A2469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BC405B1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May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Contain</w:t>
      </w:r>
      <w:proofErr w:type="spellEnd"/>
    </w:p>
    <w:p w14:paraId="2A1B54E2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MEI.frbrFRBR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Functional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Requirements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Records)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declarations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594260F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0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expressionList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Gathers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expression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entities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F8503FC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MEI.headerMetadata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header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component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declarations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CF6C22C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1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audience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Defines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class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user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intended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defined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age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group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(e.g.,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children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young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adults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adults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etc.),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educational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level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(e.g.,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primary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secondary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etc.),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categorization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183F3D7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2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classification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Groups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describes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nature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topic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an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2E617D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3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componentList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physical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component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parts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45EBED7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4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contents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material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contained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resource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CC346A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5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context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historical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social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artistic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was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originally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conceived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(e.g.,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17th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century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restoration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monarchy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in England,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aesthetic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movement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late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19th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century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etc.)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historical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social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artistic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which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expression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was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realized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203BF84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6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extMeta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extended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metadata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Provides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non-MEI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metadata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formats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4D71248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history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Provides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container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history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resource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than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circumstances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creation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9E51A23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key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Key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captures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tonal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center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mode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528A395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langUsage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language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usage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– Groups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describing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languages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, sub-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languages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dialects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etc.,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represented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encoded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resource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3185010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0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mensuration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Captures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mensuration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descriptions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6C453D8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1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meter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Captures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time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signature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descriptions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4D1841A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2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notesStmt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notes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statement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Collects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notes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providing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about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additional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recorded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parts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description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4C58BDF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3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otherChar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distinguishing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characteristic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characteristic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serves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differentiate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expression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another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993CD37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4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perfDuration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performance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duration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express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duration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performance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printed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manuscript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playing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time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sound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recording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videorecording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, etc.</w:t>
      </w:r>
    </w:p>
    <w:p w14:paraId="6634A3B3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perfMedium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performance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medium) 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Indicates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performing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forces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used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in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composition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78F960" w14:textId="77777777" w:rsidR="00A24696" w:rsidRDefault="00A2469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8038835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MEI.sharedComponent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declarations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shared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between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two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more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modules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A8D12CC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arranger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person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transcribes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composition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usually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different medium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original; in an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arrangement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substance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remains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essentially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unchanged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1170921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7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author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creator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non-musical,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literary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BC61BD8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8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biblList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references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A26F3D4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29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composer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creator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364D4FE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0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contributor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individuals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responsible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contributions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where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specialized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authors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editors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etc. do not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suffice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do not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apply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E4C1155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1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creation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Non-bibliographic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details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creation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an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in narrative form, such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date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place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circumstances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composition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. More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detailed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information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may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captured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within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history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41A36D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2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editor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name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individual(s),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institution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(s)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(s)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acting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in an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editorial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capacity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C275341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3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funder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individuals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responsible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funding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Funders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provide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financial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project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distinct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sponsors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provide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support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authority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BB1C978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4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head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) –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Contains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example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title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section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heading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list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E8AC6F4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5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identifier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An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alpha-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numeric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string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that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establishes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identity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described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material.</w:t>
      </w:r>
    </w:p>
    <w:p w14:paraId="1CFF47A0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6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incip</w:t>
        </w:r>
        <w:proofErr w:type="spellEnd"/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(incipit) – The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opening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words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musical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textual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86B7575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7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librettist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Person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writer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an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opera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oratorio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, etc.</w:t>
      </w:r>
    </w:p>
    <w:p w14:paraId="1D85C30D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8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lyricist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Person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writer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song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F989062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39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relationList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Gathers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relation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elements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AE7BE18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0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sponsor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Names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sponsoring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individuals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organizations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institutions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. Sponsors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give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their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authority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project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are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distinguished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from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funders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who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provide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funding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but do not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necessarily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take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intellectual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responsibility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77464EC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1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tempo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Text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and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symbols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descriptive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tempo,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mood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or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style, e.g., "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allarg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.", "a tempo", "cantabile", "Moderato", "</w:t>
      </w:r>
      <w:r w:rsidRPr="00032906">
        <w:rPr>
          <w:rFonts w:ascii="Menlo Regular" w:eastAsia="Times New Roman" w:hAnsi="Menlo Regular" w:cs="Menlo Regular"/>
          <w:sz w:val="20"/>
          <w:szCs w:val="20"/>
        </w:rPr>
        <w:t>♩</w:t>
      </w:r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=60", "Moderato </w:t>
      </w:r>
      <w:r w:rsidRPr="00032906">
        <w:rPr>
          <w:rFonts w:ascii="Menlo Regular" w:eastAsia="Times New Roman" w:hAnsi="Menlo Regular" w:cs="Menlo Regular"/>
          <w:sz w:val="20"/>
          <w:szCs w:val="20"/>
        </w:rPr>
        <w:t>♩</w:t>
      </w:r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=60").</w:t>
      </w:r>
    </w:p>
    <w:p w14:paraId="4750B981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hyperlink r:id="rId42" w:history="1">
        <w:proofErr w:type="spellStart"/>
        <w:r w:rsidRPr="0003290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title</w:t>
        </w:r>
      </w:hyperlink>
      <w:r w:rsidRPr="00032906">
        <w:rPr>
          <w:rFonts w:ascii="Times New Roman" w:eastAsia="Times New Roman" w:hAnsi="Times New Roman" w:cs="Times New Roman"/>
          <w:sz w:val="20"/>
          <w:szCs w:val="20"/>
        </w:rPr>
        <w:t>Title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bibliographic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entity</w:t>
      </w:r>
      <w:proofErr w:type="spellEnd"/>
      <w:r w:rsidRPr="00032906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EE968CB" w14:textId="77777777" w:rsidR="00032906" w:rsidRPr="00032906" w:rsidRDefault="00032906" w:rsidP="00A24696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032906">
        <w:rPr>
          <w:rFonts w:ascii="Times New Roman" w:eastAsia="Times New Roman" w:hAnsi="Times New Roman" w:cs="Times New Roman"/>
          <w:sz w:val="20"/>
          <w:szCs w:val="20"/>
        </w:rPr>
        <w:t>Remarks</w:t>
      </w:r>
      <w:proofErr w:type="spellEnd"/>
    </w:p>
    <w:p w14:paraId="5B663944" w14:textId="77777777" w:rsidR="00032906" w:rsidRPr="00032906" w:rsidRDefault="00032906" w:rsidP="00A24696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0"/>
          <w:szCs w:val="20"/>
        </w:rPr>
      </w:pPr>
      <w:r w:rsidRPr="00032906">
        <w:rPr>
          <w:rFonts w:ascii="Times New Roman" w:hAnsi="Times New Roman" w:cs="Times New Roman"/>
          <w:sz w:val="20"/>
          <w:szCs w:val="20"/>
        </w:rPr>
        <w:t xml:space="preserve">The </w:t>
      </w:r>
      <w:hyperlink r:id="rId43" w:history="1">
        <w:proofErr w:type="spellStart"/>
        <w:r w:rsidRPr="00032906">
          <w:rPr>
            <w:rFonts w:ascii="Times New Roman" w:hAnsi="Times New Roman" w:cs="Times New Roman"/>
            <w:color w:val="0000FF"/>
            <w:sz w:val="20"/>
            <w:szCs w:val="20"/>
            <w:u w:val="single"/>
          </w:rPr>
          <w:t>perfDuration</w:t>
        </w:r>
        <w:proofErr w:type="spellEnd"/>
      </w:hyperlink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sz w:val="20"/>
          <w:szCs w:val="20"/>
        </w:rPr>
        <w:t>element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sz w:val="20"/>
          <w:szCs w:val="20"/>
        </w:rPr>
        <w:t>captures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i/>
          <w:iCs/>
          <w:sz w:val="20"/>
          <w:szCs w:val="20"/>
        </w:rPr>
        <w:t>intended</w:t>
      </w:r>
      <w:proofErr w:type="spellEnd"/>
      <w:r w:rsidRPr="00032906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i/>
          <w:iCs/>
          <w:sz w:val="20"/>
          <w:szCs w:val="20"/>
        </w:rPr>
        <w:t>duration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sz w:val="20"/>
          <w:szCs w:val="20"/>
        </w:rPr>
        <w:t>of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2906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03290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BAFD9EA" w14:textId="77777777" w:rsidR="007112CF" w:rsidRDefault="007112CF" w:rsidP="00A24696">
      <w:pPr>
        <w:spacing w:line="360" w:lineRule="auto"/>
      </w:pPr>
    </w:p>
    <w:sectPr w:rsidR="007112CF" w:rsidSect="00F4219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63F1"/>
    <w:multiLevelType w:val="multilevel"/>
    <w:tmpl w:val="9F0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D16925"/>
    <w:multiLevelType w:val="multilevel"/>
    <w:tmpl w:val="0A4A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0E1823"/>
    <w:multiLevelType w:val="multilevel"/>
    <w:tmpl w:val="703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06"/>
    <w:rsid w:val="00032906"/>
    <w:rsid w:val="007112CF"/>
    <w:rsid w:val="00A24696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3C229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03290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032906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unhideWhenUsed/>
    <w:rsid w:val="00032906"/>
    <w:rPr>
      <w:color w:val="0000FF"/>
      <w:u w:val="single"/>
    </w:rPr>
  </w:style>
  <w:style w:type="character" w:customStyle="1" w:styleId="ident">
    <w:name w:val="ident"/>
    <w:basedOn w:val="Absatzstandardschriftart"/>
    <w:rsid w:val="00032906"/>
  </w:style>
  <w:style w:type="character" w:customStyle="1" w:styleId="groupdesc">
    <w:name w:val="groupdesc"/>
    <w:basedOn w:val="Absatzstandardschriftart"/>
    <w:rsid w:val="00032906"/>
  </w:style>
  <w:style w:type="character" w:customStyle="1" w:styleId="classdesc">
    <w:name w:val="classdesc"/>
    <w:basedOn w:val="Absatzstandardschriftart"/>
    <w:rsid w:val="00032906"/>
  </w:style>
  <w:style w:type="character" w:customStyle="1" w:styleId="elementdesc">
    <w:name w:val="elementdesc"/>
    <w:basedOn w:val="Absatzstandardschriftart"/>
    <w:rsid w:val="00032906"/>
  </w:style>
  <w:style w:type="paragraph" w:styleId="StandardWeb">
    <w:name w:val="Normal (Web)"/>
    <w:basedOn w:val="Standard"/>
    <w:uiPriority w:val="99"/>
    <w:semiHidden/>
    <w:unhideWhenUsed/>
    <w:rsid w:val="0003290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erausstellen">
    <w:name w:val="Emphasis"/>
    <w:basedOn w:val="Absatzstandardschriftart"/>
    <w:uiPriority w:val="20"/>
    <w:qFormat/>
    <w:rsid w:val="0003290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eichen"/>
    <w:uiPriority w:val="9"/>
    <w:qFormat/>
    <w:rsid w:val="0003290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032906"/>
    <w:rPr>
      <w:rFonts w:ascii="Times New Roman" w:hAnsi="Times New Roman" w:cs="Times New Roman"/>
      <w:b/>
      <w:bCs/>
      <w:sz w:val="27"/>
      <w:szCs w:val="27"/>
    </w:rPr>
  </w:style>
  <w:style w:type="character" w:styleId="Link">
    <w:name w:val="Hyperlink"/>
    <w:basedOn w:val="Absatzstandardschriftart"/>
    <w:uiPriority w:val="99"/>
    <w:unhideWhenUsed/>
    <w:rsid w:val="00032906"/>
    <w:rPr>
      <w:color w:val="0000FF"/>
      <w:u w:val="single"/>
    </w:rPr>
  </w:style>
  <w:style w:type="character" w:customStyle="1" w:styleId="ident">
    <w:name w:val="ident"/>
    <w:basedOn w:val="Absatzstandardschriftart"/>
    <w:rsid w:val="00032906"/>
  </w:style>
  <w:style w:type="character" w:customStyle="1" w:styleId="groupdesc">
    <w:name w:val="groupdesc"/>
    <w:basedOn w:val="Absatzstandardschriftart"/>
    <w:rsid w:val="00032906"/>
  </w:style>
  <w:style w:type="character" w:customStyle="1" w:styleId="classdesc">
    <w:name w:val="classdesc"/>
    <w:basedOn w:val="Absatzstandardschriftart"/>
    <w:rsid w:val="00032906"/>
  </w:style>
  <w:style w:type="character" w:customStyle="1" w:styleId="elementdesc">
    <w:name w:val="elementdesc"/>
    <w:basedOn w:val="Absatzstandardschriftart"/>
    <w:rsid w:val="00032906"/>
  </w:style>
  <w:style w:type="paragraph" w:styleId="StandardWeb">
    <w:name w:val="Normal (Web)"/>
    <w:basedOn w:val="Standard"/>
    <w:uiPriority w:val="99"/>
    <w:semiHidden/>
    <w:unhideWhenUsed/>
    <w:rsid w:val="0003290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erausstellen">
    <w:name w:val="Emphasis"/>
    <w:basedOn w:val="Absatzstandardschriftart"/>
    <w:uiPriority w:val="20"/>
    <w:qFormat/>
    <w:rsid w:val="00032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5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8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5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6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7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51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49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0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30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4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7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11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4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82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0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39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6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2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1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9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384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4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27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14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18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26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0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7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0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0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5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14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4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1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4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4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1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music-encoding.org/guidelines/v4/elements/mensuration.html" TargetMode="External"/><Relationship Id="rId21" Type="http://schemas.openxmlformats.org/officeDocument/2006/relationships/hyperlink" Target="https://music-encoding.org/guidelines/v4/elements/meter.html" TargetMode="External"/><Relationship Id="rId22" Type="http://schemas.openxmlformats.org/officeDocument/2006/relationships/hyperlink" Target="https://music-encoding.org/guidelines/v4/elements/notesstmt.html" TargetMode="External"/><Relationship Id="rId23" Type="http://schemas.openxmlformats.org/officeDocument/2006/relationships/hyperlink" Target="https://music-encoding.org/guidelines/v4/elements/otherchar.html" TargetMode="External"/><Relationship Id="rId24" Type="http://schemas.openxmlformats.org/officeDocument/2006/relationships/hyperlink" Target="https://music-encoding.org/guidelines/v4/elements/perfduration.html" TargetMode="External"/><Relationship Id="rId25" Type="http://schemas.openxmlformats.org/officeDocument/2006/relationships/hyperlink" Target="https://music-encoding.org/guidelines/v4/elements/perfmedium.html" TargetMode="External"/><Relationship Id="rId26" Type="http://schemas.openxmlformats.org/officeDocument/2006/relationships/hyperlink" Target="https://music-encoding.org/guidelines/v4/elements/arranger.html" TargetMode="External"/><Relationship Id="rId27" Type="http://schemas.openxmlformats.org/officeDocument/2006/relationships/hyperlink" Target="https://music-encoding.org/guidelines/v4/elements/author.html" TargetMode="External"/><Relationship Id="rId28" Type="http://schemas.openxmlformats.org/officeDocument/2006/relationships/hyperlink" Target="https://music-encoding.org/guidelines/v4/elements/bibllist.html" TargetMode="External"/><Relationship Id="rId29" Type="http://schemas.openxmlformats.org/officeDocument/2006/relationships/hyperlink" Target="https://music-encoding.org/guidelines/v4/elements/composer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s://music-encoding.org/guidelines/v4/elements/contributor.html" TargetMode="External"/><Relationship Id="rId31" Type="http://schemas.openxmlformats.org/officeDocument/2006/relationships/hyperlink" Target="https://music-encoding.org/guidelines/v4/elements/creation.html" TargetMode="External"/><Relationship Id="rId32" Type="http://schemas.openxmlformats.org/officeDocument/2006/relationships/hyperlink" Target="https://music-encoding.org/guidelines/v4/elements/editor.html" TargetMode="External"/><Relationship Id="rId9" Type="http://schemas.openxmlformats.org/officeDocument/2006/relationships/hyperlink" Target="https://music-encoding.org/guidelines/v4/elements/componentlist.html" TargetMode="External"/><Relationship Id="rId6" Type="http://schemas.openxmlformats.org/officeDocument/2006/relationships/hyperlink" Target="https://music-encoding.org/guidelines/v4/model-classes/model.worklike.html" TargetMode="External"/><Relationship Id="rId7" Type="http://schemas.openxmlformats.org/officeDocument/2006/relationships/hyperlink" Target="https://music-encoding.org/guidelines/v4/elements/worklist.html" TargetMode="External"/><Relationship Id="rId8" Type="http://schemas.openxmlformats.org/officeDocument/2006/relationships/hyperlink" Target="https://music-encoding.org/guidelines/v4/model-classes/model.worklike.html" TargetMode="External"/><Relationship Id="rId33" Type="http://schemas.openxmlformats.org/officeDocument/2006/relationships/hyperlink" Target="https://music-encoding.org/guidelines/v4/elements/funder.html" TargetMode="External"/><Relationship Id="rId34" Type="http://schemas.openxmlformats.org/officeDocument/2006/relationships/hyperlink" Target="https://music-encoding.org/guidelines/v4/elements/head.html" TargetMode="External"/><Relationship Id="rId35" Type="http://schemas.openxmlformats.org/officeDocument/2006/relationships/hyperlink" Target="https://music-encoding.org/guidelines/v4/elements/identifier.html" TargetMode="External"/><Relationship Id="rId36" Type="http://schemas.openxmlformats.org/officeDocument/2006/relationships/hyperlink" Target="https://music-encoding.org/guidelines/v4/elements/incip.html" TargetMode="External"/><Relationship Id="rId10" Type="http://schemas.openxmlformats.org/officeDocument/2006/relationships/hyperlink" Target="https://music-encoding.org/guidelines/v4/elements/expressionlist.html" TargetMode="External"/><Relationship Id="rId11" Type="http://schemas.openxmlformats.org/officeDocument/2006/relationships/hyperlink" Target="https://music-encoding.org/guidelines/v4/elements/audience.html" TargetMode="External"/><Relationship Id="rId12" Type="http://schemas.openxmlformats.org/officeDocument/2006/relationships/hyperlink" Target="https://music-encoding.org/guidelines/v4/elements/classification.html" TargetMode="External"/><Relationship Id="rId13" Type="http://schemas.openxmlformats.org/officeDocument/2006/relationships/hyperlink" Target="https://music-encoding.org/guidelines/v4/elements/componentlist.html" TargetMode="External"/><Relationship Id="rId14" Type="http://schemas.openxmlformats.org/officeDocument/2006/relationships/hyperlink" Target="https://music-encoding.org/guidelines/v4/elements/contents.html" TargetMode="External"/><Relationship Id="rId15" Type="http://schemas.openxmlformats.org/officeDocument/2006/relationships/hyperlink" Target="https://music-encoding.org/guidelines/v4/elements/context.html" TargetMode="External"/><Relationship Id="rId16" Type="http://schemas.openxmlformats.org/officeDocument/2006/relationships/hyperlink" Target="https://music-encoding.org/guidelines/v4/elements/extmeta.html" TargetMode="External"/><Relationship Id="rId17" Type="http://schemas.openxmlformats.org/officeDocument/2006/relationships/hyperlink" Target="https://music-encoding.org/guidelines/v4/elements/history.html" TargetMode="External"/><Relationship Id="rId18" Type="http://schemas.openxmlformats.org/officeDocument/2006/relationships/hyperlink" Target="https://music-encoding.org/guidelines/v4/elements/key.html" TargetMode="External"/><Relationship Id="rId19" Type="http://schemas.openxmlformats.org/officeDocument/2006/relationships/hyperlink" Target="https://music-encoding.org/guidelines/v4/elements/langusage.html" TargetMode="External"/><Relationship Id="rId37" Type="http://schemas.openxmlformats.org/officeDocument/2006/relationships/hyperlink" Target="https://music-encoding.org/guidelines/v4/elements/librettist.html" TargetMode="External"/><Relationship Id="rId38" Type="http://schemas.openxmlformats.org/officeDocument/2006/relationships/hyperlink" Target="https://music-encoding.org/guidelines/v4/elements/lyricist.html" TargetMode="External"/><Relationship Id="rId39" Type="http://schemas.openxmlformats.org/officeDocument/2006/relationships/hyperlink" Target="https://music-encoding.org/guidelines/v4/elements/relationlist.html" TargetMode="External"/><Relationship Id="rId40" Type="http://schemas.openxmlformats.org/officeDocument/2006/relationships/hyperlink" Target="https://music-encoding.org/guidelines/v4/elements/sponsor.html" TargetMode="External"/><Relationship Id="rId41" Type="http://schemas.openxmlformats.org/officeDocument/2006/relationships/hyperlink" Target="https://music-encoding.org/guidelines/v4/elements/tempo.html" TargetMode="External"/><Relationship Id="rId42" Type="http://schemas.openxmlformats.org/officeDocument/2006/relationships/hyperlink" Target="https://music-encoding.org/guidelines/v4/elements/title.html" TargetMode="External"/><Relationship Id="rId43" Type="http://schemas.openxmlformats.org/officeDocument/2006/relationships/hyperlink" Target="https://music-encoding.org/guidelines/v4/elements/perfduration.html" TargetMode="Externa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1146</Words>
  <Characters>7227</Characters>
  <Application>Microsoft Macintosh Word</Application>
  <DocSecurity>0</DocSecurity>
  <Lines>60</Lines>
  <Paragraphs>16</Paragraphs>
  <ScaleCrop>false</ScaleCrop>
  <Company/>
  <LinksUpToDate>false</LinksUpToDate>
  <CharactersWithSpaces>8357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Irmlind Capelle</dc:creator>
  <cp:keywords/>
  <dc:description/>
  <cp:lastModifiedBy>Irmlind Capelle</cp:lastModifiedBy>
  <cp:revision>2</cp:revision>
  <dcterms:created xsi:type="dcterms:W3CDTF">2019-08-30T07:53:00Z</dcterms:created>
  <dcterms:modified xsi:type="dcterms:W3CDTF">2019-08-30T07:56:00Z</dcterms:modified>
</cp:coreProperties>
</file>