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Nearest COVID-19 Vaccine Distribution</w:t>
      </w:r>
    </w:p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40"/>
          <w:szCs w:val="40"/>
          <w:rtl w:val="0"/>
        </w:rPr>
        <w:t xml:space="preserve">Programmer Documentation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5-31-2021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Y.Chen(yc)</w:t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C.Finch(cmf)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E.Hsu(eh)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E.Mielke(enm)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b w:val="1"/>
          <w:sz w:val="40"/>
          <w:szCs w:val="4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0"/>
          <w:szCs w:val="40"/>
          <w:rtl w:val="0"/>
        </w:rPr>
        <w:t xml:space="preserve">Table of Contents:</w:t>
      </w:r>
    </w:p>
    <w:p w:rsidR="00000000" w:rsidDel="00000000" w:rsidP="00000000" w:rsidRDefault="00000000" w:rsidRPr="00000000" w14:paraId="0000000A">
      <w:pPr>
        <w:jc w:val="center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###################################################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###################################################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###################################################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