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Malla Curricular para Administración Pública con mención en Gobiernos Autónomos Descentralizados otorgada por Academia del Valle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1: Introducción a la Administración Pública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1.1. Marco jurídico de los GADs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1.2. Convenios interinstitucionales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1.3. Acuerdos y resoluciones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1.4. Estructura del Estado y competencias de los GADs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2: Contabilidad Gubernamental y Gestión Documental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2.1. Fundamentos de la contabilidad gubernamental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2.2. Sistema de Gestión Documental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2.3. Manejo de archivos físicos y digitales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2.4. Uso del sistema SIGAD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3: Compras Públicas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3.1. Normativa del SERCOP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3.2. Fases del proceso de contratación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3.3. Herramientas electrónicas: Portal de Compras Públicas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3.4. Tipos de procedimientos: ínfima cuantía, subasta inversa, régimen especial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4: Comunicación Política y Participación Ciudadana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4.1. Principios de comunicación pública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4.2. Estrategias de vocería institucional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4.3. Mecanismos de participación ciudadana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4.4. Gestión de redes sociales y reputación pública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5: Gobernabilidad y Buen Gobierno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5.1. Gobernabilidad y gobernanza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5.2. Transparencia y rendición de cuentas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5.3. Control social y veedurías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5.4. Ética pública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6: Técnicas Legislativas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6.1. Tipos de sesiones de los concejos/parlamentos locales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6.2. Elaboración y aprobación de actas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6.3. Elaboración de acuerdos y resoluciones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6.4. Técnicas de redacción normativa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7: Planificación Territorial y Desarrollo Local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7.1. Plan de Desarrollo y Ordenamiento Territorial (PDOT)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7.2. Plan de Uso y Gestión del Suelo (PUGS)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7.3. Instrumentos de planificación operativa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7.4. Seguimiento y evaluación de planes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8: Gestión Documental y Archivo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8.1. Ciclo de vida del documento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8.2. Clasificación, conservación y digitalización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8.3. Normativa del Sistema Nacional de Archivos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8.4. Elaboración de cuadros de clasificación documental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9: Función de la Contraloría General del Estado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9.1. Competencias de la Contraloría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9.2. Tipos de auditoría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9.3. Informes de responsabilidades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9.4. Acciones de seguimiento y cumplimiento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10: Gestión de Talento Humano en el Sector Público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10.1. Procesos de selección, contratación y desvinculación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10.2. Evaluación del desempeño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10.3. Régimen disciplinario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10.4. Capacitación y desarrollo profesional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WordPictureWatermark2" style="position:absolute;width:441.5pt;height:288.14992125984253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WordPictureWatermark1" style="position:absolute;width:441.5pt;height:288.14992125984253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4996815</wp:posOffset>
          </wp:positionH>
          <wp:positionV relativeFrom="paragraph">
            <wp:posOffset>-259078</wp:posOffset>
          </wp:positionV>
          <wp:extent cx="1592580" cy="704850"/>
          <wp:effectExtent b="0" l="0" r="0" t="0"/>
          <wp:wrapSquare wrapText="bothSides" distB="0" distT="0" distL="114300" distR="114300"/>
          <wp:docPr id="125811193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92580" cy="7048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WordPictureWatermark3" style="position:absolute;width:441.5pt;height:288.14992125984253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EC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B9257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B9257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B9257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B9257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B9257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B9257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B9257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B92575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B92575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B92575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B92575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B92575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B9257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B9257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B9257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B92575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B92575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B92575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B9257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B92575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B92575"/>
    <w:rPr>
      <w:b w:val="1"/>
      <w:bCs w:val="1"/>
      <w:smallCaps w:val="1"/>
      <w:color w:val="0f4761" w:themeColor="accent1" w:themeShade="0000BF"/>
      <w:spacing w:val="5"/>
    </w:rPr>
  </w:style>
  <w:style w:type="paragraph" w:styleId="Sinespaciado">
    <w:name w:val="No Spacing"/>
    <w:uiPriority w:val="98"/>
    <w:qFormat w:val="1"/>
    <w:rsid w:val="00B92575"/>
    <w:pPr>
      <w:spacing w:after="0" w:line="240" w:lineRule="auto"/>
    </w:pPr>
    <w:rPr>
      <w:kern w:val="0"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 w:val="1"/>
    <w:rsid w:val="00EE6268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6268"/>
  </w:style>
  <w:style w:type="paragraph" w:styleId="Piedepgina">
    <w:name w:val="footer"/>
    <w:basedOn w:val="Normal"/>
    <w:link w:val="PiedepginaCar"/>
    <w:uiPriority w:val="99"/>
    <w:unhideWhenUsed w:val="1"/>
    <w:rsid w:val="00EE6268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E6268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jFsFOZhjY0llLCCsk9+CsDR8Ow==">CgMxLjA4AHIhMVY3NnpJOWNSUUdiNDBHdmhJLVRhS2stNHdlUkRDbHRU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2025-06-24T01:33:00Z</dcterms:created>
  <dc:creator>Lorena Brito</dc:creator>
</cp:coreProperties>
</file>