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Pipeline de Observabilidad End-to-End con OpenTelemetry</w:t>
      </w:r>
    </w:p>
    <w:p>
      <w:r>
        <w:rPr>
          <w:b/>
        </w:rPr>
        <w:t>Reporte técnico — Actividad 2.2</w:t>
      </w:r>
    </w:p>
    <w:p>
      <w:pPr>
        <w:ind w:left="454"/>
      </w:pPr>
      <w:r>
        <w:rPr>
          <w:i/>
          <w:color w:val="404040"/>
        </w:rPr>
        <w:t>Implementación de un pipeline de observabilidad basado en OpenTelemetry que captura métricas (Prometheus), logs estructurados (Loki) y trazas distribuidas (Jaeger/Tempo) desde dos microservicios (`service-a` → `service-b`), con correlación cross-signal a través de `trace_id` y un análisis cuantitativo del overhead de la instrumentación.</w:t>
      </w:r>
    </w:p>
    <w:p>
      <w:pPr>
        <w:pStyle w:val="Heading1"/>
      </w:pPr>
      <w:r>
        <w:t>1. Resumen ejecutivo</w:t>
      </w:r>
    </w:p>
    <w:p>
      <w:r>
        <w:t xml:space="preserve">Este documento describe el diseño, la implementación y los resultados de un laboratorio de observabilidad end-to-end. El sistema instrumentado consta de dos microservicios FastAPI (Python) — </w:t>
      </w:r>
      <w:r>
        <w:rPr>
          <w:rFonts w:ascii="Consolas" w:hAnsi="Consolas"/>
          <w:color w:val="B03060"/>
          <w:sz w:val="20"/>
        </w:rPr>
        <w:t>service-a</w:t>
      </w:r>
      <w:r>
        <w:t xml:space="preserve"> (orquestador de pedidos) y </w:t>
      </w:r>
      <w:r>
        <w:rPr>
          <w:rFonts w:ascii="Consolas" w:hAnsi="Consolas"/>
          <w:color w:val="B03060"/>
          <w:sz w:val="20"/>
        </w:rPr>
        <w:t>service-b</w:t>
      </w:r>
      <w:r>
        <w:t xml:space="preserve"> (inventario) — con dependencia HTTP entre sí y acceso propio a PostgreSQL cada uno. Ambos emiten los tres pilares de la observabilidad (métricas, logs, trazas) a través del SDK de OpenTelemetry hacia un OTel Collector, que enruta cada señal a su backend correspondiente: Jaeger y Tempo para trazas, Prometheus para métricas y Loki para logs, todos visualizados y correlacionados en Grafana.</w:t>
      </w:r>
    </w:p>
    <w:p>
      <w:r>
        <w:t>Todo el stack se ejecutó localmente con Docker Compose para generar evidencia real y reproducible (trazas, métricas, logs correlacionados y resultados de benchmark), mientras que la infraestructura para GCP GKE y AWS ECS Fargate se entrega como código Terraform y Helm listo para desplegar, pero deliberadamente no ejecutado en un clúster real (ver sección 7 para la justificación).</w:t>
      </w:r>
    </w:p>
    <w:p>
      <w:r>
        <w:t>Los hallazgos principales:</w:t>
      </w:r>
    </w:p>
    <w:p>
      <w:pPr>
        <w:pStyle w:val="ListBullet"/>
      </w:pPr>
      <w:r>
        <w:t xml:space="preserve">La propagación de contexto W3C TraceContext funciona correctamente entre </w:t>
      </w:r>
      <w:r>
        <w:rPr>
          <w:rFonts w:ascii="Consolas" w:hAnsi="Consolas"/>
          <w:color w:val="B03060"/>
          <w:sz w:val="20"/>
        </w:rPr>
        <w:t>service-a</w:t>
      </w:r>
      <w:r>
        <w:t xml:space="preserve"> y </w:t>
      </w:r>
      <w:r>
        <w:rPr>
          <w:rFonts w:ascii="Consolas" w:hAnsi="Consolas"/>
          <w:color w:val="B03060"/>
          <w:sz w:val="20"/>
        </w:rPr>
        <w:t>service-b</w:t>
      </w:r>
      <w:r>
        <w:t xml:space="preserve">: un mismo </w:t>
      </w:r>
      <w:r>
        <w:rPr>
          <w:rFonts w:ascii="Consolas" w:hAnsi="Consolas"/>
          <w:color w:val="B03060"/>
          <w:sz w:val="20"/>
        </w:rPr>
        <w:t>trace_id</w:t>
      </w:r>
      <w:r>
        <w:t xml:space="preserve"> conecta los spans de ambos servicios, sus registros de log y permite navegar entre ellos en Grafana.</w:t>
      </w:r>
    </w:p>
    <w:p>
      <w:pPr>
        <w:pStyle w:val="ListBullet"/>
      </w:pPr>
      <w:r>
        <w:t xml:space="preserve">El overhead medido del SDK de OTel en este laboratorio es mayor que las cifras de referencia de la industria (p99 +37.0% en vez de +3-8%), y la causa raíz identificada no es el SDK en sí, sino que el código de acceso a base de datos es síncrono dentro de rutas </w:t>
      </w:r>
      <w:r>
        <w:rPr>
          <w:rFonts w:ascii="Consolas" w:hAnsi="Consolas"/>
          <w:color w:val="B03060"/>
          <w:sz w:val="20"/>
        </w:rPr>
        <w:t>async def</w:t>
      </w:r>
      <w:r>
        <w:t xml:space="preserve">, lo que bloquea el </w:t>
      </w:r>
      <w:r>
        <w:rPr>
          <w:i/>
        </w:rPr>
        <w:t>event loop</w:t>
      </w:r>
      <w:r>
        <w:t xml:space="preserve"> y amplifica cualquier trabajo adicional bajo concurrencia (ver sección 6.3).</w:t>
      </w:r>
    </w:p>
    <w:p>
      <w:pPr>
        <w:pStyle w:val="ListBullet"/>
      </w:pPr>
      <w:r>
        <w:t>Durante el desarrollo se encontraron y corrigieron dos problemas no triviales de instrumentación real (ver sección 8, "Lecciones aprendidas"), documentados aquí porque son el tipo de detalle que solo aparece al ejecutar el sistema de verdad, no al leer la documentación de OTel.</w:t>
      </w:r>
    </w:p>
    <w:p>
      <w:pPr>
        <w:pStyle w:val="Heading1"/>
      </w:pPr>
      <w:r>
        <w:t>2. Arquitectura objetivo</w:t>
      </w:r>
    </w:p>
    <w:p>
      <w:pPr>
        <w:pStyle w:val="CodeBlock"/>
        <w:shd w:val="clear" w:color="auto" w:fill="F2F2F2"/>
      </w:pPr>
      <w:r>
        <w:t>Cliente / k6  ──HTTP GET /orders/{id}──▶  service-a :8000</w:t>
        <w:br/>
        <w:t xml:space="preserve">                                             │  │</w:t>
        <w:br/>
        <w:t xml:space="preserve">                            fetch order      │  │ call.service-b (traceparent)</w:t>
        <w:br/>
        <w:t xml:space="preserve">                            (Postgres)       │  ▼</w:t>
        <w:br/>
        <w:t xml:space="preserve">                                             │  service-b :8001 ──▶ Postgres</w:t>
        <w:br/>
        <w:t xml:space="preserve">                                             │</w:t>
        <w:br/>
        <w:t xml:space="preserve">                            OTLP gRPC :4317  ▼</w:t>
        <w:br/>
        <w:t xml:space="preserve">                                     OTel Collector</w:t>
        <w:br/>
        <w:t xml:space="preserve">                    ┌────────────┬───────────┴───────────┬─────────────┐</w:t>
        <w:br/>
        <w:t xml:space="preserve">                    ▼            ▼                        ▼             </w:t>
        <w:br/>
        <w:t xml:space="preserve">                 Jaeger        Tempo                  Prometheus       Loki</w:t>
        <w:br/>
        <w:t xml:space="preserve">              (trazas, UI)  (trazas, alt.)          (métricas :8889) (logs)</w:t>
        <w:br/>
        <w:t xml:space="preserve">                    └────────────┴────────────┬───────────┴─────────────┘</w:t>
        <w:br/>
        <w:t xml:space="preserve">                                               ▼</w:t>
        <w:br/>
        <w:t xml:space="preserve">                                          Grafana :3001</w:t>
        <w:br/>
        <w:t xml:space="preserve">                              (dashboard 6 paneles + Explore</w:t>
        <w:br/>
        <w:t xml:space="preserve">                               correlación trace_id ↔ logs ↔ métricas)</w:t>
      </w:r>
    </w:p>
    <w:p>
      <w:r>
        <w:t xml:space="preserve">Versión visual del mismo flujo — ver gráfico </w:t>
      </w:r>
      <w:r>
        <w:rPr>
          <w:rFonts w:ascii="Consolas" w:hAnsi="Consolas"/>
          <w:i/>
          <w:color w:val="2E5B9E"/>
        </w:rPr>
        <w:t>docs/charts/04_diagrama_arquitectura.png</w:t>
      </w:r>
      <w:r>
        <w:t>.</w:t>
      </w:r>
    </w:p>
    <w:p>
      <w:r>
        <w:drawing>
          <wp:inline xmlns:a="http://schemas.openxmlformats.org/drawingml/2006/main" xmlns:pic="http://schemas.openxmlformats.org/drawingml/2006/picture">
            <wp:extent cx="5760000" cy="3896471"/>
            <wp:docPr id="1" name="Picture 1"/>
            <wp:cNvGraphicFramePr>
              <a:graphicFrameLocks noChangeAspect="1"/>
            </wp:cNvGraphicFramePr>
            <a:graphic>
              <a:graphicData uri="http://schemas.openxmlformats.org/drawingml/2006/picture">
                <pic:pic>
                  <pic:nvPicPr>
                    <pic:cNvPr id="0" name="04_diagrama_arquitectura.png"/>
                    <pic:cNvPicPr/>
                  </pic:nvPicPr>
                  <pic:blipFill>
                    <a:blip r:embed="rId9"/>
                    <a:stretch>
                      <a:fillRect/>
                    </a:stretch>
                  </pic:blipFill>
                  <pic:spPr>
                    <a:xfrm>
                      <a:off x="0" y="0"/>
                      <a:ext cx="5760000" cy="3896471"/>
                    </a:xfrm>
                    <a:prstGeom prst="rect"/>
                  </pic:spPr>
                </pic:pic>
              </a:graphicData>
            </a:graphic>
          </wp:inline>
        </w:drawing>
      </w:r>
    </w:p>
    <w:p>
      <w:pPr>
        <w:jc w:val="center"/>
      </w:pPr>
      <w:r>
        <w:rPr>
          <w:i/>
          <w:color w:val="606060"/>
          <w:sz w:val="18"/>
        </w:rPr>
        <w:t>04_diagrama_arquitectura.png</w:t>
      </w:r>
    </w:p>
    <w:p>
      <w:r>
        <w:rPr>
          <w:b/>
        </w:rPr>
        <w:t>Componentes y puertos (stack local):</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r>
            <w:r>
              <w:rPr>
                <w:b/>
              </w:rPr>
              <w:t>Componente</w:t>
            </w:r>
          </w:p>
        </w:tc>
        <w:tc>
          <w:tcPr>
            <w:tcW w:type="dxa" w:w="3135"/>
          </w:tcPr>
          <w:p>
            <w:r>
              <w:rPr>
                <w:b/>
              </w:rPr>
            </w:r>
            <w:r>
              <w:rPr>
                <w:b/>
              </w:rPr>
              <w:t>Rol</w:t>
            </w:r>
          </w:p>
        </w:tc>
        <w:tc>
          <w:tcPr>
            <w:tcW w:type="dxa" w:w="3135"/>
          </w:tcPr>
          <w:p>
            <w:r>
              <w:rPr>
                <w:b/>
              </w:rPr>
            </w:r>
            <w:r>
              <w:rPr>
                <w:b/>
              </w:rPr>
              <w:t>Puerto host</w:t>
            </w:r>
          </w:p>
        </w:tc>
      </w:tr>
      <w:tr>
        <w:tc>
          <w:tcPr>
            <w:tcW w:type="dxa" w:w="3135"/>
          </w:tcPr>
          <w:p>
            <w:r/>
            <w:r>
              <w:rPr>
                <w:rFonts w:ascii="Consolas" w:hAnsi="Consolas"/>
                <w:color w:val="B03060"/>
                <w:sz w:val="20"/>
              </w:rPr>
              <w:t>service-a</w:t>
            </w:r>
          </w:p>
        </w:tc>
        <w:tc>
          <w:tcPr>
            <w:tcW w:type="dxa" w:w="3135"/>
          </w:tcPr>
          <w:p>
            <w:r/>
            <w:r>
              <w:t>Orquestador de pedidos (FastAPI)</w:t>
            </w:r>
          </w:p>
        </w:tc>
        <w:tc>
          <w:tcPr>
            <w:tcW w:type="dxa" w:w="3135"/>
          </w:tcPr>
          <w:p>
            <w:r/>
            <w:r>
              <w:t>8000 (API), 9090 (métricas)</w:t>
            </w:r>
          </w:p>
        </w:tc>
      </w:tr>
      <w:tr>
        <w:tc>
          <w:tcPr>
            <w:tcW w:type="dxa" w:w="3135"/>
          </w:tcPr>
          <w:p>
            <w:r/>
            <w:r>
              <w:rPr>
                <w:rFonts w:ascii="Consolas" w:hAnsi="Consolas"/>
                <w:color w:val="B03060"/>
                <w:sz w:val="20"/>
              </w:rPr>
              <w:t>service-b</w:t>
            </w:r>
          </w:p>
        </w:tc>
        <w:tc>
          <w:tcPr>
            <w:tcW w:type="dxa" w:w="3135"/>
          </w:tcPr>
          <w:p>
            <w:r/>
            <w:r>
              <w:t>Inventario (FastAPI)</w:t>
            </w:r>
          </w:p>
        </w:tc>
        <w:tc>
          <w:tcPr>
            <w:tcW w:type="dxa" w:w="3135"/>
          </w:tcPr>
          <w:p>
            <w:r/>
            <w:r>
              <w:t>8001 (API), 9092 (métricas)</w:t>
            </w:r>
          </w:p>
        </w:tc>
      </w:tr>
      <w:tr>
        <w:tc>
          <w:tcPr>
            <w:tcW w:type="dxa" w:w="3135"/>
          </w:tcPr>
          <w:p>
            <w:r/>
            <w:r>
              <w:t>PostgreSQL</w:t>
            </w:r>
          </w:p>
        </w:tc>
        <w:tc>
          <w:tcPr>
            <w:tcW w:type="dxa" w:w="3135"/>
          </w:tcPr>
          <w:p>
            <w:r/>
            <w:r>
              <w:t xml:space="preserve">Persistencia de </w:t>
            </w:r>
            <w:r>
              <w:rPr>
                <w:rFonts w:ascii="Consolas" w:hAnsi="Consolas"/>
                <w:color w:val="B03060"/>
                <w:sz w:val="20"/>
              </w:rPr>
              <w:t>orders</w:t>
            </w:r>
            <w:r>
              <w:t xml:space="preserve"> e </w:t>
            </w:r>
            <w:r>
              <w:rPr>
                <w:rFonts w:ascii="Consolas" w:hAnsi="Consolas"/>
                <w:color w:val="B03060"/>
                <w:sz w:val="20"/>
              </w:rPr>
              <w:t>inventory</w:t>
            </w:r>
          </w:p>
        </w:tc>
        <w:tc>
          <w:tcPr>
            <w:tcW w:type="dxa" w:w="3135"/>
          </w:tcPr>
          <w:p>
            <w:r/>
            <w:r>
              <w:t>5433</w:t>
            </w:r>
          </w:p>
        </w:tc>
      </w:tr>
      <w:tr>
        <w:tc>
          <w:tcPr>
            <w:tcW w:type="dxa" w:w="3135"/>
          </w:tcPr>
          <w:p>
            <w:r/>
            <w:r>
              <w:t>OTel Collector</w:t>
            </w:r>
          </w:p>
        </w:tc>
        <w:tc>
          <w:tcPr>
            <w:tcW w:type="dxa" w:w="3135"/>
          </w:tcPr>
          <w:p>
            <w:r/>
            <w:r>
              <w:t>Receptor OTLP, pipeline de procesamiento, ruteo</w:t>
            </w:r>
          </w:p>
        </w:tc>
        <w:tc>
          <w:tcPr>
            <w:tcW w:type="dxa" w:w="3135"/>
          </w:tcPr>
          <w:p>
            <w:r/>
            <w:r>
              <w:t>4317/4318 (OTLP), 8888/8889 (métricas), 13133 (health), 55679 (zpages)</w:t>
            </w:r>
          </w:p>
        </w:tc>
      </w:tr>
      <w:tr>
        <w:tc>
          <w:tcPr>
            <w:tcW w:type="dxa" w:w="3135"/>
          </w:tcPr>
          <w:p>
            <w:r/>
            <w:r>
              <w:t>Jaeger</w:t>
            </w:r>
          </w:p>
        </w:tc>
        <w:tc>
          <w:tcPr>
            <w:tcW w:type="dxa" w:w="3135"/>
          </w:tcPr>
          <w:p>
            <w:r/>
            <w:r>
              <w:t>Backend de trazas (UI)</w:t>
            </w:r>
          </w:p>
        </w:tc>
        <w:tc>
          <w:tcPr>
            <w:tcW w:type="dxa" w:w="3135"/>
          </w:tcPr>
          <w:p>
            <w:r/>
            <w:r>
              <w:t>16686</w:t>
            </w:r>
          </w:p>
        </w:tc>
      </w:tr>
      <w:tr>
        <w:tc>
          <w:tcPr>
            <w:tcW w:type="dxa" w:w="3135"/>
          </w:tcPr>
          <w:p>
            <w:r/>
            <w:r>
              <w:t>Tempo</w:t>
            </w:r>
          </w:p>
        </w:tc>
        <w:tc>
          <w:tcPr>
            <w:tcW w:type="dxa" w:w="3135"/>
          </w:tcPr>
          <w:p>
            <w:r/>
            <w:r>
              <w:t>Backend de trazas alternativo (Grafana-nativo)</w:t>
            </w:r>
          </w:p>
        </w:tc>
        <w:tc>
          <w:tcPr>
            <w:tcW w:type="dxa" w:w="3135"/>
          </w:tcPr>
          <w:p>
            <w:r/>
            <w:r>
              <w:t>3200</w:t>
            </w:r>
          </w:p>
        </w:tc>
      </w:tr>
      <w:tr>
        <w:tc>
          <w:tcPr>
            <w:tcW w:type="dxa" w:w="3135"/>
          </w:tcPr>
          <w:p>
            <w:r/>
            <w:r>
              <w:t>Prometheus</w:t>
            </w:r>
          </w:p>
        </w:tc>
        <w:tc>
          <w:tcPr>
            <w:tcW w:type="dxa" w:w="3135"/>
          </w:tcPr>
          <w:p>
            <w:r/>
            <w:r>
              <w:t>Backend de métricas</w:t>
            </w:r>
          </w:p>
        </w:tc>
        <w:tc>
          <w:tcPr>
            <w:tcW w:type="dxa" w:w="3135"/>
          </w:tcPr>
          <w:p>
            <w:r/>
            <w:r>
              <w:t>9091</w:t>
            </w:r>
          </w:p>
        </w:tc>
      </w:tr>
      <w:tr>
        <w:tc>
          <w:tcPr>
            <w:tcW w:type="dxa" w:w="3135"/>
          </w:tcPr>
          <w:p>
            <w:r/>
            <w:r>
              <w:t>Loki</w:t>
            </w:r>
          </w:p>
        </w:tc>
        <w:tc>
          <w:tcPr>
            <w:tcW w:type="dxa" w:w="3135"/>
          </w:tcPr>
          <w:p>
            <w:r/>
            <w:r>
              <w:t>Backend de logs</w:t>
            </w:r>
          </w:p>
        </w:tc>
        <w:tc>
          <w:tcPr>
            <w:tcW w:type="dxa" w:w="3135"/>
          </w:tcPr>
          <w:p>
            <w:r/>
            <w:r>
              <w:t>3100</w:t>
            </w:r>
          </w:p>
        </w:tc>
      </w:tr>
      <w:tr>
        <w:tc>
          <w:tcPr>
            <w:tcW w:type="dxa" w:w="3135"/>
          </w:tcPr>
          <w:p>
            <w:r/>
            <w:r>
              <w:t>Grafana</w:t>
            </w:r>
          </w:p>
        </w:tc>
        <w:tc>
          <w:tcPr>
            <w:tcW w:type="dxa" w:w="3135"/>
          </w:tcPr>
          <w:p>
            <w:r/>
            <w:r>
              <w:t>Visualización y correlación</w:t>
            </w:r>
          </w:p>
        </w:tc>
        <w:tc>
          <w:tcPr>
            <w:tcW w:type="dxa" w:w="3135"/>
          </w:tcPr>
          <w:p>
            <w:r/>
            <w:r>
              <w:t>3001 (admin/admin)</w:t>
            </w:r>
          </w:p>
        </w:tc>
      </w:tr>
    </w:tbl>
    <w:p/>
    <w:p>
      <w:r>
        <w:t>El repositorio completo está organizado así:</w:t>
      </w:r>
    </w:p>
    <w:p>
      <w:pPr>
        <w:pStyle w:val="CodeBlock"/>
        <w:shd w:val="clear" w:color="auto" w:fill="F2F2F2"/>
      </w:pPr>
      <w:r>
        <w:t>services/service-a/, services/service-b/   Código de instrumentación OTel SDK</w:t>
        <w:br/>
        <w:t>otel-collector/                             Config del Collector (local + gcp + aws)</w:t>
        <w:br/>
        <w:t>observability/                              Prometheus, Tempo, Loki, Grafana (dashboards + datasources)</w:t>
        <w:br/>
        <w:t>scripts/init-db.sql                         Esquema y datos de prueba de PostgreSQL</w:t>
        <w:br/>
        <w:t>benchmark/                                  k6-load-test.js, analyze_overhead.py, results/</w:t>
        <w:br/>
        <w:t>iac/terraform/{gcp,aws}/                    Infraestructura para GKE y ECS Fargate</w:t>
        <w:br/>
        <w:t>iac/helm/otel-collector/                    Helm chart del Collector para GKE</w:t>
        <w:br/>
        <w:t>docker-compose.yaml                         Stack local completo</w:t>
        <w:br/>
        <w:t>docker-compose.baseline.yml                 Overlay para el benchmark (SDK desactivado)</w:t>
      </w:r>
    </w:p>
    <w:p>
      <w:pPr>
        <w:pStyle w:val="Heading1"/>
      </w:pPr>
      <w:r>
        <w:t>3. Fase 1 — Instrumentación con OTel SDK</w:t>
      </w:r>
    </w:p>
    <w:p>
      <w:pPr>
        <w:pStyle w:val="Heading2"/>
      </w:pPr>
      <w:r>
        <w:t>3.1 Decisiones de diseño</w:t>
      </w:r>
    </w:p>
    <w:p>
      <w:r>
        <w:rPr>
          <w:b/>
        </w:rPr>
        <w:t>`Resource`: identidad de cada señal.</w:t>
      </w:r>
      <w:r>
        <w:t xml:space="preserve"> Cada proceso construye un </w:t>
      </w:r>
      <w:r>
        <w:rPr>
          <w:rFonts w:ascii="Consolas" w:hAnsi="Consolas"/>
          <w:color w:val="B03060"/>
          <w:sz w:val="20"/>
        </w:rPr>
        <w:t>Resource</w:t>
      </w:r>
      <w:r>
        <w:t xml:space="preserve"> (</w:t>
      </w:r>
      <w:r>
        <w:rPr>
          <w:rFonts w:ascii="Consolas" w:hAnsi="Consolas"/>
          <w:color w:val="B03060"/>
          <w:sz w:val="20"/>
        </w:rPr>
        <w:t>services/service-a/app/telemetry.py</w:t>
      </w:r>
      <w:r>
        <w:t xml:space="preserve">) con </w:t>
      </w:r>
      <w:r>
        <w:rPr>
          <w:rFonts w:ascii="Consolas" w:hAnsi="Consolas"/>
          <w:color w:val="B03060"/>
          <w:sz w:val="20"/>
        </w:rPr>
        <w:t>service.name</w:t>
      </w:r>
      <w:r>
        <w:t xml:space="preserve">, </w:t>
      </w:r>
      <w:r>
        <w:rPr>
          <w:rFonts w:ascii="Consolas" w:hAnsi="Consolas"/>
          <w:color w:val="B03060"/>
          <w:sz w:val="20"/>
        </w:rPr>
        <w:t>service.version</w:t>
      </w:r>
      <w:r>
        <w:t xml:space="preserve">, </w:t>
      </w:r>
      <w:r>
        <w:rPr>
          <w:rFonts w:ascii="Consolas" w:hAnsi="Consolas"/>
          <w:color w:val="B03060"/>
          <w:sz w:val="20"/>
        </w:rPr>
        <w:t>deployment.environment</w:t>
      </w:r>
      <w:r>
        <w:t xml:space="preserve"> y </w:t>
      </w:r>
      <w:r>
        <w:rPr>
          <w:rFonts w:ascii="Consolas" w:hAnsi="Consolas"/>
          <w:color w:val="B03060"/>
          <w:sz w:val="20"/>
        </w:rPr>
        <w:t>cloud.provider</w:t>
      </w:r>
      <w:r>
        <w:t xml:space="preserve">. Este objeto viaja adjunto a </w:t>
      </w:r>
      <w:r>
        <w:rPr>
          <w:i/>
        </w:rPr>
        <w:t>cada</w:t>
      </w:r>
      <w:r>
        <w:t xml:space="preserve"> traza, métrica y log emitidos — es lo que le permite a Jaeger, Prometheus y Loki (y, en un despliegue real, a Cloud Trace/Cloud Monitoring/Cloud Logging o X-Ray/CloudWatch) saber de qué servicio vino cada dato.</w:t>
      </w:r>
    </w:p>
    <w:p>
      <w:r>
        <w:rPr>
          <w:b/>
        </w:rPr>
        <w:t>`BatchSpanProcessor` en vez de `SimpleSpanProcessor`.</w:t>
      </w:r>
      <w:r>
        <w:t xml:space="preserve"> Los spans se agrupan en memoria (hasta 512, cada 5s) antes de enviarse al Collector, en vez de hacer un request de red por span. Es la opción correcta para cualquier entorno con tráfico sostenido; </w:t>
      </w:r>
      <w:r>
        <w:rPr>
          <w:rFonts w:ascii="Consolas" w:hAnsi="Consolas"/>
          <w:color w:val="B03060"/>
          <w:sz w:val="20"/>
        </w:rPr>
        <w:t>SimpleSpanProcessor</w:t>
      </w:r>
      <w:r>
        <w:t xml:space="preserve"> solo se justifica en debugging puntual.</w:t>
      </w:r>
    </w:p>
    <w:p>
      <w:r>
        <w:rPr>
          <w:b/>
        </w:rPr>
        <w:t>Doble exportación de métricas.</w:t>
      </w:r>
      <w:r>
        <w:t xml:space="preserve"> Cada servicio registra dos </w:t>
      </w:r>
      <w:r>
        <w:rPr>
          <w:rFonts w:ascii="Consolas" w:hAnsi="Consolas"/>
          <w:color w:val="B03060"/>
          <w:sz w:val="20"/>
        </w:rPr>
        <w:t>MetricReader</w:t>
      </w:r>
      <w:r>
        <w:t xml:space="preserve"> simultáneos sobre el mismo </w:t>
      </w:r>
      <w:r>
        <w:rPr>
          <w:rFonts w:ascii="Consolas" w:hAnsi="Consolas"/>
          <w:color w:val="B03060"/>
          <w:sz w:val="20"/>
        </w:rPr>
        <w:t>MeterProvider</w:t>
      </w:r>
      <w:r>
        <w:t xml:space="preserve">: </w:t>
      </w:r>
      <w:r>
        <w:rPr>
          <w:rFonts w:ascii="Consolas" w:hAnsi="Consolas"/>
          <w:color w:val="B03060"/>
          <w:sz w:val="20"/>
        </w:rPr>
        <w:t>PrometheusMetricReader</w:t>
      </w:r>
      <w:r>
        <w:t xml:space="preserve"> (expone </w:t>
      </w:r>
      <w:r>
        <w:rPr>
          <w:rFonts w:ascii="Consolas" w:hAnsi="Consolas"/>
          <w:color w:val="B03060"/>
          <w:sz w:val="20"/>
        </w:rPr>
        <w:t>/metrics</w:t>
      </w:r>
      <w:r>
        <w:t xml:space="preserve"> para scraping directo, tal como pide la actividad: "OTel → Prometheus endpoint") y </w:t>
      </w:r>
      <w:r>
        <w:rPr>
          <w:rFonts w:ascii="Consolas" w:hAnsi="Consolas"/>
          <w:color w:val="B03060"/>
          <w:sz w:val="20"/>
        </w:rPr>
        <w:t>PeriodicExportingMetricReader</w:t>
      </w:r>
      <w:r>
        <w:t xml:space="preserve"> con </w:t>
      </w:r>
      <w:r>
        <w:rPr>
          <w:rFonts w:ascii="Consolas" w:hAnsi="Consolas"/>
          <w:color w:val="B03060"/>
          <w:sz w:val="20"/>
        </w:rPr>
        <w:t>OTLPMetricExporter</w:t>
      </w:r>
      <w:r>
        <w:t xml:space="preserve"> (push al Collector cada 15s, la ruta que en GCP/AWS reales alimentaría Cloud Monitoring o CloudWatch Metrics vía OTLP).</w:t>
      </w:r>
    </w:p>
    <w:p>
      <w:r>
        <w:rPr>
          <w:b/>
        </w:rPr>
        <w:t>Logs: dos caminos, no uno.</w:t>
      </w:r>
      <w:r>
        <w:t xml:space="preserve"> El logger de cada servicio tiene dos handlers:</w:t>
      </w:r>
    </w:p>
    <w:p>
      <w:r>
        <w:t xml:space="preserve">1. </w:t>
      </w:r>
      <w:r>
        <w:rPr>
          <w:rFonts w:ascii="Consolas" w:hAnsi="Consolas"/>
          <w:color w:val="B03060"/>
          <w:sz w:val="20"/>
        </w:rPr>
        <w:t>StreamHandler</w:t>
      </w:r>
      <w:r>
        <w:t xml:space="preserve"> con formato JSON (</w:t>
      </w:r>
      <w:r>
        <w:rPr>
          <w:rFonts w:ascii="Consolas" w:hAnsi="Consolas"/>
          <w:color w:val="B03060"/>
          <w:sz w:val="20"/>
        </w:rPr>
        <w:t>python-json-logger</w:t>
      </w:r>
      <w:r>
        <w:t xml:space="preserve">) hacia stdout, con un </w:t>
      </w:r>
      <w:r>
        <w:rPr>
          <w:rFonts w:ascii="Consolas" w:hAnsi="Consolas"/>
          <w:color w:val="B03060"/>
          <w:sz w:val="20"/>
        </w:rPr>
        <w:t>logging.Filter</w:t>
      </w:r>
      <w:r>
        <w:t xml:space="preserve"> (</w:t>
      </w:r>
      <w:r>
        <w:rPr>
          <w:rFonts w:ascii="Consolas" w:hAnsi="Consolas"/>
          <w:color w:val="B03060"/>
          <w:sz w:val="20"/>
        </w:rPr>
        <w:t>TraceContextFilter</w:t>
      </w:r>
      <w:r>
        <w:t xml:space="preserve">) que inyecta </w:t>
      </w:r>
      <w:r>
        <w:rPr>
          <w:rFonts w:ascii="Consolas" w:hAnsi="Consolas"/>
          <w:color w:val="B03060"/>
          <w:sz w:val="20"/>
        </w:rPr>
        <w:t>trace_id</w:t>
      </w:r>
      <w:r>
        <w:t>/</w:t>
      </w:r>
      <w:r>
        <w:rPr>
          <w:rFonts w:ascii="Consolas" w:hAnsi="Consolas"/>
          <w:color w:val="B03060"/>
          <w:sz w:val="20"/>
        </w:rPr>
        <w:t>span_id</w:t>
      </w:r>
      <w:r>
        <w:t xml:space="preserve"> del span activo en cada línea. Este es el camino usado para </w:t>
      </w:r>
      <w:r>
        <w:rPr>
          <w:rFonts w:ascii="Consolas" w:hAnsi="Consolas"/>
          <w:color w:val="B03060"/>
          <w:sz w:val="20"/>
        </w:rPr>
        <w:t>docker compose logs | grep trace_id</w:t>
      </w:r>
      <w:r>
        <w:t xml:space="preserve"> (ver sección 8). 2. </w:t>
      </w:r>
      <w:r>
        <w:rPr>
          <w:rFonts w:ascii="Consolas" w:hAnsi="Consolas"/>
          <w:color w:val="B03060"/>
          <w:sz w:val="20"/>
        </w:rPr>
        <w:t>LoggingHandler</w:t>
      </w:r>
      <w:r>
        <w:t xml:space="preserve"> del SDK de logs de OTel (</w:t>
      </w:r>
      <w:r>
        <w:rPr>
          <w:rFonts w:ascii="Consolas" w:hAnsi="Consolas"/>
          <w:color w:val="B03060"/>
          <w:sz w:val="20"/>
        </w:rPr>
        <w:t>opentelemetry.sdk._logs</w:t>
      </w:r>
      <w:r>
        <w:t xml:space="preserve">), que exporta cada registro vía OTLP al Collector → Loki. Este handler adjunta </w:t>
      </w:r>
      <w:r>
        <w:rPr>
          <w:rFonts w:ascii="Consolas" w:hAnsi="Consolas"/>
          <w:color w:val="B03060"/>
          <w:sz w:val="20"/>
        </w:rPr>
        <w:t>trace_id</w:t>
      </w:r>
      <w:r>
        <w:t>/</w:t>
      </w:r>
      <w:r>
        <w:rPr>
          <w:rFonts w:ascii="Consolas" w:hAnsi="Consolas"/>
          <w:color w:val="B03060"/>
          <w:sz w:val="20"/>
        </w:rPr>
        <w:t>span_id</w:t>
      </w:r>
      <w:r>
        <w:t xml:space="preserve"> automáticamente a partir del span activo, sin código adicional — es el camino real que arma la correlación logs↔trazas en Grafana Explore (sección 5.2).</w:t>
      </w:r>
    </w:p>
    <w:p>
      <w:r>
        <w:rPr>
          <w:b/>
        </w:rPr>
        <w:t>Auto-instrumentación vs. spans custom.</w:t>
      </w:r>
      <w:r>
        <w:t xml:space="preserve"> Se usan tres instrumentadores automáticos: </w:t>
      </w:r>
      <w:r>
        <w:rPr>
          <w:rFonts w:ascii="Consolas" w:hAnsi="Consolas"/>
          <w:color w:val="B03060"/>
          <w:sz w:val="20"/>
        </w:rPr>
        <w:t>FastAPIInstrumentor</w:t>
      </w:r>
      <w:r>
        <w:t xml:space="preserve"> (spans por endpoint HTTP), </w:t>
      </w:r>
      <w:r>
        <w:rPr>
          <w:rFonts w:ascii="Consolas" w:hAnsi="Consolas"/>
          <w:color w:val="B03060"/>
          <w:sz w:val="20"/>
        </w:rPr>
        <w:t>HTTPXClientInstrumentor</w:t>
      </w:r>
      <w:r>
        <w:t xml:space="preserve"> (inyecta el header W3C </w:t>
      </w:r>
      <w:r>
        <w:rPr>
          <w:rFonts w:ascii="Consolas" w:hAnsi="Consolas"/>
          <w:color w:val="B03060"/>
          <w:sz w:val="20"/>
        </w:rPr>
        <w:t>traceparent</w:t>
      </w:r>
      <w:r>
        <w:t xml:space="preserve"> en la llamada saliente de </w:t>
      </w:r>
      <w:r>
        <w:rPr>
          <w:rFonts w:ascii="Consolas" w:hAnsi="Consolas"/>
          <w:color w:val="B03060"/>
          <w:sz w:val="20"/>
        </w:rPr>
        <w:t>service-a</w:t>
      </w:r>
      <w:r>
        <w:t xml:space="preserve"> a </w:t>
      </w:r>
      <w:r>
        <w:rPr>
          <w:rFonts w:ascii="Consolas" w:hAnsi="Consolas"/>
          <w:color w:val="B03060"/>
          <w:sz w:val="20"/>
        </w:rPr>
        <w:t>service-b</w:t>
      </w:r>
      <w:r>
        <w:t xml:space="preserve"> — sin esto no habría propagación) y </w:t>
      </w:r>
      <w:r>
        <w:rPr>
          <w:rFonts w:ascii="Consolas" w:hAnsi="Consolas"/>
          <w:color w:val="B03060"/>
          <w:sz w:val="20"/>
        </w:rPr>
        <w:t>Psycopg2Instrumentor</w:t>
      </w:r>
      <w:r>
        <w:t xml:space="preserve"> (spans por query SQL). Sobre esa base, el código de negocio añade spans custom para las operaciones que sí importan diagnósticamente:</w:t>
      </w:r>
    </w:p>
    <w:p>
      <w:pPr>
        <w:pStyle w:val="CodeBlock"/>
        <w:shd w:val="clear" w:color="auto" w:fill="F2F2F2"/>
      </w:pPr>
      <w:r>
        <w:t># services/service-a/app/main.py</w:t>
        <w:br/>
        <w:t>with tracer.start_as_current_span(</w:t>
        <w:br/>
        <w:t xml:space="preserve">    "order.fetch_from_db",</w:t>
        <w:br/>
        <w:t xml:space="preserve">    kind=trace.SpanKind.CLIENT,</w:t>
        <w:br/>
        <w:t xml:space="preserve">    attributes={"db.system": "postgresql", "db.operation": "SELECT", "order.id": order_id},</w:t>
        <w:br/>
        <w:t>) as span:</w:t>
        <w:br/>
        <w:t xml:space="preserve">    ...</w:t>
        <w:br/>
        <w:t xml:space="preserve">    span.set_attribute("order.status", row["status"])</w:t>
      </w:r>
    </w:p>
    <w:p>
      <w:pPr>
        <w:pStyle w:val="CodeBlock"/>
        <w:shd w:val="clear" w:color="auto" w:fill="F2F2F2"/>
      </w:pPr>
      <w:r>
        <w:t># services/service-a/app/main.py</w:t>
        <w:br/>
        <w:t>with tracer.start_as_current_span(</w:t>
        <w:br/>
        <w:t xml:space="preserve">    "order.check_inventory",</w:t>
        <w:br/>
        <w:t xml:space="preserve">    kind=trace.SpanKind.CLIENT,</w:t>
        <w:br/>
        <w:t xml:space="preserve">    attributes={"peer.service": "service-b", "order.sku": sku},</w:t>
        <w:br/>
        <w:t>) as span:</w:t>
        <w:br/>
        <w:t xml:space="preserve">    async with httpx.AsyncClient(timeout=5.0) as client:</w:t>
        <w:br/>
        <w:t xml:space="preserve">        resp = await client.get(f"{SERVICE_B_URL}/inventory/{sku}")</w:t>
        <w:br/>
        <w:t xml:space="preserve">    ...</w:t>
      </w:r>
    </w:p>
    <w:p>
      <w:r>
        <w:rPr>
          <w:rFonts w:ascii="Consolas" w:hAnsi="Consolas"/>
          <w:color w:val="B03060"/>
          <w:sz w:val="20"/>
        </w:rPr>
        <w:t>service-b</w:t>
      </w:r>
      <w:r>
        <w:t xml:space="preserve"> añade además un span de negocio anidado (</w:t>
      </w:r>
      <w:r>
        <w:rPr>
          <w:rFonts w:ascii="Consolas" w:hAnsi="Consolas"/>
          <w:color w:val="B03060"/>
          <w:sz w:val="20"/>
        </w:rPr>
        <w:t>inventory.reserve</w:t>
      </w:r>
      <w:r>
        <w:t xml:space="preserve"> → </w:t>
      </w:r>
      <w:r>
        <w:rPr>
          <w:rFonts w:ascii="Consolas" w:hAnsi="Consolas"/>
          <w:color w:val="B03060"/>
          <w:sz w:val="20"/>
        </w:rPr>
        <w:t>inventory.validate_availability</w:t>
      </w:r>
      <w:r>
        <w:t>) que no corresponde a I/O externo, sino a una decisión de negocio (¿hay stock suficiente?) — exactamente el tipo de span que la auto-instrumentación nunca podría generar por sí sola, porque no sabe qué significa "reservar stock" para este dominio.</w:t>
      </w:r>
    </w:p>
    <w:p>
      <w:pPr>
        <w:pStyle w:val="Heading2"/>
      </w:pPr>
      <w:r>
        <w:t>3.2 Propagación de contexto (W3C TraceContext) — evidencia real</w:t>
      </w:r>
    </w:p>
    <w:p>
      <w:r>
        <w:t>Request de prueba:</w:t>
      </w:r>
    </w:p>
    <w:p>
      <w:pPr>
        <w:pStyle w:val="CodeBlock"/>
        <w:shd w:val="clear" w:color="auto" w:fill="F2F2F2"/>
      </w:pPr>
      <w:r>
        <w:t>$ curl http://localhost:8000/orders/ord-1002</w:t>
        <w:br/>
        <w:t>{</w:t>
        <w:br/>
        <w:t xml:space="preserve">  "order": {"id": "ord-1002", "sku": "sku-mouse-pro", "quantity": 2, "status": "pending"},</w:t>
        <w:br/>
        <w:t xml:space="preserve">  "inventory": {"sku": "sku-mouse-pro", "available_units": 87, "warehouse": "WH-BOG-01"},</w:t>
        <w:br/>
        <w:t xml:space="preserve">  "trace_id": "556bbf3c92ea635011439f23911d6876"</w:t>
        <w:br/>
        <w:t>}</w:t>
      </w:r>
    </w:p>
    <w:p>
      <w:r>
        <w:t xml:space="preserve">Árbol de spans real, recuperado de la API de Jaeger para ese </w:t>
      </w:r>
      <w:r>
        <w:rPr>
          <w:rFonts w:ascii="Consolas" w:hAnsi="Consolas"/>
          <w:color w:val="B03060"/>
          <w:sz w:val="20"/>
        </w:rPr>
        <w:t>trace_id</w:t>
      </w:r>
      <w:r>
        <w:t>:</w:t>
      </w:r>
    </w:p>
    <w:p>
      <w:pPr>
        <w:pStyle w:val="CodeBlock"/>
        <w:shd w:val="clear" w:color="auto" w:fill="F2F2F2"/>
      </w:pPr>
      <w:r>
        <w:t>GET /orders/{order_id}                 service-a   (span raíz)</w:t>
        <w:br/>
        <w:t>├── order.fetch_from_db                service-a   (custom)</w:t>
        <w:br/>
        <w:t>├── order.check_inventory              service-a   (custom)</w:t>
        <w:br/>
        <w:t>│   └── GET                            service-a   (httpx auto-instr., cliente saliente)</w:t>
        <w:br/>
        <w:t>│       └── GET /inventory/{sku}       service-b   (servidor, continúa el mismo trace_id)</w:t>
        <w:br/>
        <w:t>│           └── inventory.fetch_stock  service-b   (custom)</w:t>
      </w:r>
    </w:p>
    <w:p>
      <w:r>
        <w:t xml:space="preserve">El span </w:t>
      </w:r>
      <w:r>
        <w:rPr>
          <w:rFonts w:ascii="Consolas" w:hAnsi="Consolas"/>
          <w:color w:val="B03060"/>
          <w:sz w:val="20"/>
        </w:rPr>
        <w:t>GET /inventory/{sku}</w:t>
      </w:r>
      <w:r>
        <w:t xml:space="preserve"> de </w:t>
      </w:r>
      <w:r>
        <w:rPr>
          <w:rFonts w:ascii="Consolas" w:hAnsi="Consolas"/>
          <w:color w:val="B03060"/>
          <w:sz w:val="20"/>
        </w:rPr>
        <w:t>service-b</w:t>
      </w:r>
      <w:r>
        <w:t xml:space="preserve"> aparece como hijo directo del span </w:t>
      </w:r>
      <w:r>
        <w:rPr>
          <w:rFonts w:ascii="Consolas" w:hAnsi="Consolas"/>
          <w:color w:val="B03060"/>
          <w:sz w:val="20"/>
        </w:rPr>
        <w:t>GET</w:t>
      </w:r>
      <w:r>
        <w:t xml:space="preserve"> (cliente httpx) de </w:t>
      </w:r>
      <w:r>
        <w:rPr>
          <w:rFonts w:ascii="Consolas" w:hAnsi="Consolas"/>
          <w:color w:val="B03060"/>
          <w:sz w:val="20"/>
        </w:rPr>
        <w:t>service-a</w:t>
      </w:r>
      <w:r>
        <w:t xml:space="preserve">, bajo el mismo </w:t>
      </w:r>
      <w:r>
        <w:rPr>
          <w:rFonts w:ascii="Consolas" w:hAnsi="Consolas"/>
          <w:color w:val="B03060"/>
          <w:sz w:val="20"/>
        </w:rPr>
        <w:t>trace_id</w:t>
      </w:r>
      <w:r>
        <w:t xml:space="preserve"> — confirma que el header </w:t>
      </w:r>
      <w:r>
        <w:rPr>
          <w:rFonts w:ascii="Consolas" w:hAnsi="Consolas"/>
          <w:color w:val="B03060"/>
          <w:sz w:val="20"/>
        </w:rPr>
        <w:t>traceparent</w:t>
      </w:r>
      <w:r>
        <w:t xml:space="preserve"> se propagó correctamente entre procesos, sin ningún código manual de propagación (</w:t>
      </w:r>
      <w:r>
        <w:rPr>
          <w:rFonts w:ascii="Consolas" w:hAnsi="Consolas"/>
          <w:color w:val="B03060"/>
          <w:sz w:val="20"/>
        </w:rPr>
        <w:t>HTTPXClientInstrumentor</w:t>
      </w:r>
      <w:r>
        <w:t xml:space="preserve"> lo hace por sí solo).</w:t>
      </w:r>
    </w:p>
    <w:p>
      <w:r>
        <w:t xml:space="preserve">La misma correlación se verificó en Loki: el log </w:t>
      </w:r>
      <w:r>
        <w:rPr>
          <w:rFonts w:ascii="Consolas" w:hAnsi="Consolas"/>
          <w:color w:val="B03060"/>
          <w:sz w:val="20"/>
        </w:rPr>
        <w:t>order_fetched</w:t>
      </w:r>
      <w:r>
        <w:t xml:space="preserve"> de </w:t>
      </w:r>
      <w:r>
        <w:rPr>
          <w:rFonts w:ascii="Consolas" w:hAnsi="Consolas"/>
          <w:color w:val="B03060"/>
          <w:sz w:val="20"/>
        </w:rPr>
        <w:t>service-a</w:t>
      </w:r>
      <w:r>
        <w:t xml:space="preserve"> para este request lleva el campo </w:t>
      </w:r>
      <w:r>
        <w:rPr>
          <w:rFonts w:ascii="Consolas" w:hAnsi="Consolas"/>
          <w:color w:val="B03060"/>
          <w:sz w:val="20"/>
        </w:rPr>
        <w:t>traceid</w:t>
      </w:r>
      <w:r>
        <w:t xml:space="preserve"> (nombre que usa el esquema nativo de </w:t>
      </w:r>
      <w:r>
        <w:rPr>
          <w:rFonts w:ascii="Consolas" w:hAnsi="Consolas"/>
          <w:color w:val="B03060"/>
          <w:sz w:val="20"/>
        </w:rPr>
        <w:t>LogRecord</w:t>
      </w:r>
      <w:r>
        <w:t xml:space="preserve"> de OTel) con el valor </w:t>
      </w:r>
      <w:r>
        <w:rPr>
          <w:rFonts w:ascii="Consolas" w:hAnsi="Consolas"/>
          <w:color w:val="B03060"/>
          <w:sz w:val="20"/>
        </w:rPr>
        <w:t>556bbf3c92ea635011439f23911d6876</w:t>
      </w:r>
      <w:r>
        <w:t xml:space="preserve"> — idéntico al </w:t>
      </w:r>
      <w:r>
        <w:rPr>
          <w:rFonts w:ascii="Consolas" w:hAnsi="Consolas"/>
          <w:color w:val="B03060"/>
          <w:sz w:val="20"/>
        </w:rPr>
        <w:t>trace_id</w:t>
      </w:r>
      <w:r>
        <w:t xml:space="preserve"> de la traza.</w:t>
      </w:r>
    </w:p>
    <w:p>
      <w:pPr>
        <w:pStyle w:val="Heading1"/>
      </w:pPr>
      <w:r>
        <w:t>4. Fase 2 — OTel Collector</w:t>
      </w:r>
    </w:p>
    <w:p>
      <w:pPr>
        <w:pStyle w:val="Heading2"/>
      </w:pPr>
      <w:r>
        <w:t>4.1 Pipeline</w:t>
      </w:r>
    </w:p>
    <w:p>
      <w:r>
        <w:rPr>
          <w:rFonts w:ascii="Consolas" w:hAnsi="Consolas"/>
          <w:color w:val="B03060"/>
          <w:sz w:val="20"/>
        </w:rPr>
        <w:t>otel-collector/collector-config.local.yaml</w:t>
      </w:r>
      <w:r>
        <w:t xml:space="preserve"> define tres pipelines (traces, metrics, logs) que comparten receiver (</w:t>
      </w:r>
      <w:r>
        <w:rPr>
          <w:rFonts w:ascii="Consolas" w:hAnsi="Consolas"/>
          <w:color w:val="B03060"/>
          <w:sz w:val="20"/>
        </w:rPr>
        <w:t>otlp</w:t>
      </w:r>
      <w:r>
        <w:t>, gRPC :4317 / HTTP :4318) y processors comunes:</w:t>
      </w:r>
    </w:p>
    <w:p>
      <w:pPr>
        <w:pStyle w:val="CodeBlock"/>
        <w:shd w:val="clear" w:color="auto" w:fill="F2F2F2"/>
      </w:pPr>
      <w:r>
        <w:t>memory_limiter → resource → filter/health → batch</w:t>
      </w:r>
    </w:p>
    <w:p>
      <w:r>
        <w:rPr>
          <w:b/>
        </w:rPr>
        <w:t>Orden de los processors, y por qué importa:</w:t>
      </w:r>
    </w:p>
    <w:p>
      <w:pPr>
        <w:pStyle w:val="ListBullet"/>
      </w:pPr>
      <w:r>
        <w:rPr>
          <w:rFonts w:ascii="Consolas" w:hAnsi="Consolas"/>
          <w:color w:val="B03060"/>
          <w:sz w:val="20"/>
        </w:rPr>
        <w:t>memory_limiter</w:t>
      </w:r>
      <w:r>
        <w:t xml:space="preserve"> va primero: si hay un pico de telemetría, el Collector empieza a </w:t>
      </w:r>
      <w:r>
        <w:rPr>
          <w:i/>
        </w:rPr>
        <w:t>rechazar</w:t>
      </w:r>
      <w:r>
        <w:t xml:space="preserve"> datos antes de agotar la memoria del contenedor y caerse. Un Collector caído es peor que datos perdidos puntualmente, porque deja ciego al sistema completo durante el incidente que precisamente se quería diagnosticar.</w:t>
      </w:r>
    </w:p>
    <w:p>
      <w:pPr>
        <w:pStyle w:val="ListBullet"/>
      </w:pPr>
      <w:r>
        <w:rPr>
          <w:rFonts w:ascii="Consolas" w:hAnsi="Consolas"/>
          <w:color w:val="B03060"/>
          <w:sz w:val="20"/>
        </w:rPr>
        <w:t>filter/health</w:t>
      </w:r>
      <w:r>
        <w:t xml:space="preserve"> descarta spans del endpoint </w:t>
      </w:r>
      <w:r>
        <w:rPr>
          <w:rFonts w:ascii="Consolas" w:hAnsi="Consolas"/>
          <w:color w:val="B03060"/>
          <w:sz w:val="20"/>
        </w:rPr>
        <w:t>/health</w:t>
      </w:r>
      <w:r>
        <w:t xml:space="preserve"> antes de llegar a </w:t>
      </w:r>
      <w:r>
        <w:rPr>
          <w:rFonts w:ascii="Consolas" w:hAnsi="Consolas"/>
          <w:color w:val="B03060"/>
          <w:sz w:val="20"/>
        </w:rPr>
        <w:t>batch</w:t>
      </w:r>
      <w:r>
        <w:t xml:space="preserve">, para no ensuciar Jaeger con ruido de </w:t>
      </w:r>
      <w:r>
        <w:rPr>
          <w:i/>
        </w:rPr>
        <w:t>healthchecks</w:t>
      </w:r>
      <w:r>
        <w:t xml:space="preserve"> (cada 10s por contenedor).</w:t>
      </w:r>
    </w:p>
    <w:p>
      <w:pPr>
        <w:pStyle w:val="ListBullet"/>
      </w:pPr>
      <w:r>
        <w:rPr>
          <w:rFonts w:ascii="Consolas" w:hAnsi="Consolas"/>
          <w:color w:val="B03060"/>
          <w:sz w:val="20"/>
        </w:rPr>
        <w:t>batch</w:t>
      </w:r>
      <w:r>
        <w:t xml:space="preserve"> va último: agrupa todo lo que sobrevivió a los filtros antes de exportar, minimizando el número de conexiones salientes al backend.</w:t>
      </w:r>
    </w:p>
    <w:p>
      <w:pPr>
        <w:pStyle w:val="Heading2"/>
      </w:pPr>
      <w:r>
        <w:t>4.2 Exporters (variante local)</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r>
            <w:r>
              <w:rPr>
                <w:b/>
              </w:rPr>
              <w:t>Señal</w:t>
            </w:r>
          </w:p>
        </w:tc>
        <w:tc>
          <w:tcPr>
            <w:tcW w:type="dxa" w:w="3135"/>
          </w:tcPr>
          <w:p>
            <w:r>
              <w:rPr>
                <w:b/>
              </w:rPr>
            </w:r>
            <w:r>
              <w:rPr>
                <w:b/>
              </w:rPr>
              <w:t>Exporter</w:t>
            </w:r>
          </w:p>
        </w:tc>
        <w:tc>
          <w:tcPr>
            <w:tcW w:type="dxa" w:w="3135"/>
          </w:tcPr>
          <w:p>
            <w:r>
              <w:rPr>
                <w:b/>
              </w:rPr>
            </w:r>
            <w:r>
              <w:rPr>
                <w:b/>
              </w:rPr>
              <w:t>Backend</w:t>
            </w:r>
          </w:p>
        </w:tc>
      </w:tr>
      <w:tr>
        <w:tc>
          <w:tcPr>
            <w:tcW w:type="dxa" w:w="3135"/>
          </w:tcPr>
          <w:p>
            <w:r/>
            <w:r>
              <w:t>Traces</w:t>
            </w:r>
          </w:p>
        </w:tc>
        <w:tc>
          <w:tcPr>
            <w:tcW w:type="dxa" w:w="3135"/>
          </w:tcPr>
          <w:p>
            <w:r/>
            <w:r>
              <w:rPr>
                <w:rFonts w:ascii="Consolas" w:hAnsi="Consolas"/>
                <w:color w:val="B03060"/>
                <w:sz w:val="20"/>
              </w:rPr>
              <w:t>otlp/jaeger</w:t>
            </w:r>
            <w:r>
              <w:t xml:space="preserve">, </w:t>
            </w:r>
            <w:r>
              <w:rPr>
                <w:rFonts w:ascii="Consolas" w:hAnsi="Consolas"/>
                <w:color w:val="B03060"/>
                <w:sz w:val="20"/>
              </w:rPr>
              <w:t>otlp/tempo</w:t>
            </w:r>
          </w:p>
        </w:tc>
        <w:tc>
          <w:tcPr>
            <w:tcW w:type="dxa" w:w="3135"/>
          </w:tcPr>
          <w:p>
            <w:r/>
            <w:r>
              <w:t>Jaeger + Tempo (ambos, para demostrar portabilidad)</w:t>
            </w:r>
          </w:p>
        </w:tc>
      </w:tr>
      <w:tr>
        <w:tc>
          <w:tcPr>
            <w:tcW w:type="dxa" w:w="3135"/>
          </w:tcPr>
          <w:p>
            <w:r/>
            <w:r>
              <w:t>Metrics</w:t>
            </w:r>
          </w:p>
        </w:tc>
        <w:tc>
          <w:tcPr>
            <w:tcW w:type="dxa" w:w="3135"/>
          </w:tcPr>
          <w:p>
            <w:r/>
            <w:r>
              <w:rPr>
                <w:rFonts w:ascii="Consolas" w:hAnsi="Consolas"/>
                <w:color w:val="B03060"/>
                <w:sz w:val="20"/>
              </w:rPr>
              <w:t>prometheus</w:t>
            </w:r>
            <w:r>
              <w:t xml:space="preserve"> (</w:t>
            </w:r>
            <w:r>
              <w:rPr>
                <w:rFonts w:ascii="Consolas" w:hAnsi="Consolas"/>
                <w:color w:val="B03060"/>
                <w:sz w:val="20"/>
              </w:rPr>
              <w:t>resource_to_telemetry_conversion: true</w:t>
            </w:r>
            <w:r>
              <w:t>)</w:t>
            </w:r>
          </w:p>
        </w:tc>
        <w:tc>
          <w:tcPr>
            <w:tcW w:type="dxa" w:w="3135"/>
          </w:tcPr>
          <w:p>
            <w:r/>
            <w:r>
              <w:t xml:space="preserve">Prometheus scrapea </w:t>
            </w:r>
            <w:r>
              <w:rPr>
                <w:rFonts w:ascii="Consolas" w:hAnsi="Consolas"/>
                <w:color w:val="B03060"/>
                <w:sz w:val="20"/>
              </w:rPr>
              <w:t>:8889</w:t>
            </w:r>
          </w:p>
        </w:tc>
      </w:tr>
      <w:tr>
        <w:tc>
          <w:tcPr>
            <w:tcW w:type="dxa" w:w="3135"/>
          </w:tcPr>
          <w:p>
            <w:r/>
            <w:r>
              <w:t>Logs</w:t>
            </w:r>
          </w:p>
        </w:tc>
        <w:tc>
          <w:tcPr>
            <w:tcW w:type="dxa" w:w="3135"/>
          </w:tcPr>
          <w:p>
            <w:r/>
            <w:r>
              <w:rPr>
                <w:rFonts w:ascii="Consolas" w:hAnsi="Consolas"/>
                <w:color w:val="B03060"/>
                <w:sz w:val="20"/>
              </w:rPr>
              <w:t>loki</w:t>
            </w:r>
          </w:p>
        </w:tc>
        <w:tc>
          <w:tcPr>
            <w:tcW w:type="dxa" w:w="3135"/>
          </w:tcPr>
          <w:p>
            <w:r/>
            <w:r>
              <w:t>Loki vía API push</w:t>
            </w:r>
          </w:p>
        </w:tc>
      </w:tr>
    </w:tbl>
    <w:p/>
    <w:p>
      <w:r>
        <w:t xml:space="preserve">Las variantes </w:t>
      </w:r>
      <w:r>
        <w:rPr>
          <w:rFonts w:ascii="Consolas" w:hAnsi="Consolas"/>
          <w:color w:val="B03060"/>
          <w:sz w:val="20"/>
        </w:rPr>
        <w:t>collector-config.gcp.yaml</w:t>
      </w:r>
      <w:r>
        <w:t xml:space="preserve"> y </w:t>
      </w:r>
      <w:r>
        <w:rPr>
          <w:rFonts w:ascii="Consolas" w:hAnsi="Consolas"/>
          <w:color w:val="B03060"/>
          <w:sz w:val="20"/>
        </w:rPr>
        <w:t>collector-config.aws.yaml</w:t>
      </w:r>
      <w:r>
        <w:t xml:space="preserve"> sustituyen estos exporters por </w:t>
      </w:r>
      <w:r>
        <w:rPr>
          <w:rFonts w:ascii="Consolas" w:hAnsi="Consolas"/>
          <w:color w:val="B03060"/>
          <w:sz w:val="20"/>
        </w:rPr>
        <w:t>googlecloud</w:t>
      </w:r>
      <w:r>
        <w:t xml:space="preserve"> (Cloud Logging/Trace) y </w:t>
      </w:r>
      <w:r>
        <w:rPr>
          <w:rFonts w:ascii="Consolas" w:hAnsi="Consolas"/>
          <w:color w:val="B03060"/>
          <w:sz w:val="20"/>
        </w:rPr>
        <w:t>awscloudwatchlogs</w:t>
      </w:r>
      <w:r>
        <w:t xml:space="preserve"> respectivamente, y añaden el processor </w:t>
      </w:r>
      <w:r>
        <w:rPr>
          <w:rFonts w:ascii="Consolas" w:hAnsi="Consolas"/>
          <w:color w:val="B03060"/>
          <w:sz w:val="20"/>
        </w:rPr>
        <w:t>resourcedetection</w:t>
      </w:r>
      <w:r>
        <w:t xml:space="preserve"> (detecta automáticamente </w:t>
      </w:r>
      <w:r>
        <w:rPr>
          <w:rFonts w:ascii="Consolas" w:hAnsi="Consolas"/>
          <w:color w:val="B03060"/>
          <w:sz w:val="20"/>
        </w:rPr>
        <w:t>project_id</w:t>
      </w:r>
      <w:r>
        <w:t>/zona en GCP o metadata de la task en ECS). No se ejecutan en este laboratorio — ver sección 7.</w:t>
      </w:r>
    </w:p>
    <w:p>
      <w:pPr>
        <w:pStyle w:val="Heading1"/>
      </w:pPr>
      <w:r>
        <w:t>5. Fase 3 — Backends y visualización</w:t>
      </w:r>
    </w:p>
    <w:p>
      <w:pPr>
        <w:pStyle w:val="Heading2"/>
      </w:pPr>
      <w:r>
        <w:t>5.1 Trazas</w:t>
      </w:r>
    </w:p>
    <w:p>
      <w:r>
        <w:t>Jaeger UI (</w:t>
      </w:r>
      <w:r>
        <w:rPr>
          <w:rFonts w:ascii="Consolas" w:hAnsi="Consolas"/>
          <w:color w:val="B03060"/>
          <w:sz w:val="20"/>
        </w:rPr>
        <w:t>http://localhost:16686</w:t>
      </w:r>
      <w:r>
        <w:t xml:space="preserve">) muestra el flame graph completo descrito en 3.2 — ver captura </w:t>
      </w:r>
      <w:r>
        <w:rPr>
          <w:rFonts w:ascii="Consolas" w:hAnsi="Consolas"/>
          <w:i/>
          <w:color w:val="2E5B9E"/>
        </w:rPr>
        <w:t>docs/screenshots/01-jaeger-trace-service-a-service-b.png</w:t>
      </w:r>
      <w:r>
        <w:t xml:space="preserve">: 10 spans, </w:t>
      </w:r>
      <w:r>
        <w:rPr>
          <w:rFonts w:ascii="Consolas" w:hAnsi="Consolas"/>
          <w:color w:val="B03060"/>
          <w:sz w:val="20"/>
        </w:rPr>
        <w:t>service-a</w:t>
      </w:r>
      <w:r>
        <w:t xml:space="preserve"> y </w:t>
      </w:r>
      <w:r>
        <w:rPr>
          <w:rFonts w:ascii="Consolas" w:hAnsi="Consolas"/>
          <w:color w:val="B03060"/>
          <w:sz w:val="20"/>
        </w:rPr>
        <w:t>service-b</w:t>
      </w:r>
      <w:r>
        <w:t xml:space="preserve"> bajo el mismo </w:t>
      </w:r>
      <w:r>
        <w:rPr>
          <w:rFonts w:ascii="Consolas" w:hAnsi="Consolas"/>
          <w:color w:val="B03060"/>
          <w:sz w:val="20"/>
        </w:rPr>
        <w:t>trace_id</w:t>
      </w:r>
      <w:r>
        <w:t xml:space="preserve">, duración total 23.94ms. Tempo recibe la misma traza en paralelo (mismo </w:t>
      </w:r>
      <w:r>
        <w:rPr>
          <w:rFonts w:ascii="Consolas" w:hAnsi="Consolas"/>
          <w:color w:val="B03060"/>
          <w:sz w:val="20"/>
        </w:rPr>
        <w:t>trace_id</w:t>
      </w:r>
      <w:r>
        <w:t>, mismos spans) para demostrar que el pipeline es portable entre backends de trazas sin cambiar el código de instrumentación — solo el exporter del Collector cambia.</w:t>
      </w:r>
    </w:p>
    <w:p>
      <w:r>
        <w:drawing>
          <wp:inline xmlns:a="http://schemas.openxmlformats.org/drawingml/2006/main" xmlns:pic="http://schemas.openxmlformats.org/drawingml/2006/picture">
            <wp:extent cx="5760000" cy="3600000"/>
            <wp:docPr id="2" name="Picture 2"/>
            <wp:cNvGraphicFramePr>
              <a:graphicFrameLocks noChangeAspect="1"/>
            </wp:cNvGraphicFramePr>
            <a:graphic>
              <a:graphicData uri="http://schemas.openxmlformats.org/drawingml/2006/picture">
                <pic:pic>
                  <pic:nvPicPr>
                    <pic:cNvPr id="0" name="01-jaeger-trace-service-a-service-b.png"/>
                    <pic:cNvPicPr/>
                  </pic:nvPicPr>
                  <pic:blipFill>
                    <a:blip r:embed="rId10"/>
                    <a:stretch>
                      <a:fillRect/>
                    </a:stretch>
                  </pic:blipFill>
                  <pic:spPr>
                    <a:xfrm>
                      <a:off x="0" y="0"/>
                      <a:ext cx="5760000" cy="3600000"/>
                    </a:xfrm>
                    <a:prstGeom prst="rect"/>
                  </pic:spPr>
                </pic:pic>
              </a:graphicData>
            </a:graphic>
          </wp:inline>
        </w:drawing>
      </w:r>
    </w:p>
    <w:p>
      <w:pPr>
        <w:jc w:val="center"/>
      </w:pPr>
      <w:r>
        <w:rPr>
          <w:i/>
          <w:color w:val="606060"/>
          <w:sz w:val="18"/>
        </w:rPr>
        <w:t>01-jaeger-trace-service-a-service-b.png</w:t>
      </w:r>
    </w:p>
    <w:p>
      <w:pPr>
        <w:pStyle w:val="Heading2"/>
      </w:pPr>
      <w:r>
        <w:t>5.2 Correlación logs ↔ trazas en Grafana</w:t>
      </w:r>
    </w:p>
    <w:p>
      <w:r>
        <w:t>El datasource Loki (</w:t>
      </w:r>
      <w:r>
        <w:rPr>
          <w:rFonts w:ascii="Consolas" w:hAnsi="Consolas"/>
          <w:color w:val="B03060"/>
          <w:sz w:val="20"/>
        </w:rPr>
        <w:t>observability/grafana/provisioning/datasources/datasources.yaml</w:t>
      </w:r>
      <w:r>
        <w:t xml:space="preserve">) define un </w:t>
      </w:r>
      <w:r>
        <w:rPr>
          <w:rFonts w:ascii="Consolas" w:hAnsi="Consolas"/>
          <w:color w:val="B03060"/>
          <w:sz w:val="20"/>
        </w:rPr>
        <w:t>derivedFields</w:t>
      </w:r>
      <w:r>
        <w:t xml:space="preserve"> que detecta el patrón </w:t>
      </w:r>
      <w:r>
        <w:rPr>
          <w:rFonts w:ascii="Consolas" w:hAnsi="Consolas"/>
          <w:color w:val="B03060"/>
          <w:sz w:val="20"/>
        </w:rPr>
        <w:t>"traceid":"([0-9a-f]{32})"</w:t>
      </w:r>
      <w:r>
        <w:t xml:space="preserve"> en cada línea de log y ofrece un enlace directo a Jaeger con ese </w:t>
      </w:r>
      <w:r>
        <w:rPr>
          <w:rFonts w:ascii="Consolas" w:hAnsi="Consolas"/>
          <w:color w:val="B03060"/>
          <w:sz w:val="20"/>
        </w:rPr>
        <w:t>trace_id</w:t>
      </w:r>
      <w:r>
        <w:t xml:space="preserve">. En la dirección inversa, el datasource Jaeger define </w:t>
      </w:r>
      <w:r>
        <w:rPr>
          <w:rFonts w:ascii="Consolas" w:hAnsi="Consolas"/>
          <w:color w:val="B03060"/>
          <w:sz w:val="20"/>
        </w:rPr>
        <w:t>tracesToLogsV2</w:t>
      </w:r>
      <w:r>
        <w:t xml:space="preserve"> con una consulta LogQL explícita:</w:t>
      </w:r>
    </w:p>
    <w:p>
      <w:pPr>
        <w:pStyle w:val="CodeBlock"/>
        <w:shd w:val="clear" w:color="auto" w:fill="F2F2F2"/>
      </w:pPr>
      <w:r>
        <w:t>{service_name="${__span.tags["service.name"]}"} | json | traceid="${__span.traceId}"</w:t>
      </w:r>
    </w:p>
    <w:p>
      <w:r>
        <w:t xml:space="preserve">que arma la consulta desde el span seleccionado. Deliberadamente </w:t>
      </w:r>
      <w:r>
        <w:rPr>
          <w:rFonts w:ascii="Consolas" w:hAnsi="Consolas"/>
          <w:color w:val="B03060"/>
          <w:sz w:val="20"/>
        </w:rPr>
        <w:t>trace_id</w:t>
      </w:r>
      <w:r>
        <w:t xml:space="preserve"> </w:t>
      </w:r>
      <w:r>
        <w:rPr>
          <w:b/>
        </w:rPr>
        <w:t>no</w:t>
      </w:r>
      <w:r>
        <w:t xml:space="preserve"> es un label indexado de Loki (sería alta cardinalidad — un label nuevo por cada request); se filtra con </w:t>
      </w:r>
      <w:r>
        <w:rPr>
          <w:rFonts w:ascii="Consolas" w:hAnsi="Consolas"/>
          <w:color w:val="B03060"/>
          <w:sz w:val="20"/>
        </w:rPr>
        <w:t>| json</w:t>
      </w:r>
      <w:r>
        <w:t xml:space="preserve"> sobre el cuerpo del log, que es la práctica recomendada por Grafana Labs para este patrón.</w:t>
      </w:r>
    </w:p>
    <w:p>
      <w:r>
        <w:t xml:space="preserve">Panel de Grafana Explore: buscar </w:t>
      </w:r>
      <w:r>
        <w:rPr>
          <w:rFonts w:ascii="Consolas" w:hAnsi="Consolas"/>
          <w:color w:val="B03060"/>
          <w:sz w:val="20"/>
        </w:rPr>
        <w:t>{service_name="service-a"}</w:t>
      </w:r>
      <w:r>
        <w:t xml:space="preserve"> en Loki, localizar la línea </w:t>
      </w:r>
      <w:r>
        <w:rPr>
          <w:rFonts w:ascii="Consolas" w:hAnsi="Consolas"/>
          <w:color w:val="B03060"/>
          <w:sz w:val="20"/>
        </w:rPr>
        <w:t>order_fetched</w:t>
      </w:r>
      <w:r>
        <w:t xml:space="preserve"> con </w:t>
      </w:r>
      <w:r>
        <w:rPr>
          <w:rFonts w:ascii="Consolas" w:hAnsi="Consolas"/>
          <w:color w:val="B03060"/>
          <w:sz w:val="20"/>
        </w:rPr>
        <w:t>"traceid":"556bbf3c..."</w:t>
      </w:r>
      <w:r>
        <w:t xml:space="preserve">, click en "Ver traza en Jaeger" → salta directo al flame graph de la sección 3.2. Este es el flujo que reduce el diagnóstico de horas (correlacionar logs y trazas a mano por timestamp) a minutos. Evidencia real en </w:t>
      </w:r>
      <w:r>
        <w:rPr>
          <w:rFonts w:ascii="Consolas" w:hAnsi="Consolas"/>
          <w:i/>
          <w:color w:val="2E5B9E"/>
        </w:rPr>
        <w:t>docs/screenshots/03-grafana-explore-logs-trazas-correlacion.png</w:t>
      </w:r>
      <w:r>
        <w:t xml:space="preserve">: el log </w:t>
      </w:r>
      <w:r>
        <w:rPr>
          <w:rFonts w:ascii="Consolas" w:hAnsi="Consolas"/>
          <w:color w:val="B03060"/>
          <w:sz w:val="20"/>
        </w:rPr>
        <w:t>inventory_checked</w:t>
      </w:r>
      <w:r>
        <w:t xml:space="preserve"> expandido muestra el campo </w:t>
      </w:r>
      <w:r>
        <w:rPr>
          <w:rFonts w:ascii="Consolas" w:hAnsi="Consolas"/>
          <w:color w:val="B03060"/>
          <w:sz w:val="20"/>
        </w:rPr>
        <w:t>traceid</w:t>
      </w:r>
      <w:r>
        <w:t xml:space="preserve"> y, en la sección "Links", el botón "Ver traza en Jaeger" generado por el </w:t>
      </w:r>
      <w:r>
        <w:rPr>
          <w:rFonts w:ascii="Consolas" w:hAnsi="Consolas"/>
          <w:color w:val="B03060"/>
          <w:sz w:val="20"/>
        </w:rPr>
        <w:t>derivedFields</w:t>
      </w:r>
      <w:r>
        <w:t xml:space="preserve"> del datasource.</w:t>
      </w:r>
    </w:p>
    <w:p>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3-grafana-explore-logs-trazas-correlacion.png"/>
                    <pic:cNvPicPr/>
                  </pic:nvPicPr>
                  <pic:blipFill>
                    <a:blip r:embed="rId11"/>
                    <a:stretch>
                      <a:fillRect/>
                    </a:stretch>
                  </pic:blipFill>
                  <pic:spPr>
                    <a:xfrm>
                      <a:off x="0" y="0"/>
                      <a:ext cx="5760000" cy="3600000"/>
                    </a:xfrm>
                    <a:prstGeom prst="rect"/>
                  </pic:spPr>
                </pic:pic>
              </a:graphicData>
            </a:graphic>
          </wp:inline>
        </w:drawing>
      </w:r>
    </w:p>
    <w:p>
      <w:pPr>
        <w:jc w:val="center"/>
      </w:pPr>
      <w:r>
        <w:rPr>
          <w:i/>
          <w:color w:val="606060"/>
          <w:sz w:val="18"/>
        </w:rPr>
        <w:t>03-grafana-explore-logs-trazas-correlacion.png</w:t>
      </w:r>
    </w:p>
    <w:p>
      <w:pPr>
        <w:pStyle w:val="Heading2"/>
      </w:pPr>
      <w:r>
        <w:t>5.3 Dashboard Grafana — 6 paneles</w:t>
      </w:r>
    </w:p>
    <w:p>
      <w:r>
        <w:rPr>
          <w:rFonts w:ascii="Consolas" w:hAnsi="Consolas"/>
          <w:color w:val="B03060"/>
          <w:sz w:val="20"/>
        </w:rPr>
        <w:t>observability/grafana/dashboards/otel-lab-dashboard.json</w:t>
      </w:r>
      <w:r>
        <w:t xml:space="preserve">, provisionado automáticamente en la carpeta "OTel Lab" — ver captura </w:t>
      </w:r>
      <w:r>
        <w:rPr>
          <w:rFonts w:ascii="Consolas" w:hAnsi="Consolas"/>
          <w:i/>
          <w:color w:val="2E5B9E"/>
        </w:rPr>
        <w:t>docs/screenshots/02-grafana-dashboard-6-paneles.png</w:t>
      </w:r>
      <w:r>
        <w:t xml:space="preserve"> con tráfico real: 100% disponibilidad, 0% error rate, p95 ~48ms:</w:t>
      </w:r>
    </w:p>
    <w:p>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2-grafana-dashboard-6-paneles.png"/>
                    <pic:cNvPicPr/>
                  </pic:nvPicPr>
                  <pic:blipFill>
                    <a:blip r:embed="rId12"/>
                    <a:stretch>
                      <a:fillRect/>
                    </a:stretch>
                  </pic:blipFill>
                  <pic:spPr>
                    <a:xfrm>
                      <a:off x="0" y="0"/>
                      <a:ext cx="5760000" cy="3600000"/>
                    </a:xfrm>
                    <a:prstGeom prst="rect"/>
                  </pic:spPr>
                </pic:pic>
              </a:graphicData>
            </a:graphic>
          </wp:inline>
        </w:drawing>
      </w:r>
    </w:p>
    <w:p>
      <w:pPr>
        <w:jc w:val="center"/>
      </w:pPr>
      <w:r>
        <w:rPr>
          <w:i/>
          <w:color w:val="606060"/>
          <w:sz w:val="18"/>
        </w:rPr>
        <w:t>02-grafana-dashboard-6-paneles.png</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r>
            <w:r>
              <w:rPr>
                <w:b/>
              </w:rPr>
              <w:t>#</w:t>
            </w:r>
          </w:p>
        </w:tc>
        <w:tc>
          <w:tcPr>
            <w:tcW w:type="dxa" w:w="2351"/>
          </w:tcPr>
          <w:p>
            <w:r>
              <w:rPr>
                <w:b/>
              </w:rPr>
            </w:r>
            <w:r>
              <w:rPr>
                <w:b/>
              </w:rPr>
              <w:t>Panel</w:t>
            </w:r>
          </w:p>
        </w:tc>
        <w:tc>
          <w:tcPr>
            <w:tcW w:type="dxa" w:w="2351"/>
          </w:tcPr>
          <w:p>
            <w:r>
              <w:rPr>
                <w:b/>
              </w:rPr>
            </w:r>
            <w:r>
              <w:rPr>
                <w:b/>
              </w:rPr>
              <w:t>Query Prometheus (resumida)</w:t>
            </w:r>
          </w:p>
        </w:tc>
        <w:tc>
          <w:tcPr>
            <w:tcW w:type="dxa" w:w="2351"/>
          </w:tcPr>
          <w:p>
            <w:r>
              <w:rPr>
                <w:b/>
              </w:rPr>
            </w:r>
            <w:r>
              <w:rPr>
                <w:b/>
              </w:rPr>
              <w:t>SLO</w:t>
            </w:r>
          </w:p>
        </w:tc>
      </w:tr>
      <w:tr>
        <w:tc>
          <w:tcPr>
            <w:tcW w:type="dxa" w:w="2351"/>
          </w:tcPr>
          <w:p>
            <w:r/>
            <w:r>
              <w:t>1</w:t>
            </w:r>
          </w:p>
        </w:tc>
        <w:tc>
          <w:tcPr>
            <w:tcW w:type="dxa" w:w="2351"/>
          </w:tcPr>
          <w:p>
            <w:r/>
            <w:r>
              <w:t>Disponibilidad</w:t>
            </w:r>
          </w:p>
        </w:tc>
        <w:tc>
          <w:tcPr>
            <w:tcW w:type="dxa" w:w="2351"/>
          </w:tcPr>
          <w:p>
            <w:r/>
            <w:r>
              <w:rPr>
                <w:rFonts w:ascii="Consolas" w:hAnsi="Consolas"/>
                <w:color w:val="B03060"/>
                <w:sz w:val="20"/>
              </w:rPr>
              <w:t>sum(rate(http_requests_total{status=~"2.."}[5m])) / sum(rate(http_requests_total[5m]))</w:t>
            </w:r>
          </w:p>
        </w:tc>
        <w:tc>
          <w:tcPr>
            <w:tcW w:type="dxa" w:w="2351"/>
          </w:tcPr>
          <w:p>
            <w:r/>
            <w:r>
              <w:t>≥ 99.5%</w:t>
            </w:r>
          </w:p>
        </w:tc>
      </w:tr>
      <w:tr>
        <w:tc>
          <w:tcPr>
            <w:tcW w:type="dxa" w:w="2351"/>
          </w:tcPr>
          <w:p>
            <w:r/>
            <w:r>
              <w:t>2</w:t>
            </w:r>
          </w:p>
        </w:tc>
        <w:tc>
          <w:tcPr>
            <w:tcW w:type="dxa" w:w="2351"/>
          </w:tcPr>
          <w:p>
            <w:r/>
            <w:r>
              <w:t>Latencia p95/p99</w:t>
            </w:r>
          </w:p>
        </w:tc>
        <w:tc>
          <w:tcPr>
            <w:tcW w:type="dxa" w:w="2351"/>
          </w:tcPr>
          <w:p>
            <w:r/>
            <w:r>
              <w:rPr>
                <w:rFonts w:ascii="Consolas" w:hAnsi="Consolas"/>
                <w:color w:val="B03060"/>
                <w:sz w:val="20"/>
              </w:rPr>
              <w:t>histogram_quantile(0.95, rate(http_request_duration_seconds_bucket[5m]))</w:t>
            </w:r>
          </w:p>
        </w:tc>
        <w:tc>
          <w:tcPr>
            <w:tcW w:type="dxa" w:w="2351"/>
          </w:tcPr>
          <w:p>
            <w:r/>
            <w:r>
              <w:t>&lt; 500ms</w:t>
            </w:r>
          </w:p>
        </w:tc>
      </w:tr>
      <w:tr>
        <w:tc>
          <w:tcPr>
            <w:tcW w:type="dxa" w:w="2351"/>
          </w:tcPr>
          <w:p>
            <w:r/>
            <w:r>
              <w:t>3</w:t>
            </w:r>
          </w:p>
        </w:tc>
        <w:tc>
          <w:tcPr>
            <w:tcW w:type="dxa" w:w="2351"/>
          </w:tcPr>
          <w:p>
            <w:r/>
            <w:r>
              <w:t>Error rate</w:t>
            </w:r>
          </w:p>
        </w:tc>
        <w:tc>
          <w:tcPr>
            <w:tcW w:type="dxa" w:w="2351"/>
          </w:tcPr>
          <w:p>
            <w:r/>
            <w:r>
              <w:rPr>
                <w:rFonts w:ascii="Consolas" w:hAnsi="Consolas"/>
                <w:color w:val="B03060"/>
                <w:sz w:val="20"/>
              </w:rPr>
              <w:t>sum(rate(http_requests_total{status=~"5.."}[5m])) / sum(rate(...))</w:t>
            </w:r>
          </w:p>
        </w:tc>
        <w:tc>
          <w:tcPr>
            <w:tcW w:type="dxa" w:w="2351"/>
          </w:tcPr>
          <w:p>
            <w:r/>
            <w:r>
              <w:t>≤ 0.5%</w:t>
            </w:r>
          </w:p>
        </w:tc>
      </w:tr>
      <w:tr>
        <w:tc>
          <w:tcPr>
            <w:tcW w:type="dxa" w:w="2351"/>
          </w:tcPr>
          <w:p>
            <w:r/>
            <w:r>
              <w:t>4</w:t>
            </w:r>
          </w:p>
        </w:tc>
        <w:tc>
          <w:tcPr>
            <w:tcW w:type="dxa" w:w="2351"/>
          </w:tcPr>
          <w:p>
            <w:r/>
            <w:r>
              <w:t>Throughput</w:t>
            </w:r>
          </w:p>
        </w:tc>
        <w:tc>
          <w:tcPr>
            <w:tcW w:type="dxa" w:w="2351"/>
          </w:tcPr>
          <w:p>
            <w:r/>
            <w:r>
              <w:rPr>
                <w:rFonts w:ascii="Consolas" w:hAnsi="Consolas"/>
                <w:color w:val="B03060"/>
                <w:sz w:val="20"/>
              </w:rPr>
              <w:t>sum(rate(http_requests_total[5m])) by (job)</w:t>
            </w:r>
          </w:p>
        </w:tc>
        <w:tc>
          <w:tcPr>
            <w:tcW w:type="dxa" w:w="2351"/>
          </w:tcPr>
          <w:p>
            <w:r/>
            <w:r>
              <w:t>referencial</w:t>
            </w:r>
          </w:p>
        </w:tc>
      </w:tr>
      <w:tr>
        <w:tc>
          <w:tcPr>
            <w:tcW w:type="dxa" w:w="2351"/>
          </w:tcPr>
          <w:p>
            <w:r/>
            <w:r>
              <w:t>5</w:t>
            </w:r>
          </w:p>
        </w:tc>
        <w:tc>
          <w:tcPr>
            <w:tcW w:type="dxa" w:w="2351"/>
          </w:tcPr>
          <w:p>
            <w:r/>
            <w:r>
              <w:t>CPU: apps vs. Collector</w:t>
            </w:r>
          </w:p>
        </w:tc>
        <w:tc>
          <w:tcPr>
            <w:tcW w:type="dxa" w:w="2351"/>
          </w:tcPr>
          <w:p>
            <w:r/>
            <w:r>
              <w:rPr>
                <w:rFonts w:ascii="Consolas" w:hAnsi="Consolas"/>
                <w:color w:val="B03060"/>
                <w:sz w:val="20"/>
              </w:rPr>
              <w:t>rate(process_cpu_seconds_total[5m])</w:t>
            </w:r>
            <w:r>
              <w:t xml:space="preserve"> (apps) y </w:t>
            </w:r>
            <w:r>
              <w:rPr>
                <w:rFonts w:ascii="Consolas" w:hAnsi="Consolas"/>
                <w:color w:val="B03060"/>
                <w:sz w:val="20"/>
              </w:rPr>
              <w:t>rate(otelcol_process_cpu_seconds[5m])</w:t>
            </w:r>
            <w:r>
              <w:t xml:space="preserve"> (Collector)</w:t>
            </w:r>
          </w:p>
        </w:tc>
        <w:tc>
          <w:tcPr>
            <w:tcW w:type="dxa" w:w="2351"/>
          </w:tcPr>
          <w:p>
            <w:r/>
            <w:r>
              <w:t>overhead &lt; 5%</w:t>
            </w:r>
          </w:p>
        </w:tc>
      </w:tr>
      <w:tr>
        <w:tc>
          <w:tcPr>
            <w:tcW w:type="dxa" w:w="2351"/>
          </w:tcPr>
          <w:p>
            <w:r/>
            <w:r>
              <w:t>6</w:t>
            </w:r>
          </w:p>
        </w:tc>
        <w:tc>
          <w:tcPr>
            <w:tcW w:type="dxa" w:w="2351"/>
          </w:tcPr>
          <w:p>
            <w:r/>
            <w:r>
              <w:t>Salud del Collector</w:t>
            </w:r>
          </w:p>
        </w:tc>
        <w:tc>
          <w:tcPr>
            <w:tcW w:type="dxa" w:w="2351"/>
          </w:tcPr>
          <w:p>
            <w:r/>
            <w:r>
              <w:rPr>
                <w:rFonts w:ascii="Consolas" w:hAnsi="Consolas"/>
                <w:color w:val="B03060"/>
                <w:sz w:val="20"/>
              </w:rPr>
              <w:t>rate(otelcol_exporter_sent_spans[5m])</w:t>
            </w:r>
            <w:r>
              <w:t xml:space="preserve"> vs. </w:t>
            </w:r>
            <w:r>
              <w:rPr>
                <w:rFonts w:ascii="Consolas" w:hAnsi="Consolas"/>
                <w:color w:val="B03060"/>
                <w:sz w:val="20"/>
              </w:rPr>
              <w:t>rate(otelcol_exporter_send_failed_spans[5m])</w:t>
            </w:r>
          </w:p>
        </w:tc>
        <w:tc>
          <w:tcPr>
            <w:tcW w:type="dxa" w:w="2351"/>
          </w:tcPr>
          <w:p>
            <w:r/>
            <w:r>
              <w:t>0 rechazados</w:t>
            </w:r>
          </w:p>
        </w:tc>
      </w:tr>
    </w:tbl>
    <w:p/>
    <w:p>
      <w:r>
        <w:t xml:space="preserve">Nota de implementación: las métricas de auto-telemetría del Collector (Go) usan nombres </w:t>
      </w:r>
      <w:r>
        <w:rPr>
          <w:b/>
        </w:rPr>
        <w:t>sin</w:t>
      </w:r>
      <w:r>
        <w:t xml:space="preserve"> el sufijo </w:t>
      </w:r>
      <w:r>
        <w:rPr>
          <w:rFonts w:ascii="Consolas" w:hAnsi="Consolas"/>
          <w:color w:val="B03060"/>
          <w:sz w:val="20"/>
        </w:rPr>
        <w:t>_total</w:t>
      </w:r>
      <w:r>
        <w:t xml:space="preserve"> que sí llevan las métricas de </w:t>
      </w:r>
      <w:r>
        <w:rPr>
          <w:rFonts w:ascii="Consolas" w:hAnsi="Consolas"/>
          <w:color w:val="B03060"/>
          <w:sz w:val="20"/>
        </w:rPr>
        <w:t>prometheus_client</w:t>
      </w:r>
      <w:r>
        <w:t xml:space="preserve"> (Python) — p. ej. </w:t>
      </w:r>
      <w:r>
        <w:rPr>
          <w:rFonts w:ascii="Consolas" w:hAnsi="Consolas"/>
          <w:color w:val="B03060"/>
          <w:sz w:val="20"/>
        </w:rPr>
        <w:t>otelcol_exporter_sent_spans</w:t>
      </w:r>
      <w:r>
        <w:t xml:space="preserve">, no </w:t>
      </w:r>
      <w:r>
        <w:rPr>
          <w:rFonts w:ascii="Consolas" w:hAnsi="Consolas"/>
          <w:color w:val="B03060"/>
          <w:sz w:val="20"/>
        </w:rPr>
        <w:t>otelcol_exporter_sent_spans_total</w:t>
      </w:r>
      <w:r>
        <w:t xml:space="preserve">. Se detectó inspeccionando </w:t>
      </w:r>
      <w:r>
        <w:rPr>
          <w:rFonts w:ascii="Consolas" w:hAnsi="Consolas"/>
          <w:color w:val="B03060"/>
          <w:sz w:val="20"/>
        </w:rPr>
        <w:t>http://localhost:8888/metrics</w:t>
      </w:r>
      <w:r>
        <w:t xml:space="preserve"> directamente; los paneles 5 y 6 usan los nombres reales verificados, no los que aparecen (incorrectos) en varias guías de referencia.</w:t>
      </w:r>
    </w:p>
    <w:p>
      <w:pPr>
        <w:pStyle w:val="Heading1"/>
      </w:pPr>
      <w:r>
        <w:t>6. Fase 4 — Análisis de overhead</w:t>
      </w:r>
    </w:p>
    <w:p>
      <w:pPr>
        <w:pStyle w:val="Heading2"/>
      </w:pPr>
      <w:r>
        <w:t>6.1 Método</w:t>
      </w:r>
    </w:p>
    <w:p>
      <w:r>
        <w:t xml:space="preserve">Se implementó un baseline real, no solo "apagar el Collector". La variable de entorno </w:t>
      </w:r>
      <w:r>
        <w:rPr>
          <w:rFonts w:ascii="Consolas" w:hAnsi="Consolas"/>
          <w:color w:val="B03060"/>
          <w:sz w:val="20"/>
        </w:rPr>
        <w:t>OTEL_SDK_DISABLED=true</w:t>
      </w:r>
      <w:r>
        <w:t xml:space="preserve"> (</w:t>
      </w:r>
      <w:r>
        <w:rPr>
          <w:rFonts w:ascii="Consolas" w:hAnsi="Consolas"/>
          <w:color w:val="B03060"/>
          <w:sz w:val="20"/>
        </w:rPr>
        <w:t>services/*/app/telemetry.py</w:t>
      </w:r>
      <w:r>
        <w:t xml:space="preserve">) hace que el proceso </w:t>
      </w:r>
      <w:r>
        <w:rPr>
          <w:b/>
        </w:rPr>
        <w:t>no registre</w:t>
      </w:r>
      <w:r>
        <w:t xml:space="preserve"> ningún </w:t>
      </w:r>
      <w:r>
        <w:rPr>
          <w:rFonts w:ascii="Consolas" w:hAnsi="Consolas"/>
          <w:color w:val="B03060"/>
          <w:sz w:val="20"/>
        </w:rPr>
        <w:t>TracerProvider</w:t>
      </w:r>
      <w:r>
        <w:t>/</w:t>
      </w:r>
      <w:r>
        <w:rPr>
          <w:rFonts w:ascii="Consolas" w:hAnsi="Consolas"/>
          <w:color w:val="B03060"/>
          <w:sz w:val="20"/>
        </w:rPr>
        <w:t>MeterProvider</w:t>
      </w:r>
      <w:r>
        <w:t xml:space="preserve"> ni instrumente ninguna librería. Como </w:t>
      </w:r>
      <w:r>
        <w:rPr>
          <w:rFonts w:ascii="Consolas" w:hAnsi="Consolas"/>
          <w:color w:val="B03060"/>
          <w:sz w:val="20"/>
        </w:rPr>
        <w:t>trace.get_tracer()</w:t>
      </w:r>
      <w:r>
        <w:t xml:space="preserve"> y </w:t>
      </w:r>
      <w:r>
        <w:rPr>
          <w:rFonts w:ascii="Consolas" w:hAnsi="Consolas"/>
          <w:color w:val="B03060"/>
          <w:sz w:val="20"/>
        </w:rPr>
        <w:t>metrics.get_meter()</w:t>
      </w:r>
      <w:r>
        <w:t xml:space="preserve"> de la API de OTel devuelven implementaciones </w:t>
      </w:r>
      <w:r>
        <w:rPr>
          <w:i/>
        </w:rPr>
        <w:t>no-op</w:t>
      </w:r>
      <w:r>
        <w:t xml:space="preserve"> cuando no hay un provider registrado, el código de negocio (los </w:t>
      </w:r>
      <w:r>
        <w:rPr>
          <w:rFonts w:ascii="Consolas" w:hAnsi="Consolas"/>
          <w:color w:val="B03060"/>
          <w:sz w:val="20"/>
        </w:rPr>
        <w:t>with tracer.start_as_current_span(...)</w:t>
      </w:r>
      <w:r>
        <w:t xml:space="preserve"> de </w:t>
      </w:r>
      <w:r>
        <w:rPr>
          <w:rFonts w:ascii="Consolas" w:hAnsi="Consolas"/>
          <w:color w:val="B03060"/>
          <w:sz w:val="20"/>
        </w:rPr>
        <w:t>main.py</w:t>
      </w:r>
      <w:r>
        <w:t>) se ejecuta sin cambios, pero sin crear spans, sin instrumentación automática y sin exportar nada. Esto sí mide el costo real del SDK, a diferencia de solo detener el Collector (que dejaría intacto el costo de creación/serialización de spans en el proceso, solo fallaría el envío por red).</w:t>
      </w:r>
    </w:p>
    <w:p>
      <w:pPr>
        <w:pStyle w:val="CodeBlock"/>
        <w:shd w:val="clear" w:color="auto" w:fill="F2F2F2"/>
      </w:pPr>
      <w:r>
        <w:t># Con OTel SDK</w:t>
        <w:br/>
        <w:t>docker compose up -d --force-recreate service-a service-b</w:t>
        <w:br/>
        <w:br/>
        <w:t># Baseline (SDK desactivado vía overlay)</w:t>
        <w:br/>
        <w:t>docker compose -f docker-compose.yaml -f docker-compose.baseline.yml \</w:t>
        <w:br/>
        <w:t xml:space="preserve">  up -d --force-recreate service-a service-b</w:t>
      </w:r>
    </w:p>
    <w:p>
      <w:r>
        <w:t>Carga: k6 (</w:t>
      </w:r>
      <w:r>
        <w:rPr>
          <w:rFonts w:ascii="Consolas" w:hAnsi="Consolas"/>
          <w:color w:val="B03060"/>
          <w:sz w:val="20"/>
        </w:rPr>
        <w:t>benchmark/k6-load-test.js</w:t>
      </w:r>
      <w:r>
        <w:t xml:space="preserve">), 60 VUs constantes durante 5 minutos contra </w:t>
      </w:r>
      <w:r>
        <w:rPr>
          <w:rFonts w:ascii="Consolas" w:hAnsi="Consolas"/>
          <w:color w:val="B03060"/>
          <w:sz w:val="20"/>
        </w:rPr>
        <w:t>GET /orders/{id}</w:t>
      </w:r>
      <w:r>
        <w:t xml:space="preserve"> (recorre ambos servicios y ambas consultas a PostgreSQL), tras 20s de </w:t>
      </w:r>
      <w:r>
        <w:rPr>
          <w:i/>
        </w:rPr>
        <w:t>warm-up</w:t>
      </w:r>
      <w:r>
        <w:t>.</w:t>
      </w:r>
    </w:p>
    <w:p>
      <w:pPr>
        <w:pStyle w:val="Heading2"/>
      </w:pPr>
      <w:r>
        <w:t>6.2 Resultados reales</w:t>
      </w:r>
    </w:p>
    <w:p>
      <w:r>
        <w:t>Ejecutado el 2026-08-06 contra el stack local (Docker Desktop, host compartido con otros contenedores — ver limitaciones en 6.4):</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r>
            <w:r>
              <w:rPr>
                <w:b/>
              </w:rPr>
              <w:t>Métrica</w:t>
            </w:r>
          </w:p>
        </w:tc>
        <w:tc>
          <w:tcPr>
            <w:tcW w:type="dxa" w:w="2351"/>
          </w:tcPr>
          <w:p>
            <w:r>
              <w:rPr>
                <w:b/>
              </w:rPr>
            </w:r>
            <w:r>
              <w:rPr>
                <w:b/>
              </w:rPr>
              <w:t>Sin OTel (baseline)</w:t>
            </w:r>
          </w:p>
        </w:tc>
        <w:tc>
          <w:tcPr>
            <w:tcW w:type="dxa" w:w="2351"/>
          </w:tcPr>
          <w:p>
            <w:r>
              <w:rPr>
                <w:b/>
              </w:rPr>
            </w:r>
            <w:r>
              <w:rPr>
                <w:b/>
              </w:rPr>
              <w:t>Con OTel SDK</w:t>
            </w:r>
          </w:p>
        </w:tc>
        <w:tc>
          <w:tcPr>
            <w:tcW w:type="dxa" w:w="2351"/>
          </w:tcPr>
          <w:p>
            <w:r>
              <w:rPr>
                <w:b/>
              </w:rPr>
            </w:r>
            <w:r>
              <w:rPr>
                <w:b/>
              </w:rPr>
              <w:t>Overhead</w:t>
            </w:r>
          </w:p>
        </w:tc>
      </w:tr>
      <w:tr>
        <w:tc>
          <w:tcPr>
            <w:tcW w:type="dxa" w:w="2351"/>
          </w:tcPr>
          <w:p>
            <w:r/>
            <w:r>
              <w:t>Latencia promedio</w:t>
            </w:r>
          </w:p>
        </w:tc>
        <w:tc>
          <w:tcPr>
            <w:tcW w:type="dxa" w:w="2351"/>
          </w:tcPr>
          <w:p>
            <w:r/>
            <w:r>
              <w:t>1059.92 ms</w:t>
            </w:r>
          </w:p>
        </w:tc>
        <w:tc>
          <w:tcPr>
            <w:tcW w:type="dxa" w:w="2351"/>
          </w:tcPr>
          <w:p>
            <w:r/>
            <w:r>
              <w:t>1212.87 ms</w:t>
            </w:r>
          </w:p>
        </w:tc>
        <w:tc>
          <w:tcPr>
            <w:tcW w:type="dxa" w:w="2351"/>
          </w:tcPr>
          <w:p>
            <w:r/>
            <w:r>
              <w:t>+14.4%</w:t>
            </w:r>
          </w:p>
        </w:tc>
      </w:tr>
      <w:tr>
        <w:tc>
          <w:tcPr>
            <w:tcW w:type="dxa" w:w="2351"/>
          </w:tcPr>
          <w:p>
            <w:r/>
            <w:r>
              <w:t>Latencia p95</w:t>
            </w:r>
          </w:p>
        </w:tc>
        <w:tc>
          <w:tcPr>
            <w:tcW w:type="dxa" w:w="2351"/>
          </w:tcPr>
          <w:p>
            <w:r/>
            <w:r>
              <w:t>1290.05 ms</w:t>
            </w:r>
          </w:p>
        </w:tc>
        <w:tc>
          <w:tcPr>
            <w:tcW w:type="dxa" w:w="2351"/>
          </w:tcPr>
          <w:p>
            <w:r/>
            <w:r>
              <w:t>1607.40 ms</w:t>
            </w:r>
          </w:p>
        </w:tc>
        <w:tc>
          <w:tcPr>
            <w:tcW w:type="dxa" w:w="2351"/>
          </w:tcPr>
          <w:p>
            <w:r/>
            <w:r>
              <w:t>+24.6%</w:t>
            </w:r>
          </w:p>
        </w:tc>
      </w:tr>
      <w:tr>
        <w:tc>
          <w:tcPr>
            <w:tcW w:type="dxa" w:w="2351"/>
          </w:tcPr>
          <w:p>
            <w:r/>
            <w:r>
              <w:t>Latencia p99</w:t>
            </w:r>
          </w:p>
        </w:tc>
        <w:tc>
          <w:tcPr>
            <w:tcW w:type="dxa" w:w="2351"/>
          </w:tcPr>
          <w:p>
            <w:r/>
            <w:r>
              <w:t>1399.94 ms</w:t>
            </w:r>
          </w:p>
        </w:tc>
        <w:tc>
          <w:tcPr>
            <w:tcW w:type="dxa" w:w="2351"/>
          </w:tcPr>
          <w:p>
            <w:r/>
            <w:r>
              <w:t>1918.36 ms</w:t>
            </w:r>
          </w:p>
        </w:tc>
        <w:tc>
          <w:tcPr>
            <w:tcW w:type="dxa" w:w="2351"/>
          </w:tcPr>
          <w:p>
            <w:r/>
            <w:r>
              <w:t>+37.0%</w:t>
            </w:r>
          </w:p>
        </w:tc>
      </w:tr>
      <w:tr>
        <w:tc>
          <w:tcPr>
            <w:tcW w:type="dxa" w:w="2351"/>
          </w:tcPr>
          <w:p>
            <w:r/>
            <w:r>
              <w:t>Error rate</w:t>
            </w:r>
          </w:p>
        </w:tc>
        <w:tc>
          <w:tcPr>
            <w:tcW w:type="dxa" w:w="2351"/>
          </w:tcPr>
          <w:p>
            <w:r/>
            <w:r>
              <w:t>0.00%</w:t>
            </w:r>
          </w:p>
        </w:tc>
        <w:tc>
          <w:tcPr>
            <w:tcW w:type="dxa" w:w="2351"/>
          </w:tcPr>
          <w:p>
            <w:r/>
            <w:r>
              <w:t>0.00%</w:t>
            </w:r>
          </w:p>
        </w:tc>
        <w:tc>
          <w:tcPr>
            <w:tcW w:type="dxa" w:w="2351"/>
          </w:tcPr>
          <w:p>
            <w:r/>
            <w:r>
              <w:t>+0.0%</w:t>
            </w:r>
          </w:p>
        </w:tc>
      </w:tr>
      <w:tr>
        <w:tc>
          <w:tcPr>
            <w:tcW w:type="dxa" w:w="2351"/>
          </w:tcPr>
          <w:p>
            <w:r/>
            <w:r>
              <w:t>Throughput</w:t>
            </w:r>
          </w:p>
        </w:tc>
        <w:tc>
          <w:tcPr>
            <w:tcW w:type="dxa" w:w="2351"/>
          </w:tcPr>
          <w:p>
            <w:r/>
            <w:r>
              <w:t>43.39 req/s</w:t>
            </w:r>
          </w:p>
        </w:tc>
        <w:tc>
          <w:tcPr>
            <w:tcW w:type="dxa" w:w="2351"/>
          </w:tcPr>
          <w:p>
            <w:r/>
            <w:r>
              <w:t>38.84 req/s</w:t>
            </w:r>
          </w:p>
        </w:tc>
        <w:tc>
          <w:tcPr>
            <w:tcW w:type="dxa" w:w="2351"/>
          </w:tcPr>
          <w:p>
            <w:r/>
            <w:r>
              <w:t>-10.5%</w:t>
            </w:r>
          </w:p>
        </w:tc>
      </w:tr>
    </w:tbl>
    <w:p/>
    <w:p>
      <w:r>
        <w:t xml:space="preserve">Latencia adicional en p99: </w:t>
      </w:r>
      <w:r>
        <w:rPr>
          <w:b/>
        </w:rPr>
        <w:t>+518.42 ms (+37.0%)</w:t>
      </w:r>
      <w:r>
        <w:t xml:space="preserve">. Total de requests: 13 902 (baseline) y 12 463 (con OTel) en sus respectivas ventanas de 5 minutos — ver gráfico </w:t>
      </w:r>
      <w:r>
        <w:rPr>
          <w:rFonts w:ascii="Consolas" w:hAnsi="Consolas"/>
          <w:i/>
          <w:color w:val="2E5B9E"/>
        </w:rPr>
        <w:t>docs/charts/01_latencia_baseline_vs_otel.png</w:t>
      </w:r>
      <w:r>
        <w:t>.</w:t>
      </w:r>
    </w:p>
    <w:p>
      <w:r>
        <w:drawing>
          <wp:inline xmlns:a="http://schemas.openxmlformats.org/drawingml/2006/main" xmlns:pic="http://schemas.openxmlformats.org/drawingml/2006/picture">
            <wp:extent cx="5760000" cy="3631304"/>
            <wp:docPr id="5" name="Picture 5"/>
            <wp:cNvGraphicFramePr>
              <a:graphicFrameLocks noChangeAspect="1"/>
            </wp:cNvGraphicFramePr>
            <a:graphic>
              <a:graphicData uri="http://schemas.openxmlformats.org/drawingml/2006/picture">
                <pic:pic>
                  <pic:nvPicPr>
                    <pic:cNvPr id="0" name="01_latencia_baseline_vs_otel.png"/>
                    <pic:cNvPicPr/>
                  </pic:nvPicPr>
                  <pic:blipFill>
                    <a:blip r:embed="rId13"/>
                    <a:stretch>
                      <a:fillRect/>
                    </a:stretch>
                  </pic:blipFill>
                  <pic:spPr>
                    <a:xfrm>
                      <a:off x="0" y="0"/>
                      <a:ext cx="5760000" cy="3631304"/>
                    </a:xfrm>
                    <a:prstGeom prst="rect"/>
                  </pic:spPr>
                </pic:pic>
              </a:graphicData>
            </a:graphic>
          </wp:inline>
        </w:drawing>
      </w:r>
    </w:p>
    <w:p>
      <w:pPr>
        <w:jc w:val="center"/>
      </w:pPr>
      <w:r>
        <w:rPr>
          <w:i/>
          <w:color w:val="606060"/>
          <w:sz w:val="18"/>
        </w:rPr>
        <w:t>01_latencia_baseline_vs_otel.png</w:t>
      </w:r>
    </w:p>
    <w:p>
      <w:r>
        <w:t xml:space="preserve">Throughput: -10.5% con OTel, consistente con la cola de requests generada por el bloqueo del event loop (ver 6.3) — ver gráfico </w:t>
      </w:r>
      <w:r>
        <w:rPr>
          <w:rFonts w:ascii="Consolas" w:hAnsi="Consolas"/>
          <w:i/>
          <w:color w:val="2E5B9E"/>
        </w:rPr>
        <w:t>docs/charts/02_throughput_baseline_vs_otel.png</w:t>
      </w:r>
      <w:r>
        <w:t>.</w:t>
      </w:r>
    </w:p>
    <w:p>
      <w:r>
        <w:drawing>
          <wp:inline xmlns:a="http://schemas.openxmlformats.org/drawingml/2006/main" xmlns:pic="http://schemas.openxmlformats.org/drawingml/2006/picture">
            <wp:extent cx="5760000" cy="4772571"/>
            <wp:docPr id="6" name="Picture 6"/>
            <wp:cNvGraphicFramePr>
              <a:graphicFrameLocks noChangeAspect="1"/>
            </wp:cNvGraphicFramePr>
            <a:graphic>
              <a:graphicData uri="http://schemas.openxmlformats.org/drawingml/2006/picture">
                <pic:pic>
                  <pic:nvPicPr>
                    <pic:cNvPr id="0" name="02_throughput_baseline_vs_otel.png"/>
                    <pic:cNvPicPr/>
                  </pic:nvPicPr>
                  <pic:blipFill>
                    <a:blip r:embed="rId14"/>
                    <a:stretch>
                      <a:fillRect/>
                    </a:stretch>
                  </pic:blipFill>
                  <pic:spPr>
                    <a:xfrm>
                      <a:off x="0" y="0"/>
                      <a:ext cx="5760000" cy="4772571"/>
                    </a:xfrm>
                    <a:prstGeom prst="rect"/>
                  </pic:spPr>
                </pic:pic>
              </a:graphicData>
            </a:graphic>
          </wp:inline>
        </w:drawing>
      </w:r>
    </w:p>
    <w:p>
      <w:pPr>
        <w:jc w:val="center"/>
      </w:pPr>
      <w:r>
        <w:rPr>
          <w:i/>
          <w:color w:val="606060"/>
          <w:sz w:val="18"/>
        </w:rPr>
        <w:t>02_throughput_baseline_vs_otel.png</w:t>
      </w:r>
    </w:p>
    <w:p>
      <w:r>
        <w:t xml:space="preserve">Memoria RSS por contenedor (muestreada con </w:t>
      </w:r>
      <w:r>
        <w:rPr>
          <w:rFonts w:ascii="Consolas" w:hAnsi="Consolas"/>
          <w:color w:val="B03060"/>
          <w:sz w:val="20"/>
        </w:rPr>
        <w:t>docker stats</w:t>
      </w:r>
      <w:r>
        <w:t xml:space="preserve"> durante ráfagas cortas de carga, contenedor recién reiniciado en ambos casos para que la comparación parta del mismo estado):</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r>
            <w:r>
              <w:rPr>
                <w:b/>
              </w:rPr>
              <w:t>Proceso</w:t>
            </w:r>
          </w:p>
        </w:tc>
        <w:tc>
          <w:tcPr>
            <w:tcW w:type="dxa" w:w="2351"/>
          </w:tcPr>
          <w:p>
            <w:r>
              <w:rPr>
                <w:b/>
              </w:rPr>
            </w:r>
            <w:r>
              <w:rPr>
                <w:b/>
              </w:rPr>
              <w:t>Sin OTel</w:t>
            </w:r>
          </w:p>
        </w:tc>
        <w:tc>
          <w:tcPr>
            <w:tcW w:type="dxa" w:w="2351"/>
          </w:tcPr>
          <w:p>
            <w:r>
              <w:rPr>
                <w:b/>
              </w:rPr>
            </w:r>
            <w:r>
              <w:rPr>
                <w:b/>
              </w:rPr>
              <w:t>Con OTel</w:t>
            </w:r>
          </w:p>
        </w:tc>
        <w:tc>
          <w:tcPr>
            <w:tcW w:type="dxa" w:w="2351"/>
          </w:tcPr>
          <w:p>
            <w:r>
              <w:rPr>
                <w:b/>
              </w:rPr>
            </w:r>
            <w:r>
              <w:rPr>
                <w:b/>
              </w:rPr>
              <w:t>Overhead</w:t>
            </w:r>
          </w:p>
        </w:tc>
      </w:tr>
      <w:tr>
        <w:tc>
          <w:tcPr>
            <w:tcW w:type="dxa" w:w="2351"/>
          </w:tcPr>
          <w:p>
            <w:r/>
            <w:r>
              <w:rPr>
                <w:rFonts w:ascii="Consolas" w:hAnsi="Consolas"/>
                <w:color w:val="B03060"/>
                <w:sz w:val="20"/>
              </w:rPr>
              <w:t>service-a</w:t>
            </w:r>
          </w:p>
        </w:tc>
        <w:tc>
          <w:tcPr>
            <w:tcW w:type="dxa" w:w="2351"/>
          </w:tcPr>
          <w:p>
            <w:r/>
            <w:r>
              <w:t>≈ 63 MB</w:t>
            </w:r>
          </w:p>
        </w:tc>
        <w:tc>
          <w:tcPr>
            <w:tcW w:type="dxa" w:w="2351"/>
          </w:tcPr>
          <w:p>
            <w:r/>
            <w:r>
              <w:t>≈ 67 MB</w:t>
            </w:r>
          </w:p>
        </w:tc>
        <w:tc>
          <w:tcPr>
            <w:tcW w:type="dxa" w:w="2351"/>
          </w:tcPr>
          <w:p>
            <w:r/>
            <w:r>
              <w:t>≈ +6.5%</w:t>
            </w:r>
          </w:p>
        </w:tc>
      </w:tr>
      <w:tr>
        <w:tc>
          <w:tcPr>
            <w:tcW w:type="dxa" w:w="2351"/>
          </w:tcPr>
          <w:p>
            <w:r/>
            <w:r>
              <w:rPr>
                <w:rFonts w:ascii="Consolas" w:hAnsi="Consolas"/>
                <w:color w:val="B03060"/>
                <w:sz w:val="20"/>
              </w:rPr>
              <w:t>service-b</w:t>
            </w:r>
          </w:p>
        </w:tc>
        <w:tc>
          <w:tcPr>
            <w:tcW w:type="dxa" w:w="2351"/>
          </w:tcPr>
          <w:p>
            <w:r/>
            <w:r>
              <w:t>≈ 51 MB</w:t>
            </w:r>
          </w:p>
        </w:tc>
        <w:tc>
          <w:tcPr>
            <w:tcW w:type="dxa" w:w="2351"/>
          </w:tcPr>
          <w:p>
            <w:r/>
            <w:r>
              <w:t>≈ 58 MB</w:t>
            </w:r>
          </w:p>
        </w:tc>
        <w:tc>
          <w:tcPr>
            <w:tcW w:type="dxa" w:w="2351"/>
          </w:tcPr>
          <w:p>
            <w:r/>
            <w:r>
              <w:t>≈ +12.5%</w:t>
            </w:r>
          </w:p>
        </w:tc>
      </w:tr>
      <w:tr>
        <w:tc>
          <w:tcPr>
            <w:tcW w:type="dxa" w:w="2351"/>
          </w:tcPr>
          <w:p>
            <w:r/>
            <w:r>
              <w:rPr>
                <w:rFonts w:ascii="Consolas" w:hAnsi="Consolas"/>
                <w:color w:val="B03060"/>
                <w:sz w:val="20"/>
              </w:rPr>
              <w:t>otel-collector</w:t>
            </w:r>
          </w:p>
        </w:tc>
        <w:tc>
          <w:tcPr>
            <w:tcW w:type="dxa" w:w="2351"/>
          </w:tcPr>
          <w:p>
            <w:r/>
            <w:r>
              <w:t>— (no existe en baseline)</w:t>
            </w:r>
          </w:p>
        </w:tc>
        <w:tc>
          <w:tcPr>
            <w:tcW w:type="dxa" w:w="2351"/>
          </w:tcPr>
          <w:p>
            <w:r/>
            <w:r>
              <w:t>≈ 70 MB</w:t>
            </w:r>
          </w:p>
        </w:tc>
        <w:tc>
          <w:tcPr>
            <w:tcW w:type="dxa" w:w="2351"/>
          </w:tcPr>
          <w:p>
            <w:r/>
            <w:r>
              <w:t>proceso adicional</w:t>
            </w:r>
          </w:p>
        </w:tc>
      </w:tr>
    </w:tbl>
    <w:p/>
    <w:p>
      <w:r>
        <w:t xml:space="preserve">Ver gráfico </w:t>
      </w:r>
      <w:r>
        <w:rPr>
          <w:rFonts w:ascii="Consolas" w:hAnsi="Consolas"/>
          <w:i/>
          <w:color w:val="2E5B9E"/>
        </w:rPr>
        <w:t>docs/charts/03_memoria_rss_baseline_vs_otel.png</w:t>
      </w:r>
      <w:r>
        <w:t>.</w:t>
      </w:r>
    </w:p>
    <w:p>
      <w:r>
        <w:drawing>
          <wp:inline xmlns:a="http://schemas.openxmlformats.org/drawingml/2006/main" xmlns:pic="http://schemas.openxmlformats.org/drawingml/2006/picture">
            <wp:extent cx="5760000" cy="3631304"/>
            <wp:docPr id="7" name="Picture 7"/>
            <wp:cNvGraphicFramePr>
              <a:graphicFrameLocks noChangeAspect="1"/>
            </wp:cNvGraphicFramePr>
            <a:graphic>
              <a:graphicData uri="http://schemas.openxmlformats.org/drawingml/2006/picture">
                <pic:pic>
                  <pic:nvPicPr>
                    <pic:cNvPr id="0" name="03_memoria_rss_baseline_vs_otel.png"/>
                    <pic:cNvPicPr/>
                  </pic:nvPicPr>
                  <pic:blipFill>
                    <a:blip r:embed="rId15"/>
                    <a:stretch>
                      <a:fillRect/>
                    </a:stretch>
                  </pic:blipFill>
                  <pic:spPr>
                    <a:xfrm>
                      <a:off x="0" y="0"/>
                      <a:ext cx="5760000" cy="3631304"/>
                    </a:xfrm>
                    <a:prstGeom prst="rect"/>
                  </pic:spPr>
                </pic:pic>
              </a:graphicData>
            </a:graphic>
          </wp:inline>
        </w:drawing>
      </w:r>
    </w:p>
    <w:p>
      <w:pPr>
        <w:jc w:val="center"/>
      </w:pPr>
      <w:r>
        <w:rPr>
          <w:i/>
          <w:color w:val="606060"/>
          <w:sz w:val="18"/>
        </w:rPr>
        <w:t>03_memoria_rss_baseline_vs_otel.png</w:t>
      </w:r>
    </w:p>
    <w:p>
      <w:r>
        <w:t xml:space="preserve">CPU promedio por contenedor, muestreado con </w:t>
      </w:r>
      <w:r>
        <w:rPr>
          <w:rFonts w:ascii="Consolas" w:hAnsi="Consolas"/>
          <w:color w:val="B03060"/>
          <w:sz w:val="20"/>
        </w:rPr>
        <w:t>docker stats --no-stream</w:t>
      </w:r>
      <w:r>
        <w:t xml:space="preserve"> cada ~1-2s durante toda la ventana de carga (60 VUs, 5 min) y promediado sobre todas las muestras — no un snapshot puntual como en un intento anterior, que había resultado con demasiado ruido (variaba 15-38% entre muestras de 2s sin dirección consistente) para reportarse como cifra confiable: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r>
            <w:r>
              <w:rPr>
                <w:b/>
              </w:rPr>
              <w:t>Contenedor</w:t>
            </w:r>
          </w:p>
        </w:tc>
        <w:tc>
          <w:tcPr>
            <w:tcW w:type="dxa" w:w="2351"/>
          </w:tcPr>
          <w:p>
            <w:r>
              <w:rPr>
                <w:b/>
              </w:rPr>
            </w:r>
            <w:r>
              <w:rPr>
                <w:b/>
              </w:rPr>
              <w:t>Sin OTel (baseline)</w:t>
            </w:r>
          </w:p>
        </w:tc>
        <w:tc>
          <w:tcPr>
            <w:tcW w:type="dxa" w:w="2351"/>
          </w:tcPr>
          <w:p>
            <w:r>
              <w:rPr>
                <w:b/>
              </w:rPr>
            </w:r>
            <w:r>
              <w:rPr>
                <w:b/>
              </w:rPr>
              <w:t>Con OTel SDK</w:t>
            </w:r>
          </w:p>
        </w:tc>
        <w:tc>
          <w:tcPr>
            <w:tcW w:type="dxa" w:w="2351"/>
          </w:tcPr>
          <w:p>
            <w:r>
              <w:rPr>
                <w:b/>
              </w:rPr>
            </w:r>
            <w:r>
              <w:rPr>
                <w:b/>
              </w:rPr>
              <w:t>Overhead</w:t>
            </w:r>
          </w:p>
        </w:tc>
      </w:tr>
      <w:tr>
        <w:tc>
          <w:tcPr>
            <w:tcW w:type="dxa" w:w="2351"/>
          </w:tcPr>
          <w:p>
            <w:r/>
            <w:r>
              <w:rPr>
                <w:rFonts w:ascii="Consolas" w:hAnsi="Consolas"/>
                <w:color w:val="B03060"/>
                <w:sz w:val="20"/>
              </w:rPr>
              <w:t>service-a</w:t>
            </w:r>
          </w:p>
        </w:tc>
        <w:tc>
          <w:tcPr>
            <w:tcW w:type="dxa" w:w="2351"/>
          </w:tcPr>
          <w:p>
            <w:r/>
            <w:r>
              <w:t>56.92%</w:t>
            </w:r>
          </w:p>
        </w:tc>
        <w:tc>
          <w:tcPr>
            <w:tcW w:type="dxa" w:w="2351"/>
          </w:tcPr>
          <w:p>
            <w:r/>
            <w:r>
              <w:t>60.45%</w:t>
            </w:r>
          </w:p>
        </w:tc>
        <w:tc>
          <w:tcPr>
            <w:tcW w:type="dxa" w:w="2351"/>
          </w:tcPr>
          <w:p>
            <w:r/>
            <w:r>
              <w:t>+3.53 pp (+6.2%)</w:t>
            </w:r>
          </w:p>
        </w:tc>
      </w:tr>
      <w:tr>
        <w:tc>
          <w:tcPr>
            <w:tcW w:type="dxa" w:w="2351"/>
          </w:tcPr>
          <w:p>
            <w:r/>
            <w:r>
              <w:rPr>
                <w:rFonts w:ascii="Consolas" w:hAnsi="Consolas"/>
                <w:color w:val="B03060"/>
                <w:sz w:val="20"/>
              </w:rPr>
              <w:t>service-b</w:t>
            </w:r>
          </w:p>
        </w:tc>
        <w:tc>
          <w:tcPr>
            <w:tcW w:type="dxa" w:w="2351"/>
          </w:tcPr>
          <w:p>
            <w:r/>
            <w:r>
              <w:t>3.48%</w:t>
            </w:r>
          </w:p>
        </w:tc>
        <w:tc>
          <w:tcPr>
            <w:tcW w:type="dxa" w:w="2351"/>
          </w:tcPr>
          <w:p>
            <w:r/>
            <w:r>
              <w:t>6.59%</w:t>
            </w:r>
          </w:p>
        </w:tc>
        <w:tc>
          <w:tcPr>
            <w:tcW w:type="dxa" w:w="2351"/>
          </w:tcPr>
          <w:p>
            <w:r/>
            <w:r>
              <w:t>+3.11 pp (+89.5%)</w:t>
            </w:r>
          </w:p>
        </w:tc>
      </w:tr>
      <w:tr>
        <w:tc>
          <w:tcPr>
            <w:tcW w:type="dxa" w:w="2351"/>
          </w:tcPr>
          <w:p>
            <w:r/>
            <w:r>
              <w:rPr>
                <w:rFonts w:ascii="Consolas" w:hAnsi="Consolas"/>
                <w:color w:val="B03060"/>
                <w:sz w:val="20"/>
              </w:rPr>
              <w:t>otel-collector</w:t>
            </w:r>
          </w:p>
        </w:tc>
        <w:tc>
          <w:tcPr>
            <w:tcW w:type="dxa" w:w="2351"/>
          </w:tcPr>
          <w:p>
            <w:r/>
            <w:r>
              <w:t>0.23%</w:t>
            </w:r>
          </w:p>
        </w:tc>
        <w:tc>
          <w:tcPr>
            <w:tcW w:type="dxa" w:w="2351"/>
          </w:tcPr>
          <w:p>
            <w:r/>
            <w:r>
              <w:t>1.54%</w:t>
            </w:r>
          </w:p>
        </w:tc>
        <w:tc>
          <w:tcPr>
            <w:tcW w:type="dxa" w:w="2351"/>
          </w:tcPr>
          <w:p>
            <w:r/>
            <w:r>
              <w:t>+1.32 pp (+584.6%)</w:t>
            </w:r>
          </w:p>
        </w:tc>
      </w:tr>
    </w:tbl>
    <w:p/>
    <w:p>
      <w:r>
        <w:t xml:space="preserve">Ver gráfico </w:t>
      </w:r>
      <w:r>
        <w:rPr>
          <w:rFonts w:ascii="Consolas" w:hAnsi="Consolas"/>
          <w:i/>
          <w:color w:val="2E5B9E"/>
        </w:rPr>
        <w:t>docs/charts/05_cpu_baseline_vs_otel.png</w:t>
      </w:r>
      <w:r>
        <w:t>.</w:t>
      </w:r>
    </w:p>
    <w:p>
      <w:r>
        <w:drawing>
          <wp:inline xmlns:a="http://schemas.openxmlformats.org/drawingml/2006/main" xmlns:pic="http://schemas.openxmlformats.org/drawingml/2006/picture">
            <wp:extent cx="5760000" cy="3586415"/>
            <wp:docPr id="8" name="Picture 8"/>
            <wp:cNvGraphicFramePr>
              <a:graphicFrameLocks noChangeAspect="1"/>
            </wp:cNvGraphicFramePr>
            <a:graphic>
              <a:graphicData uri="http://schemas.openxmlformats.org/drawingml/2006/picture">
                <pic:pic>
                  <pic:nvPicPr>
                    <pic:cNvPr id="0" name="05_cpu_baseline_vs_otel.png"/>
                    <pic:cNvPicPr/>
                  </pic:nvPicPr>
                  <pic:blipFill>
                    <a:blip r:embed="rId16"/>
                    <a:stretch>
                      <a:fillRect/>
                    </a:stretch>
                  </pic:blipFill>
                  <pic:spPr>
                    <a:xfrm>
                      <a:off x="0" y="0"/>
                      <a:ext cx="5760000" cy="3586415"/>
                    </a:xfrm>
                    <a:prstGeom prst="rect"/>
                  </pic:spPr>
                </pic:pic>
              </a:graphicData>
            </a:graphic>
          </wp:inline>
        </w:drawing>
      </w:r>
    </w:p>
    <w:p>
      <w:pPr>
        <w:jc w:val="center"/>
      </w:pPr>
      <w:r>
        <w:rPr>
          <w:i/>
          <w:color w:val="606060"/>
          <w:sz w:val="18"/>
        </w:rPr>
        <w:t>05_cpu_baseline_vs_otel.png</w:t>
      </w:r>
    </w:p>
    <w:p>
      <w:r>
        <w:rPr>
          <w:rFonts w:ascii="Consolas" w:hAnsi="Consolas"/>
          <w:color w:val="B03060"/>
          <w:sz w:val="20"/>
        </w:rPr>
        <w:t>service-a</w:t>
      </w:r>
      <w:r>
        <w:t xml:space="preserve"> domina el consumo porque es el orquestador que atiende las 60 VUs directamente y hace la llamada saliente a </w:t>
      </w:r>
      <w:r>
        <w:rPr>
          <w:rFonts w:ascii="Consolas" w:hAnsi="Consolas"/>
          <w:color w:val="B03060"/>
          <w:sz w:val="20"/>
        </w:rPr>
        <w:t>service-b</w:t>
      </w:r>
      <w:r>
        <w:t xml:space="preserve"> (ver 6.3 sobre el event loop bloqueado). El overhead relativo de </w:t>
      </w:r>
      <w:r>
        <w:rPr>
          <w:rFonts w:ascii="Consolas" w:hAnsi="Consolas"/>
          <w:color w:val="B03060"/>
          <w:sz w:val="20"/>
        </w:rPr>
        <w:t>service-b</w:t>
      </w:r>
      <w:r>
        <w:t xml:space="preserve"> y </w:t>
      </w:r>
      <w:r>
        <w:rPr>
          <w:rFonts w:ascii="Consolas" w:hAnsi="Consolas"/>
          <w:color w:val="B03060"/>
          <w:sz w:val="20"/>
        </w:rPr>
        <w:t>otel-collector</w:t>
      </w:r>
      <w:r>
        <w:t xml:space="preserve"> se ve inflado en términos porcentuales por tener una base muy baja (3-4% de un solo core) — en puntos porcentuales absolutos el overhead de los tres procesos es comparable (+1.3 a +3.5 pp).</w:t>
      </w:r>
    </w:p>
    <w:p>
      <w:r>
        <w:rPr>
          <w:b/>
        </w:rPr>
        <w:t>Nota de método:</w:t>
      </w:r>
      <w:r>
        <w:t xml:space="preserve"> esta corrida de CPU se ejecutó por separado de la corrida "oficial" de latencia de la tabla anterior (mismo </w:t>
      </w:r>
      <w:r>
        <w:rPr>
          <w:rFonts w:ascii="Consolas" w:hAnsi="Consolas"/>
          <w:color w:val="B03060"/>
          <w:sz w:val="20"/>
        </w:rPr>
        <w:t>docker-compose</w:t>
      </w:r>
      <w:r>
        <w:t>, mismo script k6, mismos 60 VUs/5 min, pero en una ejecución distinta) porque el propio proceso de muestreo (</w:t>
      </w:r>
      <w:r>
        <w:rPr>
          <w:rFonts w:ascii="Consolas" w:hAnsi="Consolas"/>
          <w:color w:val="B03060"/>
          <w:sz w:val="20"/>
        </w:rPr>
        <w:t>docker stats</w:t>
      </w:r>
      <w:r>
        <w:t xml:space="preserve"> invocado cada 1-2s desde el host) compite por CPU en la VM compartida de Docker Desktop y distorsiona la latencia si se mide en la misma corrida que genera la carga — se confirmó empíricamente: la latencia p99 subía ~2x apenas se activaba el sampler, igual en baseline que en OTel. Por eso los números de latencia/throughput de 6.2 vienen de la corrida limpia (sin sampler) y los de CPU de una corrida aparte con metodología idéntica en ambos modos, así que el overhead </w:t>
      </w:r>
      <w:r>
        <w:rPr>
          <w:i/>
        </w:rPr>
        <w:t>relativo</w:t>
      </w:r>
      <w:r>
        <w:t xml:space="preserve"> de CPU entre baseline y OTel sigue siendo válido aunque no se mezcle con los valores absolutos de latencia.</w:t>
      </w:r>
    </w:p>
    <w:p>
      <w:pPr>
        <w:pStyle w:val="Heading2"/>
      </w:pPr>
      <w:r>
        <w:t>6.3 Interpretación: por qué el overhead es más alto que la referencia de la industria</w:t>
      </w:r>
    </w:p>
    <w:p>
      <w:r>
        <w:t xml:space="preserve">El material de la actividad cita un overhead de referencia de p99 &lt; 10ms como aceptable. Lo medido aquí (+518ms en p99) es un orden de magnitud mayor. La causa identificada </w:t>
      </w:r>
      <w:r>
        <w:rPr>
          <w:b/>
        </w:rPr>
        <w:t>no es el SDK de OTel en sí</w:t>
      </w:r>
      <w:r>
        <w:t xml:space="preserve">, sino una decisión de arquitectura de la aplicación: </w:t>
      </w:r>
      <w:r>
        <w:rPr>
          <w:rFonts w:ascii="Consolas" w:hAnsi="Consolas"/>
          <w:color w:val="B03060"/>
          <w:sz w:val="20"/>
        </w:rPr>
        <w:t>services/*/app/main.py</w:t>
      </w:r>
      <w:r>
        <w:t xml:space="preserve"> y </w:t>
      </w:r>
      <w:r>
        <w:rPr>
          <w:rFonts w:ascii="Consolas" w:hAnsi="Consolas"/>
          <w:color w:val="B03060"/>
          <w:sz w:val="20"/>
        </w:rPr>
        <w:t>db.py</w:t>
      </w:r>
      <w:r>
        <w:t xml:space="preserve"> usan </w:t>
      </w:r>
      <w:r>
        <w:rPr>
          <w:rFonts w:ascii="Consolas" w:hAnsi="Consolas"/>
          <w:color w:val="B03060"/>
          <w:sz w:val="20"/>
        </w:rPr>
        <w:t>psycopg2</w:t>
      </w:r>
      <w:r>
        <w:t xml:space="preserve"> (síncrono) y </w:t>
      </w:r>
      <w:r>
        <w:rPr>
          <w:rFonts w:ascii="Consolas" w:hAnsi="Consolas"/>
          <w:color w:val="B03060"/>
          <w:sz w:val="20"/>
        </w:rPr>
        <w:t>time.sleep()</w:t>
      </w:r>
      <w:r>
        <w:t xml:space="preserve"> dentro de funciones </w:t>
      </w:r>
      <w:r>
        <w:rPr>
          <w:rFonts w:ascii="Consolas" w:hAnsi="Consolas"/>
          <w:color w:val="B03060"/>
          <w:sz w:val="20"/>
        </w:rPr>
        <w:t>async def</w:t>
      </w:r>
      <w:r>
        <w:t xml:space="preserve">, sin desviarlos a un </w:t>
      </w:r>
      <w:r>
        <w:rPr>
          <w:i/>
        </w:rPr>
        <w:t>thread pool</w:t>
      </w:r>
      <w:r>
        <w:t xml:space="preserve"> (</w:t>
      </w:r>
      <w:r>
        <w:rPr>
          <w:rFonts w:ascii="Consolas" w:hAnsi="Consolas"/>
          <w:color w:val="B03060"/>
          <w:sz w:val="20"/>
        </w:rPr>
        <w:t>run_in_executor</w:t>
      </w:r>
      <w:r>
        <w:t>) ni usar un driver async (</w:t>
      </w:r>
      <w:r>
        <w:rPr>
          <w:rFonts w:ascii="Consolas" w:hAnsi="Consolas"/>
          <w:color w:val="B03060"/>
          <w:sz w:val="20"/>
        </w:rPr>
        <w:t>asyncpg</w:t>
      </w:r>
      <w:r>
        <w:t xml:space="preserve">). Cada consulta bloquea el </w:t>
      </w:r>
      <w:r>
        <w:rPr>
          <w:i/>
        </w:rPr>
        <w:t>único</w:t>
      </w:r>
      <w:r>
        <w:t xml:space="preserve"> hilo del event loop de </w:t>
      </w:r>
      <w:r>
        <w:rPr>
          <w:rFonts w:ascii="Consolas" w:hAnsi="Consolas"/>
          <w:color w:val="B03060"/>
          <w:sz w:val="20"/>
        </w:rPr>
        <w:t>uvicorn</w:t>
      </w:r>
      <w:r>
        <w:t xml:space="preserve"> durante 8-150ms.</w:t>
      </w:r>
    </w:p>
    <w:p>
      <w:r>
        <w:t xml:space="preserve">Bajo 60 VUs concurrentes, ese bloqueo ya genera una cola de requests esperando el hilo (de ahí la latencia base alta, ~1060ms, incluso sin OTel). Cuando se añade el trabajo síncrono adicional de OTel en el mismo hilo (construir spans, serializar atributos, encolar en el </w:t>
      </w:r>
      <w:r>
        <w:rPr>
          <w:rFonts w:ascii="Consolas" w:hAnsi="Consolas"/>
          <w:color w:val="B03060"/>
          <w:sz w:val="20"/>
        </w:rPr>
        <w:t>BatchSpanProcessor</w:t>
      </w:r>
      <w:r>
        <w:t xml:space="preserve">, formatear el log JSON con </w:t>
      </w:r>
      <w:r>
        <w:rPr>
          <w:rFonts w:ascii="Consolas" w:hAnsi="Consolas"/>
          <w:color w:val="B03060"/>
          <w:sz w:val="20"/>
        </w:rPr>
        <w:t>trace_id</w:t>
      </w:r>
      <w:r>
        <w:t xml:space="preserve">), ese costo no se suma de forma lineal al de un sistema no saturado: se </w:t>
      </w:r>
      <w:r>
        <w:rPr>
          <w:b/>
        </w:rPr>
        <w:t>amplifica</w:t>
      </w:r>
      <w:r>
        <w:t xml:space="preserve"> por el efecto de cola, porque cada solicitud adicional en el hilo retrasa a todas las que están detrás. Esto explica por qué el overhead crece con el percentil (p50 +14%, p95 +25%, p99 +37%): las colas más largas (percentiles altos) son las que más sufren cualquier trabajo extra por request.</w:t>
      </w:r>
    </w:p>
    <w:p>
      <w:r>
        <w:rPr>
          <w:b/>
        </w:rPr>
        <w:t>Conclusión de diseño:</w:t>
      </w:r>
      <w:r>
        <w:t xml:space="preserve"> en un servicio con I/O verdaderamente asíncrono (p. ej. </w:t>
      </w:r>
      <w:r>
        <w:rPr>
          <w:rFonts w:ascii="Consolas" w:hAnsi="Consolas"/>
          <w:color w:val="B03060"/>
          <w:sz w:val="20"/>
        </w:rPr>
        <w:t>asyncpg</w:t>
      </w:r>
      <w:r>
        <w:t xml:space="preserve"> en vez de </w:t>
      </w:r>
      <w:r>
        <w:rPr>
          <w:rFonts w:ascii="Consolas" w:hAnsi="Consolas"/>
          <w:color w:val="B03060"/>
          <w:sz w:val="20"/>
        </w:rPr>
        <w:t>psycopg2</w:t>
      </w:r>
      <w:r>
        <w:t xml:space="preserve">, o </w:t>
      </w:r>
      <w:r>
        <w:rPr>
          <w:rFonts w:ascii="Consolas" w:hAnsi="Consolas"/>
          <w:color w:val="B03060"/>
          <w:sz w:val="20"/>
        </w:rPr>
        <w:t>run_in_executor</w:t>
      </w:r>
      <w:r>
        <w:t xml:space="preserve"> para el trabajo síncrono), se esperaría que el overhead de OTel se acerque mucho más a la cifra de referencia de la industria (3-8%), porque el event loop dejaría de ser el cuello de botella compartido que amplifica cualquier costo adicional. Este hallazgo es, en sí mismo, un ejemplo de cómo la observabilidad expone problemas de diseño que de otra forma pasarían inadvertidos con baja concurrencia.</w:t>
      </w:r>
    </w:p>
    <w:p>
      <w:pPr>
        <w:pStyle w:val="Heading2"/>
      </w:pPr>
      <w:r>
        <w:t>6.4 Limitaciones del benchmark</w:t>
      </w:r>
    </w:p>
    <w:p>
      <w:pPr>
        <w:pStyle w:val="ListBullet"/>
      </w:pPr>
      <w:r>
        <w:t xml:space="preserve">Ejecutado en una laptop de desarrollo (Docker Desktop / Windows) con otros contenedores activos simultáneamente (ver sección 6.2) — no es un entorno aislado de benchmarking. Los valores </w:t>
      </w:r>
      <w:r>
        <w:rPr>
          <w:i/>
        </w:rPr>
        <w:t>absolutos</w:t>
      </w:r>
      <w:r>
        <w:t xml:space="preserve"> de latencia no son representativos de un despliegue real en GKE/ECS; los valores </w:t>
      </w:r>
      <w:r>
        <w:rPr>
          <w:i/>
        </w:rPr>
        <w:t>relativos</w:t>
      </w:r>
      <w:r>
        <w:t xml:space="preserve"> (overhead %) siguen siendo la evidencia principal de este informe.</w:t>
      </w:r>
    </w:p>
    <w:p>
      <w:pPr>
        <w:pStyle w:val="ListBullet"/>
      </w:pPr>
      <w:r>
        <w:t>Solo se ejecutó una repetición por modo (no N corridas con intervalo de confianza). Para una decisión de producción se recomienda repetir cada escenario 3-5 veces.</w:t>
      </w:r>
    </w:p>
    <w:p>
      <w:pPr>
        <w:pStyle w:val="ListBullet"/>
      </w:pPr>
      <w:r>
        <w:t>La medición de CPU (6.2) viene de una corrida separada de la de latencia/throughput, por la interferencia del propio sampler descrita arriba — es una única repetición por modo, igual que la de latencia, no un promedio de múltiples corridas independientes.</w:t>
      </w:r>
    </w:p>
    <w:p>
      <w:pPr>
        <w:pStyle w:val="Heading1"/>
      </w:pPr>
      <w:r>
        <w:t>7. Infraestructura como código (IaC) y despliegue cloud</w:t>
      </w:r>
    </w:p>
    <w:p>
      <w:pPr>
        <w:pStyle w:val="Heading2"/>
      </w:pPr>
      <w:r>
        <w:t>7.1 Decisión: stack local ejecutado, IaC de nube lista pero no aplicada</w:t>
      </w:r>
    </w:p>
    <w:p>
      <w:r>
        <w:t xml:space="preserve">Todo el pipeline (instrumentación, Collector, backends, dashboard, benchmark) se ejecutó y verificó </w:t>
      </w:r>
      <w:r>
        <w:rPr>
          <w:b/>
        </w:rPr>
        <w:t>localmente</w:t>
      </w:r>
      <w:r>
        <w:t xml:space="preserve"> con Docker Compose. La infraestructura para GCP GKE y AWS ECS Fargate se entrega como Terraform y Helm completos y sintácticamente correctos en </w:t>
      </w:r>
      <w:r>
        <w:rPr>
          <w:rFonts w:ascii="Consolas" w:hAnsi="Consolas"/>
          <w:color w:val="B03060"/>
          <w:sz w:val="20"/>
        </w:rPr>
        <w:t>iac/</w:t>
      </w:r>
      <w:r>
        <w:t xml:space="preserve">, pero </w:t>
      </w:r>
      <w:r>
        <w:rPr>
          <w:b/>
        </w:rPr>
        <w:t>deliberadamente no se ejecutó `terraform apply`</w:t>
      </w:r>
      <w:r>
        <w:t xml:space="preserve"> contra una cuenta real, para no incurrir en costos ni requerir credenciales de nube en esta entrega. Esta decisión se tomó explícitamente al inicio del laboratorio y se documenta aquí para que quede claro que no es un olvido.</w:t>
      </w:r>
    </w:p>
    <w:p>
      <w:pPr>
        <w:pStyle w:val="Heading2"/>
      </w:pPr>
      <w:r>
        <w:t>7.2 GCP — GKE (</w:t>
      </w:r>
      <w:r>
        <w:rPr>
          <w:rFonts w:ascii="Consolas" w:hAnsi="Consolas"/>
          <w:color w:val="B03060"/>
          <w:sz w:val="20"/>
        </w:rPr>
        <w:t>iac/terraform/gcp/</w:t>
      </w:r>
      <w:r>
        <w:t>)</w:t>
      </w:r>
    </w:p>
    <w:p>
      <w:r>
        <w:t xml:space="preserve">Clúster GKE regional (VPC dedicada, no la red </w:t>
      </w:r>
      <w:r>
        <w:rPr>
          <w:rFonts w:ascii="Consolas" w:hAnsi="Consolas"/>
          <w:color w:val="B03060"/>
          <w:sz w:val="20"/>
        </w:rPr>
        <w:t>default</w:t>
      </w:r>
      <w:r>
        <w:t xml:space="preserve">), Workload Identity habilitado, </w:t>
      </w:r>
      <w:r>
        <w:rPr>
          <w:rFonts w:ascii="Consolas" w:hAnsi="Consolas"/>
          <w:color w:val="B03060"/>
          <w:sz w:val="20"/>
        </w:rPr>
        <w:t>release_channel = REGULAR</w:t>
      </w:r>
      <w:r>
        <w:t xml:space="preserve">, node pool con autoscaling (1-4 nodos </w:t>
      </w:r>
      <w:r>
        <w:rPr>
          <w:rFonts w:ascii="Consolas" w:hAnsi="Consolas"/>
          <w:color w:val="B03060"/>
          <w:sz w:val="20"/>
        </w:rPr>
        <w:t>e2-standard-4</w:t>
      </w:r>
      <w:r>
        <w:t xml:space="preserve">). Artifact Registry para las imágenes. Los Deployments de </w:t>
      </w:r>
      <w:r>
        <w:rPr>
          <w:rFonts w:ascii="Consolas" w:hAnsi="Consolas"/>
          <w:color w:val="B03060"/>
          <w:sz w:val="20"/>
        </w:rPr>
        <w:t>service-a</w:t>
      </w:r>
      <w:r>
        <w:t xml:space="preserve">, </w:t>
      </w:r>
      <w:r>
        <w:rPr>
          <w:rFonts w:ascii="Consolas" w:hAnsi="Consolas"/>
          <w:color w:val="B03060"/>
          <w:sz w:val="20"/>
        </w:rPr>
        <w:t>service-b</w:t>
      </w:r>
      <w:r>
        <w:t xml:space="preserve"> y </w:t>
      </w:r>
      <w:r>
        <w:rPr>
          <w:rFonts w:ascii="Consolas" w:hAnsi="Consolas"/>
          <w:color w:val="B03060"/>
          <w:sz w:val="20"/>
        </w:rPr>
        <w:t>otel-collector</w:t>
      </w:r>
      <w:r>
        <w:t xml:space="preserve"> se declaran con el provider </w:t>
      </w:r>
      <w:r>
        <w:rPr>
          <w:rFonts w:ascii="Consolas" w:hAnsi="Consolas"/>
          <w:color w:val="B03060"/>
          <w:sz w:val="20"/>
        </w:rPr>
        <w:t>kubernetes</w:t>
      </w:r>
      <w:r>
        <w:t xml:space="preserve"> de Terraform, encadenado a los outputs del propio clúster (mismo archivo, sin </w:t>
      </w:r>
      <w:r>
        <w:rPr>
          <w:i/>
        </w:rPr>
        <w:t>hand-off</w:t>
      </w:r>
      <w:r>
        <w:t xml:space="preserve"> manual a </w:t>
      </w:r>
      <w:r>
        <w:rPr>
          <w:rFonts w:ascii="Consolas" w:hAnsi="Consolas"/>
          <w:color w:val="B03060"/>
          <w:sz w:val="20"/>
        </w:rPr>
        <w:t>kubectl</w:t>
      </w:r>
      <w:r>
        <w:t xml:space="preserve">). Credenciales de base de datos vía </w:t>
      </w:r>
      <w:r>
        <w:rPr>
          <w:rFonts w:ascii="Consolas" w:hAnsi="Consolas"/>
          <w:color w:val="B03060"/>
          <w:sz w:val="20"/>
        </w:rPr>
        <w:t>kubernetes_secret</w:t>
      </w:r>
      <w:r>
        <w:t>, nunca en texto plano en el Deployment.</w:t>
      </w:r>
    </w:p>
    <w:p>
      <w:pPr>
        <w:pStyle w:val="Heading2"/>
      </w:pPr>
      <w:r>
        <w:t>7.3 AWS — ECS Fargate (</w:t>
      </w:r>
      <w:r>
        <w:rPr>
          <w:rFonts w:ascii="Consolas" w:hAnsi="Consolas"/>
          <w:color w:val="B03060"/>
          <w:sz w:val="20"/>
        </w:rPr>
        <w:t>iac/terraform/aws/</w:t>
      </w:r>
      <w:r>
        <w:t>)</w:t>
      </w:r>
    </w:p>
    <w:p>
      <w:r>
        <w:t xml:space="preserve">VPC mínima de 2 AZs, ECR por servicio, cluster ECS Fargate con Container Insights, ALB público hacia </w:t>
      </w:r>
      <w:r>
        <w:rPr>
          <w:rFonts w:ascii="Consolas" w:hAnsi="Consolas"/>
          <w:color w:val="B03060"/>
          <w:sz w:val="20"/>
        </w:rPr>
        <w:t>service-a:8000</w:t>
      </w:r>
      <w:r>
        <w:t xml:space="preserve"> con healthcheck en </w:t>
      </w:r>
      <w:r>
        <w:rPr>
          <w:rFonts w:ascii="Consolas" w:hAnsi="Consolas"/>
          <w:color w:val="B03060"/>
          <w:sz w:val="20"/>
        </w:rPr>
        <w:t>/health</w:t>
      </w:r>
      <w:r>
        <w:t xml:space="preserve">. El OTel Collector corre como </w:t>
      </w:r>
      <w:r>
        <w:rPr>
          <w:b/>
        </w:rPr>
        <w:t>sidecar</w:t>
      </w:r>
      <w:r>
        <w:t xml:space="preserve"> dentro de cada task definition (en vez de un servicio ECS propio con Service Connect) — trade-off documentado en el propio </w:t>
      </w:r>
      <w:r>
        <w:rPr>
          <w:rFonts w:ascii="Consolas" w:hAnsi="Consolas"/>
          <w:color w:val="B03060"/>
          <w:sz w:val="20"/>
        </w:rPr>
        <w:t>main.tf</w:t>
      </w:r>
      <w:r>
        <w:t xml:space="preserve">: más simple para un laboratorio (sin descubrimiento de servicios adicional, exportación por </w:t>
      </w:r>
      <w:r>
        <w:rPr>
          <w:rFonts w:ascii="Consolas" w:hAnsi="Consolas"/>
          <w:color w:val="B03060"/>
          <w:sz w:val="20"/>
        </w:rPr>
        <w:t>localhost</w:t>
      </w:r>
      <w:r>
        <w:t xml:space="preserve">), a costa de correr N procesos Collector en vez de uno compartido; a mayor escala, un Collector compartido sería la elección correcta. </w:t>
      </w:r>
      <w:r>
        <w:rPr>
          <w:rFonts w:ascii="Consolas" w:hAnsi="Consolas"/>
          <w:color w:val="B03060"/>
          <w:sz w:val="20"/>
        </w:rPr>
        <w:t>service-b</w:t>
      </w:r>
      <w:r>
        <w:t xml:space="preserve"> se descubre vía Cloud Map (</w:t>
      </w:r>
      <w:r>
        <w:rPr>
          <w:rFonts w:ascii="Consolas" w:hAnsi="Consolas"/>
          <w:color w:val="B03060"/>
          <w:sz w:val="20"/>
        </w:rPr>
        <w:t>service-b.&lt;namespace&gt;.local</w:t>
      </w:r>
      <w:r>
        <w:t xml:space="preserve">). </w:t>
      </w:r>
      <w:r>
        <w:rPr>
          <w:rFonts w:ascii="Consolas" w:hAnsi="Consolas"/>
          <w:color w:val="B03060"/>
          <w:sz w:val="20"/>
        </w:rPr>
        <w:t>DATABASE_URL</w:t>
      </w:r>
      <w:r>
        <w:t xml:space="preserve"> viaja vía AWS Secrets Manager (</w:t>
      </w:r>
      <w:r>
        <w:rPr>
          <w:rFonts w:ascii="Consolas" w:hAnsi="Consolas"/>
          <w:color w:val="B03060"/>
          <w:sz w:val="20"/>
        </w:rPr>
        <w:t>secrets</w:t>
      </w:r>
      <w:r>
        <w:t xml:space="preserve"> de la task definition), con un fallback de variable plana solo para demo.</w:t>
      </w:r>
    </w:p>
    <w:p>
      <w:pPr>
        <w:pStyle w:val="Heading2"/>
      </w:pPr>
      <w:r>
        <w:t>7.4 Helm (</w:t>
      </w:r>
      <w:r>
        <w:rPr>
          <w:rFonts w:ascii="Consolas" w:hAnsi="Consolas"/>
          <w:color w:val="B03060"/>
          <w:sz w:val="20"/>
        </w:rPr>
        <w:t>iac/helm/otel-collector/</w:t>
      </w:r>
      <w:r>
        <w:t>)</w:t>
      </w:r>
    </w:p>
    <w:p>
      <w:r>
        <w:t xml:space="preserve">Chart propio (no el chart comunitario de </w:t>
      </w:r>
      <w:r>
        <w:rPr>
          <w:rFonts w:ascii="Consolas" w:hAnsi="Consolas"/>
          <w:color w:val="B03060"/>
          <w:sz w:val="20"/>
        </w:rPr>
        <w:t>open-telemetry/opentelemetry-helm-charts</w:t>
      </w:r>
      <w:r>
        <w:t xml:space="preserve">, para demostrar comprensión del recurso, no solo su consumo) con Deployment + Service + ConfigMap parametrizados vía </w:t>
      </w:r>
      <w:r>
        <w:rPr>
          <w:rFonts w:ascii="Consolas" w:hAnsi="Consolas"/>
          <w:color w:val="B03060"/>
          <w:sz w:val="20"/>
        </w:rPr>
        <w:t>values.yaml</w:t>
      </w:r>
      <w:r>
        <w:t xml:space="preserve"> — misma forma de pipeline (</w:t>
      </w:r>
      <w:r>
        <w:rPr>
          <w:rFonts w:ascii="Consolas" w:hAnsi="Consolas"/>
          <w:color w:val="B03060"/>
          <w:sz w:val="20"/>
        </w:rPr>
        <w:t>otlp</w:t>
      </w:r>
      <w:r>
        <w:t xml:space="preserve"> → </w:t>
      </w:r>
      <w:r>
        <w:rPr>
          <w:rFonts w:ascii="Consolas" w:hAnsi="Consolas"/>
          <w:color w:val="B03060"/>
          <w:sz w:val="20"/>
        </w:rPr>
        <w:t>memory_limiter</w:t>
      </w:r>
      <w:r>
        <w:t>/</w:t>
      </w:r>
      <w:r>
        <w:rPr>
          <w:rFonts w:ascii="Consolas" w:hAnsi="Consolas"/>
          <w:color w:val="B03060"/>
          <w:sz w:val="20"/>
        </w:rPr>
        <w:t>batch</w:t>
      </w:r>
      <w:r>
        <w:t>/</w:t>
      </w:r>
      <w:r>
        <w:rPr>
          <w:rFonts w:ascii="Consolas" w:hAnsi="Consolas"/>
          <w:color w:val="B03060"/>
          <w:sz w:val="20"/>
        </w:rPr>
        <w:t>resource</w:t>
      </w:r>
      <w:r>
        <w:t xml:space="preserve"> → exporters) que la variante local, pero con exporters dejados como placeholders para que cada entorno los sobrescriba sin tocar el chart. Validado con </w:t>
      </w:r>
      <w:r>
        <w:rPr>
          <w:rFonts w:ascii="Consolas" w:hAnsi="Consolas"/>
          <w:color w:val="B03060"/>
          <w:sz w:val="20"/>
        </w:rPr>
        <w:t>helm lint</w:t>
      </w:r>
      <w:r>
        <w:t xml:space="preserve"> y </w:t>
      </w:r>
      <w:r>
        <w:rPr>
          <w:rFonts w:ascii="Consolas" w:hAnsi="Consolas"/>
          <w:color w:val="B03060"/>
          <w:sz w:val="20"/>
        </w:rPr>
        <w:t>helm template</w:t>
      </w:r>
      <w:r>
        <w:t xml:space="preserve"> (sin clúster real disponible en este entorno de desarrollo).</w:t>
      </w:r>
    </w:p>
    <w:p>
      <w:pPr>
        <w:pStyle w:val="Heading1"/>
      </w:pPr>
      <w:r>
        <w:t>8. Lecciones aprendidas (troubleshooting real)</w:t>
      </w:r>
    </w:p>
    <w:p>
      <w:r>
        <w:t>Tres problemas de instrumentación reales aparecieron solo al ejecutar el sistema, no al leer la documentación de OTel — se documentan porque son justamente el tipo de conocimiento que un ejercicio puramente teórico no puede enseñar.</w:t>
      </w:r>
    </w:p>
    <w:p>
      <w:r>
        <w:rPr>
          <w:b/>
        </w:rPr>
        <w:t>1. `FastAPIInstrumentor().instrument()` global no propagaba el trace_id.</w:t>
      </w:r>
      <w:r>
        <w:t xml:space="preserve"> El patrón "instrumentar antes de crear la app" (llamar </w:t>
      </w:r>
      <w:r>
        <w:rPr>
          <w:rFonts w:ascii="Consolas" w:hAnsi="Consolas"/>
          <w:color w:val="B03060"/>
          <w:sz w:val="20"/>
        </w:rPr>
        <w:t>FastAPIInstrumentor().instrument(tracer_provider=...)</w:t>
      </w:r>
      <w:r>
        <w:t xml:space="preserve"> sin argumento </w:t>
      </w:r>
      <w:r>
        <w:rPr>
          <w:rFonts w:ascii="Consolas" w:hAnsi="Consolas"/>
          <w:color w:val="B03060"/>
          <w:sz w:val="20"/>
        </w:rPr>
        <w:t>app</w:t>
      </w:r>
      <w:r>
        <w:t xml:space="preserve">, confiando en que parchea </w:t>
      </w:r>
      <w:r>
        <w:rPr>
          <w:rFonts w:ascii="Consolas" w:hAnsi="Consolas"/>
          <w:color w:val="B03060"/>
          <w:sz w:val="20"/>
        </w:rPr>
        <w:t>FastAPI.__init__</w:t>
      </w:r>
      <w:r>
        <w:t xml:space="preserve"> globalmente) resultó poco fiable en la práctica: cada span de negocio (</w:t>
      </w:r>
      <w:r>
        <w:rPr>
          <w:rFonts w:ascii="Consolas" w:hAnsi="Consolas"/>
          <w:color w:val="B03060"/>
          <w:sz w:val="20"/>
        </w:rPr>
        <w:t>order.fetch_from_db</w:t>
      </w:r>
      <w:r>
        <w:t xml:space="preserve">, </w:t>
      </w:r>
      <w:r>
        <w:rPr>
          <w:rFonts w:ascii="Consolas" w:hAnsi="Consolas"/>
          <w:color w:val="B03060"/>
          <w:sz w:val="20"/>
        </w:rPr>
        <w:t>order.check_inventory</w:t>
      </w:r>
      <w:r>
        <w:t xml:space="preserve">) terminaba como </w:t>
      </w:r>
      <w:r>
        <w:rPr>
          <w:i/>
        </w:rPr>
        <w:t>raíz</w:t>
      </w:r>
      <w:r>
        <w:t xml:space="preserve"> de su propio trace en vez de colgar del span del servidor HTTP, y </w:t>
      </w:r>
      <w:r>
        <w:rPr>
          <w:rFonts w:ascii="Consolas" w:hAnsi="Consolas"/>
          <w:color w:val="B03060"/>
          <w:sz w:val="20"/>
        </w:rPr>
        <w:t>trace_id</w:t>
      </w:r>
      <w:r>
        <w:t xml:space="preserve"> en la respuesta JSON salía en </w:t>
      </w:r>
      <w:r>
        <w:rPr>
          <w:rFonts w:ascii="Consolas" w:hAnsi="Consolas"/>
          <w:color w:val="B03060"/>
          <w:sz w:val="20"/>
        </w:rPr>
        <w:t>00000000000000000000000000000000</w:t>
      </w:r>
      <w:r>
        <w:t xml:space="preserve"> (span inválido). La corrección fue usar el patrón explícito </w:t>
      </w:r>
      <w:r>
        <w:rPr>
          <w:rFonts w:ascii="Consolas" w:hAnsi="Consolas"/>
          <w:color w:val="B03060"/>
          <w:sz w:val="20"/>
        </w:rPr>
        <w:t>FastAPIInstrumentor.instrument_app(app, ...)</w:t>
      </w:r>
      <w:r>
        <w:t xml:space="preserve"> justo después de </w:t>
      </w:r>
      <w:r>
        <w:rPr>
          <w:rFonts w:ascii="Consolas" w:hAnsi="Consolas"/>
          <w:color w:val="B03060"/>
          <w:sz w:val="20"/>
        </w:rPr>
        <w:t>app = FastAPI(...)</w:t>
      </w:r>
      <w:r>
        <w:t xml:space="preserve"> en </w:t>
      </w:r>
      <w:r>
        <w:rPr>
          <w:rFonts w:ascii="Consolas" w:hAnsi="Consolas"/>
          <w:color w:val="B03060"/>
          <w:sz w:val="20"/>
        </w:rPr>
        <w:t>main.py</w:t>
      </w:r>
      <w:r>
        <w:t xml:space="preserve"> — documentado con un comentario en </w:t>
      </w:r>
      <w:r>
        <w:rPr>
          <w:rFonts w:ascii="Consolas" w:hAnsi="Consolas"/>
          <w:color w:val="B03060"/>
          <w:sz w:val="20"/>
        </w:rPr>
        <w:t>telemetry.py</w:t>
      </w:r>
      <w:r>
        <w:t xml:space="preserve"> para que no se repita el error.</w:t>
      </w:r>
    </w:p>
    <w:p>
      <w:r>
        <w:rPr>
          <w:b/>
        </w:rPr>
        <w:t>2. El filtro de `/health` en el Collector no bastaba.</w:t>
      </w:r>
      <w:r>
        <w:t xml:space="preserve"> El middleware ASGI de FastAPI genera spans internos por cada evento (</w:t>
      </w:r>
      <w:r>
        <w:rPr>
          <w:rFonts w:ascii="Consolas" w:hAnsi="Consolas"/>
          <w:color w:val="B03060"/>
          <w:sz w:val="20"/>
        </w:rPr>
        <w:t>http send</w:t>
      </w:r>
      <w:r>
        <w:t xml:space="preserve">, </w:t>
      </w:r>
      <w:r>
        <w:rPr>
          <w:rFonts w:ascii="Consolas" w:hAnsi="Consolas"/>
          <w:color w:val="B03060"/>
          <w:sz w:val="20"/>
        </w:rPr>
        <w:t>http receive</w:t>
      </w:r>
      <w:r>
        <w:t xml:space="preserve">) además del span raíz del endpoint. El processor </w:t>
      </w:r>
      <w:r>
        <w:rPr>
          <w:rFonts w:ascii="Consolas" w:hAnsi="Consolas"/>
          <w:color w:val="B03060"/>
          <w:sz w:val="20"/>
        </w:rPr>
        <w:t>filter/health</w:t>
      </w:r>
      <w:r>
        <w:t xml:space="preserve"> del Collector (que descarta por el atributo </w:t>
      </w:r>
      <w:r>
        <w:rPr>
          <w:rFonts w:ascii="Consolas" w:hAnsi="Consolas"/>
          <w:color w:val="B03060"/>
          <w:sz w:val="20"/>
        </w:rPr>
        <w:t>http.target == "/health"</w:t>
      </w:r>
      <w:r>
        <w:t xml:space="preserve">) solo alcanza al span raíz — los spans internos de evento no llevan ese atributo, así que igual llegaban a Jaeger como trazas huérfanas (con </w:t>
      </w:r>
      <w:r>
        <w:rPr>
          <w:rFonts w:ascii="Consolas" w:hAnsi="Consolas"/>
          <w:color w:val="B03060"/>
          <w:sz w:val="20"/>
        </w:rPr>
        <w:t>trace_id</w:t>
      </w:r>
      <w:r>
        <w:t xml:space="preserve"> propio, sin span padre visible). La solución correcta es evitar que esos spans se </w:t>
      </w:r>
      <w:r>
        <w:rPr>
          <w:b/>
        </w:rPr>
        <w:t>creen</w:t>
      </w:r>
      <w:r>
        <w:t xml:space="preserve">, no filtrarlos después: </w:t>
      </w:r>
      <w:r>
        <w:rPr>
          <w:rFonts w:ascii="Consolas" w:hAnsi="Consolas"/>
          <w:color w:val="B03060"/>
          <w:sz w:val="20"/>
        </w:rPr>
        <w:t>FastAPIInstrumentor.instrument_app(app, excluded_urls="/health", ...)</w:t>
      </w:r>
      <w:r>
        <w:t xml:space="preserve">. El processor </w:t>
      </w:r>
      <w:r>
        <w:rPr>
          <w:rFonts w:ascii="Consolas" w:hAnsi="Consolas"/>
          <w:color w:val="B03060"/>
          <w:sz w:val="20"/>
        </w:rPr>
        <w:t>filter/health</w:t>
      </w:r>
      <w:r>
        <w:t xml:space="preserve"> del Collector se dejó como segunda capa de defensa (para servicios que no puedan excluir por SDK), pero ya no es la única línea de defensa.</w:t>
      </w:r>
    </w:p>
    <w:p>
      <w:r>
        <w:rPr>
          <w:b/>
        </w:rPr>
        <w:t>3. Los histogramas de latencia daban un p95 fantasma de ~4.75 segundos.</w:t>
      </w:r>
      <w:r>
        <w:t xml:space="preserve"> Al poblar el dashboard con tráfico real, el panel "Latencia p95" mostraba consistentemente ~4750ms, aunque una petición manual cronometrada tardaba 43ms. Causa: </w:t>
      </w:r>
      <w:r>
        <w:rPr>
          <w:rFonts w:ascii="Consolas" w:hAnsi="Consolas"/>
          <w:color w:val="B03060"/>
          <w:sz w:val="20"/>
        </w:rPr>
        <w:t>meter.create_histogram(...)</w:t>
      </w:r>
      <w:r>
        <w:t xml:space="preserve"> se llamó sin especificar </w:t>
      </w:r>
      <w:r>
        <w:rPr>
          <w:i/>
        </w:rPr>
        <w:t>bucket boundaries</w:t>
      </w:r>
      <w:r>
        <w:t xml:space="preserve"> explícitos, así que el SDK usa los valores por defecto </w:t>
      </w:r>
      <w:r>
        <w:rPr>
          <w:rFonts w:ascii="Consolas" w:hAnsi="Consolas"/>
          <w:color w:val="B03060"/>
          <w:sz w:val="20"/>
        </w:rPr>
        <w:t>(0, 5, 10, 25, 50, 75, 100, 250, 500, 750, 1000, 2500, 5000, 7500, 10000)</w:t>
      </w:r>
      <w:r>
        <w:t xml:space="preserve"> — pensados para mediciones en </w:t>
      </w:r>
      <w:r>
        <w:rPr>
          <w:b/>
        </w:rPr>
        <w:t>milisegundos</w:t>
      </w:r>
      <w:r>
        <w:t xml:space="preserve">. Pero el código mide en </w:t>
      </w:r>
      <w:r>
        <w:rPr>
          <w:b/>
        </w:rPr>
        <w:t>segundos</w:t>
      </w:r>
      <w:r>
        <w:t xml:space="preserve"> (</w:t>
      </w:r>
      <w:r>
        <w:rPr>
          <w:rFonts w:ascii="Consolas" w:hAnsi="Consolas"/>
          <w:color w:val="B03060"/>
          <w:sz w:val="20"/>
        </w:rPr>
        <w:t>duration = time.time() - start</w:t>
      </w:r>
      <w:r>
        <w:t xml:space="preserve">, valores como </w:t>
      </w:r>
      <w:r>
        <w:rPr>
          <w:rFonts w:ascii="Consolas" w:hAnsi="Consolas"/>
          <w:color w:val="B03060"/>
          <w:sz w:val="20"/>
        </w:rPr>
        <w:t>0.043</w:t>
      </w:r>
      <w:r>
        <w:t>), así que absolutamente todas las observaciones caían en el primer bucket no vacío (</w:t>
      </w:r>
      <w:r>
        <w:rPr>
          <w:rFonts w:ascii="Consolas" w:hAnsi="Consolas"/>
          <w:color w:val="B03060"/>
          <w:sz w:val="20"/>
        </w:rPr>
        <w:t>le=5.0</w:t>
      </w:r>
      <w:r>
        <w:t xml:space="preserve">, es decir, "≤ 5 segundos") sin ningún bucket intermedio que las distinguiera. Con un único escalón informativo, </w:t>
      </w:r>
      <w:r>
        <w:rPr>
          <w:rFonts w:ascii="Consolas" w:hAnsi="Consolas"/>
          <w:color w:val="B03060"/>
          <w:sz w:val="20"/>
        </w:rPr>
        <w:t>histogram_quantile</w:t>
      </w:r>
      <w:r>
        <w:t xml:space="preserve"> interpola linealmente entre 0 y 5.0 para estimar el percentil 95, dando ~4.75 — un artefacto matemático, no una medición real. Verificado inspeccionando los buckets crudos vía la API de Prometheus (</w:t>
      </w:r>
      <w:r>
        <w:rPr>
          <w:rFonts w:ascii="Consolas" w:hAnsi="Consolas"/>
          <w:color w:val="B03060"/>
          <w:sz w:val="20"/>
        </w:rPr>
        <w:t>http_request_duration_seconds_bucket</w:t>
      </w:r>
      <w:r>
        <w:t xml:space="preserve">): 691 observaciones repartidas en </w:t>
      </w:r>
      <w:r>
        <w:rPr>
          <w:rFonts w:ascii="Consolas" w:hAnsi="Consolas"/>
          <w:color w:val="B03060"/>
          <w:sz w:val="20"/>
        </w:rPr>
        <w:t>le=0.0 → 0</w:t>
      </w:r>
      <w:r>
        <w:t xml:space="preserve"> y </w:t>
      </w:r>
      <w:r>
        <w:rPr>
          <w:rFonts w:ascii="Consolas" w:hAnsi="Consolas"/>
          <w:color w:val="B03060"/>
          <w:sz w:val="20"/>
        </w:rPr>
        <w:t>le=5.0 → 691</w:t>
      </w:r>
      <w:r>
        <w:t>, sin nada entre medio.</w:t>
      </w:r>
    </w:p>
    <w:p>
      <w:r>
        <w:t xml:space="preserve">La corrección fue registrar un </w:t>
      </w:r>
      <w:r>
        <w:rPr>
          <w:rFonts w:ascii="Consolas" w:hAnsi="Consolas"/>
          <w:color w:val="B03060"/>
          <w:sz w:val="20"/>
        </w:rPr>
        <w:t>View</w:t>
      </w:r>
      <w:r>
        <w:t xml:space="preserve"> con </w:t>
      </w:r>
      <w:r>
        <w:rPr>
          <w:rFonts w:ascii="Consolas" w:hAnsi="Consolas"/>
          <w:color w:val="B03060"/>
          <w:sz w:val="20"/>
        </w:rPr>
        <w:t>ExplicitBucketHistogramAggregation</w:t>
      </w:r>
      <w:r>
        <w:t xml:space="preserve"> sobre todos los instrumentos </w:t>
      </w:r>
      <w:r>
        <w:rPr>
          <w:rFonts w:ascii="Consolas" w:hAnsi="Consolas"/>
          <w:color w:val="B03060"/>
          <w:sz w:val="20"/>
        </w:rPr>
        <w:t>*_seconds</w:t>
      </w:r>
      <w:r>
        <w:t>, con los boundaries clásicos de Prometheus en segundos (</w:t>
      </w:r>
      <w:r>
        <w:rPr>
          <w:rFonts w:ascii="Consolas" w:hAnsi="Consolas"/>
          <w:color w:val="B03060"/>
          <w:sz w:val="20"/>
        </w:rPr>
        <w:t>0.005, 0.01, 0.025, ..., 7.5, 10</w:t>
      </w:r>
      <w:r>
        <w:t xml:space="preserve">) — ver </w:t>
      </w:r>
      <w:r>
        <w:rPr>
          <w:rFonts w:ascii="Consolas" w:hAnsi="Consolas"/>
          <w:color w:val="B03060"/>
          <w:sz w:val="20"/>
        </w:rPr>
        <w:t>services/*/app/telemetry.py</w:t>
      </w:r>
      <w:r>
        <w:t>. Tras el fix, el mismo tráfico mostró 25 de 30 requests entre 25-50ms y un p95 real de ~48ms, coherente con la medición manual.</w:t>
      </w:r>
    </w:p>
    <w:p>
      <w:r>
        <w:t xml:space="preserve">Este bug es fácil de cometer y fácil de no notar: el dashboard "funcionaba" (mostraba un número, con unidad, con color) — solo estaba mal. Es un recordatorio de que un panel con datos no es lo mismo que un panel con datos </w:t>
      </w:r>
      <w:r>
        <w:rPr>
          <w:i/>
        </w:rPr>
        <w:t>correctos</w:t>
      </w:r>
      <w:r>
        <w:t>, y de que vale la pena cruzar al menos una vez el número que muestra un dashboard contra una medición manual independiente.</w:t>
      </w:r>
    </w:p>
    <w:p>
      <w:pPr>
        <w:pStyle w:val="Heading1"/>
      </w:pPr>
      <w:r>
        <w:t>9. Trabajo futuro</w:t>
      </w:r>
    </w:p>
    <w:p>
      <w:pPr>
        <w:pStyle w:val="ListBullet"/>
      </w:pPr>
      <w:r>
        <w:t xml:space="preserve">Migrar el acceso a PostgreSQL a </w:t>
      </w:r>
      <w:r>
        <w:rPr>
          <w:rFonts w:ascii="Consolas" w:hAnsi="Consolas"/>
          <w:color w:val="B03060"/>
          <w:sz w:val="20"/>
        </w:rPr>
        <w:t>asyncpg</w:t>
      </w:r>
      <w:r>
        <w:t xml:space="preserve"> (o </w:t>
      </w:r>
      <w:r>
        <w:rPr>
          <w:rFonts w:ascii="Consolas" w:hAnsi="Consolas"/>
          <w:color w:val="B03060"/>
          <w:sz w:val="20"/>
        </w:rPr>
        <w:t>run_in_executor</w:t>
      </w:r>
      <w:r>
        <w:t>) para eliminar el bloqueo del event loop identificado en 6.3 y repetir el benchmark — la hipótesis es que el overhead relativo de OTel bajaría a un solo dígito porcentual.</w:t>
      </w:r>
    </w:p>
    <w:p>
      <w:pPr>
        <w:pStyle w:val="ListBullet"/>
      </w:pPr>
      <w:r>
        <w:rPr>
          <w:rFonts w:ascii="Consolas" w:hAnsi="Consolas"/>
          <w:color w:val="B03060"/>
          <w:sz w:val="20"/>
        </w:rPr>
        <w:t>tail_sampling</w:t>
      </w:r>
      <w:r>
        <w:t xml:space="preserve"> en el Collector (muestrear el 100% de las trazas con error o latencia alta, y un porcentaje menor del resto) para reducir volumen sin perder señal, una vez el sistema tenga tráfico de producción real.</w:t>
      </w:r>
    </w:p>
    <w:p>
      <w:pPr>
        <w:pStyle w:val="ListBullet"/>
      </w:pPr>
      <w:r>
        <w:t>Ejecutar el benchmark en un entorno aislado (no una laptop de desarrollo compartida) y con múltiples repeticiones, para obtener intervalos de confianza sobre el overhead de CPU y de latencia (hoy: una sola corrida por modo para cada uno).</w:t>
      </w:r>
    </w:p>
    <w:p>
      <w:pPr>
        <w:pStyle w:val="ListBullet"/>
      </w:pPr>
      <w:r>
        <w:t xml:space="preserve">Medir CPU y latencia en la misma corrida sin interferencia mutua (por ejemplo, muestreando CPU desde </w:t>
      </w:r>
      <w:r>
        <w:rPr>
          <w:rFonts w:ascii="Consolas" w:hAnsi="Consolas"/>
          <w:color w:val="B03060"/>
          <w:sz w:val="20"/>
        </w:rPr>
        <w:t>cgroup cpu.stat</w:t>
      </w:r>
      <w:r>
        <w:t xml:space="preserve"> dentro del propio contenedor en vez de </w:t>
      </w:r>
      <w:r>
        <w:rPr>
          <w:rFonts w:ascii="Consolas" w:hAnsi="Consolas"/>
          <w:color w:val="B03060"/>
          <w:sz w:val="20"/>
        </w:rPr>
        <w:t>docker stats</w:t>
      </w:r>
      <w:r>
        <w:t xml:space="preserve"> desde el host), para no depender de dos corridas separadas como en 6.2.</w:t>
      </w:r>
    </w:p>
    <w:p>
      <w:pPr>
        <w:pStyle w:val="ListBullet"/>
      </w:pPr>
      <w:r>
        <w:t xml:space="preserve">Aplicar el Terraform de </w:t>
      </w:r>
      <w:r>
        <w:rPr>
          <w:rFonts w:ascii="Consolas" w:hAnsi="Consolas"/>
          <w:color w:val="B03060"/>
          <w:sz w:val="20"/>
        </w:rPr>
        <w:t>iac/</w:t>
      </w:r>
      <w:r>
        <w:t xml:space="preserve"> contra un proyecto GCP/cuenta AWS de prueba y capturar las mismas evidencias (trazas, dashboard) que aquí se capturaron localmente, para confirmar paridad de comportamiento entre ambas nubes.</w:t>
      </w:r>
    </w:p>
    <w:p>
      <w:pPr>
        <w:pStyle w:val="Heading1"/>
      </w:pPr>
      <w:r>
        <w:t>10. Referencias</w:t>
      </w:r>
    </w:p>
    <w:p>
      <w:pPr>
        <w:pStyle w:val="ListBullet"/>
      </w:pPr>
      <w:r>
        <w:t xml:space="preserve">OpenTelemetry Project. (2024). </w:t>
      </w:r>
      <w:r>
        <w:rPr>
          <w:i/>
        </w:rPr>
        <w:t>Python API &amp; SDK</w:t>
      </w:r>
      <w:r>
        <w:t>. https://opentelemetry-python.readthedocs.io/</w:t>
      </w:r>
    </w:p>
    <w:p>
      <w:pPr>
        <w:pStyle w:val="ListBullet"/>
      </w:pPr>
      <w:r>
        <w:t xml:space="preserve">OpenTelemetry Project. (2024). </w:t>
      </w:r>
      <w:r>
        <w:rPr>
          <w:i/>
        </w:rPr>
        <w:t>Collector Configuration</w:t>
      </w:r>
      <w:r>
        <w:t>.</w:t>
      </w:r>
    </w:p>
    <w:p>
      <w:pPr>
        <w:pStyle w:val="ListBullet"/>
      </w:pPr>
      <w:r>
        <w:t xml:space="preserve">Jaeger Tracing. </w:t>
      </w:r>
      <w:r>
        <w:rPr>
          <w:i/>
        </w:rPr>
        <w:t>Architecture Documentation</w:t>
      </w:r>
      <w:r>
        <w:t>. https://www.jaegertracing.io/docs/architecture/</w:t>
      </w:r>
    </w:p>
    <w:p>
      <w:pPr>
        <w:pStyle w:val="ListBullet"/>
      </w:pPr>
      <w:r>
        <w:t xml:space="preserve">Grafana Labs. </w:t>
      </w:r>
      <w:r>
        <w:rPr>
          <w:i/>
        </w:rPr>
        <w:t>Linking Traces, Logs and Metrics</w:t>
      </w:r>
      <w:r>
        <w:t>. https://grafana.com/docs/grafana/latest/explore/trace-integration/</w:t>
      </w:r>
    </w:p>
    <w:p>
      <w:pPr>
        <w:pStyle w:val="ListBullet"/>
      </w:pPr>
      <w:r>
        <w:t xml:space="preserve">Grafana Labs. </w:t>
      </w:r>
      <w:r>
        <w:rPr>
          <w:i/>
        </w:rPr>
        <w:t>Loki: Best Practices for Labels</w:t>
      </w:r>
      <w:r>
        <w:t xml:space="preserve"> (cardinalidad de labels).</w:t>
      </w:r>
    </w:p>
    <w:p>
      <w:pPr>
        <w:pStyle w:val="ListBullet"/>
      </w:pPr>
      <w:r>
        <w:t xml:space="preserve">k6 / Grafana. </w:t>
      </w:r>
      <w:r>
        <w:rPr>
          <w:i/>
        </w:rPr>
        <w:t>Load Testing Documentation</w:t>
      </w:r>
      <w:r>
        <w:t>. https://k6.io/docs/</w:t>
      </w:r>
    </w:p>
    <w:p>
      <w:pPr>
        <w:pStyle w:val="ListBullet"/>
      </w:pPr>
      <w:r>
        <w:t xml:space="preserve">W3C. </w:t>
      </w:r>
      <w:r>
        <w:rPr>
          <w:i/>
        </w:rPr>
        <w:t>Trace Context Specification</w:t>
      </w:r>
      <w:r>
        <w:t>. https://www.w3.org/TR/trace-context/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200"/>
      <w:ind w:left="227"/>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