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0D081">
      <w:pPr>
        <w:jc w:val="center"/>
        <w:rPr>
          <w:rFonts w:hint="default" w:ascii="Calibri" w:hAnsi="Calibri" w:cs="Calibri" w:eastAsiaTheme="minorEastAsia"/>
          <w:b/>
          <w:bCs/>
          <w:sz w:val="28"/>
          <w:szCs w:val="28"/>
        </w:rPr>
      </w:pPr>
      <w:r>
        <w:rPr>
          <w:rFonts w:hint="default" w:ascii="Calibri" w:hAnsi="Calibri" w:cs="Calibri" w:eastAsiaTheme="minorEastAsia"/>
          <w:b/>
          <w:bCs/>
          <w:sz w:val="28"/>
          <w:szCs w:val="28"/>
        </w:rPr>
        <w:t>Agile Project</w:t>
      </w:r>
    </w:p>
    <w:p w14:paraId="7E9BDE65">
      <w:pPr>
        <w:jc w:val="center"/>
        <w:rPr>
          <w:rFonts w:hint="default" w:ascii="Calibri" w:hAnsi="Calibri" w:cs="Calibri" w:eastAsiaTheme="minorEastAsia"/>
          <w:b/>
          <w:bCs/>
          <w:sz w:val="28"/>
          <w:szCs w:val="28"/>
        </w:rPr>
      </w:pPr>
      <w:r>
        <w:rPr>
          <w:rFonts w:hint="default" w:ascii="Calibri" w:hAnsi="Calibri" w:cs="Calibri" w:eastAsiaTheme="minorEastAsia"/>
          <w:b/>
          <w:bCs/>
          <w:sz w:val="28"/>
          <w:szCs w:val="28"/>
        </w:rPr>
        <w:t>Project Proposal</w:t>
      </w:r>
    </w:p>
    <w:p w14:paraId="4528E0EE">
      <w:pPr>
        <w:spacing w:line="240" w:lineRule="auto"/>
        <w:jc w:val="left"/>
        <w:rPr>
          <w:rFonts w:hint="default" w:ascii="Calibri" w:hAnsi="Calibri" w:cs="Calibri" w:eastAsiaTheme="minorEastAsia"/>
          <w:b w:val="0"/>
          <w:bCs w:val="0"/>
          <w:lang w:val="en-GB"/>
        </w:rPr>
      </w:pPr>
      <w:r>
        <w:rPr>
          <w:rFonts w:hint="default" w:ascii="Calibri" w:hAnsi="Calibri" w:cs="Calibri" w:eastAsiaTheme="minorEastAsia"/>
          <w:b w:val="0"/>
          <w:bCs w:val="0"/>
          <w:lang w:val="en-GB"/>
        </w:rPr>
        <w:t>evSD_Group1 project members:</w:t>
      </w:r>
    </w:p>
    <w:p w14:paraId="205A868E">
      <w:pPr>
        <w:spacing w:line="240" w:lineRule="auto"/>
        <w:jc w:val="left"/>
        <w:rPr>
          <w:rFonts w:hint="default" w:ascii="Calibri" w:hAnsi="Calibri" w:cs="Calibri" w:eastAsiaTheme="minorEastAsia"/>
          <w:b w:val="0"/>
          <w:bCs w:val="0"/>
          <w:sz w:val="24"/>
          <w:szCs w:val="24"/>
          <w:lang w:val="en-GB"/>
        </w:rPr>
      </w:pPr>
      <w:r>
        <w:rPr>
          <w:rFonts w:hint="default" w:ascii="Calibri" w:hAnsi="Calibri" w:cs="Calibri" w:eastAsiaTheme="minorEastAsia"/>
          <w:b w:val="0"/>
          <w:bCs w:val="0"/>
          <w:sz w:val="24"/>
          <w:szCs w:val="24"/>
          <w:lang w:val="en-GB"/>
        </w:rPr>
        <w:t>Edita Buneviciene R00257694</w:t>
      </w:r>
    </w:p>
    <w:p w14:paraId="60DEFC0A">
      <w:pPr>
        <w:spacing w:line="240" w:lineRule="auto"/>
        <w:jc w:val="left"/>
        <w:rPr>
          <w:rFonts w:hint="default" w:ascii="Calibri" w:hAnsi="Calibri" w:cs="Calibri" w:eastAsiaTheme="minorEastAsia"/>
          <w:b w:val="0"/>
          <w:bCs w:val="0"/>
          <w:sz w:val="24"/>
          <w:szCs w:val="24"/>
          <w:lang w:val="en-GB"/>
        </w:rPr>
      </w:pPr>
      <w:r>
        <w:rPr>
          <w:rFonts w:hint="default" w:ascii="Calibri" w:hAnsi="Calibri" w:cs="Calibri" w:eastAsiaTheme="minorEastAsia"/>
          <w:b w:val="0"/>
          <w:bCs w:val="0"/>
          <w:sz w:val="24"/>
          <w:szCs w:val="24"/>
          <w:lang w:val="en-GB"/>
        </w:rPr>
        <w:t xml:space="preserve">Edward Tracey </w:t>
      </w:r>
      <w:r>
        <w:rPr>
          <w:rFonts w:hint="default" w:ascii="Calibri" w:hAnsi="Calibri" w:cs="Calibri" w:eastAsiaTheme="minorEastAsia"/>
          <w:i w:val="0"/>
          <w:iCs w:val="0"/>
          <w:color w:val="000000"/>
          <w:sz w:val="24"/>
          <w:szCs w:val="24"/>
          <w:u w:val="none"/>
          <w:vertAlign w:val="baseline"/>
        </w:rPr>
        <w:t>R00257771</w:t>
      </w:r>
    </w:p>
    <w:p w14:paraId="293F1AEA">
      <w:pPr>
        <w:spacing w:line="240" w:lineRule="auto"/>
        <w:jc w:val="left"/>
        <w:rPr>
          <w:rFonts w:hint="default" w:ascii="Calibri" w:hAnsi="Calibri" w:cs="Calibri" w:eastAsiaTheme="minorEastAsia"/>
          <w:b w:val="0"/>
          <w:bCs w:val="0"/>
          <w:sz w:val="24"/>
          <w:szCs w:val="24"/>
          <w:lang w:val="en-GB"/>
        </w:rPr>
      </w:pPr>
      <w:r>
        <w:rPr>
          <w:rFonts w:hint="default" w:ascii="Calibri" w:hAnsi="Calibri" w:cs="Calibri" w:eastAsiaTheme="minorEastAsia"/>
          <w:b w:val="0"/>
          <w:bCs w:val="0"/>
          <w:sz w:val="24"/>
          <w:szCs w:val="24"/>
          <w:lang w:val="en-GB"/>
        </w:rPr>
        <w:t xml:space="preserve">Dariusz Olczack Zwolinski </w:t>
      </w:r>
      <w:r>
        <w:rPr>
          <w:rFonts w:hint="default" w:ascii="Calibri" w:hAnsi="Calibri" w:cs="Calibri" w:eastAsiaTheme="minorEastAsia"/>
          <w:i w:val="0"/>
          <w:iCs w:val="0"/>
          <w:color w:val="000000"/>
          <w:sz w:val="24"/>
          <w:szCs w:val="24"/>
          <w:u w:val="none"/>
          <w:vertAlign w:val="baseline"/>
        </w:rPr>
        <w:t>R00242508</w:t>
      </w:r>
    </w:p>
    <w:p w14:paraId="23D3CC53">
      <w:pPr>
        <w:spacing w:line="240" w:lineRule="auto"/>
        <w:jc w:val="left"/>
        <w:rPr>
          <w:rFonts w:hint="default" w:ascii="Calibri" w:hAnsi="Calibri" w:cs="Calibri" w:eastAsiaTheme="minorEastAsia"/>
          <w:b w:val="0"/>
          <w:bCs w:val="0"/>
          <w:sz w:val="24"/>
          <w:szCs w:val="24"/>
          <w:lang w:val="en-GB"/>
        </w:rPr>
      </w:pPr>
      <w:r>
        <w:rPr>
          <w:rFonts w:hint="default" w:ascii="Calibri" w:hAnsi="Calibri" w:cs="Calibri" w:eastAsiaTheme="minorEastAsia"/>
          <w:b w:val="0"/>
          <w:bCs w:val="0"/>
          <w:sz w:val="24"/>
          <w:szCs w:val="24"/>
          <w:lang w:val="en-GB"/>
        </w:rPr>
        <w:t>Patrick Strand</w:t>
      </w:r>
    </w:p>
    <w:p w14:paraId="7DBC7CCB">
      <w:pPr>
        <w:spacing w:line="240" w:lineRule="auto"/>
        <w:jc w:val="left"/>
        <w:rPr>
          <w:rFonts w:hint="default" w:ascii="Calibri" w:hAnsi="Calibri" w:cs="Calibri" w:eastAsiaTheme="minorEastAsia"/>
          <w:b w:val="0"/>
          <w:bCs w:val="0"/>
          <w:lang w:val="en-GB"/>
        </w:rPr>
      </w:pPr>
    </w:p>
    <w:p w14:paraId="455EF62B">
      <w:pPr>
        <w:rPr>
          <w:rFonts w:hint="default" w:ascii="Calibri" w:hAnsi="Calibri" w:cs="Calibri" w:eastAsiaTheme="minorEastAsia"/>
        </w:rPr>
      </w:pPr>
      <w:r>
        <w:rPr>
          <w:rFonts w:hint="default" w:ascii="Calibri" w:hAnsi="Calibri" w:cs="Calibri" w:eastAsiaTheme="minorEastAsia"/>
        </w:rPr>
        <w:t xml:space="preserve">The dataset we pick is </w:t>
      </w:r>
      <w:r>
        <w:rPr>
          <w:rFonts w:hint="default" w:ascii="Calibri" w:hAnsi="Calibri" w:cs="Calibri" w:eastAsiaTheme="minorEastAsia"/>
          <w:b/>
          <w:bCs/>
        </w:rPr>
        <w:t xml:space="preserve">Global Health, Mortality and </w:t>
      </w:r>
      <w:r>
        <w:rPr>
          <w:rFonts w:hint="default" w:ascii="Calibri" w:hAnsi="Calibri" w:cs="Calibri" w:eastAsiaTheme="minorEastAsia"/>
          <w:b/>
          <w:bCs/>
          <w:lang w:val="en-GB"/>
        </w:rPr>
        <w:t>Disease trend</w:t>
      </w:r>
      <w:r>
        <w:rPr>
          <w:rFonts w:hint="default" w:ascii="Calibri" w:hAnsi="Calibri" w:cs="Calibri" w:eastAsiaTheme="minorEastAsia"/>
          <w:b/>
          <w:bCs/>
        </w:rPr>
        <w:t xml:space="preserve"> Since 2000</w:t>
      </w:r>
      <w:r>
        <w:rPr>
          <w:rFonts w:hint="default" w:ascii="Calibri" w:hAnsi="Calibri" w:cs="Calibri" w:eastAsiaTheme="minorEastAsia"/>
        </w:rPr>
        <w:t xml:space="preserve">, here is a link to it: </w:t>
      </w:r>
    </w:p>
    <w:p w14:paraId="3CAFBA82">
      <w:pPr>
        <w:rPr>
          <w:rFonts w:hint="default" w:ascii="Calibri" w:hAnsi="Calibri" w:cs="Calibri" w:eastAsiaTheme="minorEastAsia"/>
        </w:rPr>
      </w:pPr>
      <w:r>
        <w:rPr>
          <w:rFonts w:hint="default" w:ascii="Calibri" w:hAnsi="Calibri" w:cs="Calibri" w:eastAsiaTheme="minorEastAsia"/>
        </w:rPr>
        <w:fldChar w:fldCharType="begin"/>
      </w:r>
      <w:r>
        <w:rPr>
          <w:rFonts w:hint="default" w:ascii="Calibri" w:hAnsi="Calibri" w:cs="Calibri" w:eastAsiaTheme="minorEastAsia"/>
        </w:rPr>
        <w:instrText xml:space="preserve"> HYPERLINK "https://www.kaggle.com/datasets/shreyanshdangi/global-health-mortality-and-population-since-2000" </w:instrText>
      </w:r>
      <w:r>
        <w:rPr>
          <w:rFonts w:hint="default" w:ascii="Calibri" w:hAnsi="Calibri" w:cs="Calibri" w:eastAsiaTheme="minorEastAsia"/>
        </w:rPr>
        <w:fldChar w:fldCharType="separate"/>
      </w:r>
      <w:r>
        <w:rPr>
          <w:rStyle w:val="14"/>
          <w:rFonts w:hint="default" w:ascii="Calibri" w:hAnsi="Calibri" w:cs="Calibri" w:eastAsiaTheme="minorEastAsia"/>
        </w:rPr>
        <w:t>https://www.kaggle.com/datasets/shreyanshdangi/global-health-mortality-and-population-since-2000</w:t>
      </w:r>
      <w:r>
        <w:rPr>
          <w:rStyle w:val="15"/>
          <w:rFonts w:hint="default" w:ascii="Calibri" w:hAnsi="Calibri" w:cs="Calibri" w:eastAsiaTheme="minorEastAsia"/>
        </w:rPr>
        <w:fldChar w:fldCharType="end"/>
      </w:r>
    </w:p>
    <w:p w14:paraId="3C92E3C5">
      <w:pPr>
        <w:rPr>
          <w:rFonts w:hint="default" w:ascii="Calibri" w:hAnsi="Calibri" w:cs="Calibri" w:eastAsiaTheme="minorEastAsia"/>
        </w:rPr>
      </w:pPr>
      <w:r>
        <w:rPr>
          <w:rFonts w:hint="default" w:ascii="Calibri" w:hAnsi="Calibri" w:cs="Calibri" w:eastAsiaTheme="minorEastAsia"/>
        </w:rPr>
        <w:t>This dataset contains data about global health, mortality, disease trends, and population across countries from the year 2000 onward. Using this dataset, we analyse factors such as country, year, cause of mortality, and population size to explore health inequality between regions, identify unusual mortality trends, compare population growth patterns, and study the relationship between causes of death and demographic changes. The dataset is related to population studies, health organizations, and global development.</w:t>
      </w:r>
    </w:p>
    <w:p w14:paraId="6A38CE89">
      <w:pPr>
        <w:rPr>
          <w:rFonts w:hint="default" w:ascii="Calibri" w:hAnsi="Calibri" w:cs="Calibri" w:eastAsiaTheme="minorEastAsia"/>
        </w:rPr>
      </w:pPr>
      <w:r>
        <w:rPr>
          <w:rFonts w:hint="default" w:ascii="Calibri" w:hAnsi="Calibri" w:cs="Calibri" w:eastAsiaTheme="minorEastAsia"/>
        </w:rPr>
        <w:t xml:space="preserve">The dataset contains multiple years of records across many countries. The features include </w:t>
      </w:r>
      <w:r>
        <w:rPr>
          <w:rFonts w:hint="default" w:ascii="Calibri" w:hAnsi="Calibri" w:cs="Calibri" w:eastAsiaTheme="minorEastAsia"/>
          <w:b/>
          <w:bCs/>
        </w:rPr>
        <w:t>country, year, total population, crude birth rate, crude death rate, infant mortality, life expectancy, population growth rate, cause of death categories, disease-related mortality rates, and demographic in</w:t>
      </w:r>
      <w:bookmarkStart w:id="0" w:name="_GoBack"/>
      <w:bookmarkEnd w:id="0"/>
      <w:r>
        <w:rPr>
          <w:rFonts w:hint="default" w:ascii="Calibri" w:hAnsi="Calibri" w:cs="Calibri" w:eastAsiaTheme="minorEastAsia"/>
          <w:b/>
          <w:bCs/>
        </w:rPr>
        <w:t>dicators</w:t>
      </w:r>
      <w:r>
        <w:rPr>
          <w:rFonts w:hint="default" w:ascii="Calibri" w:hAnsi="Calibri" w:cs="Calibri" w:eastAsiaTheme="minorEastAsia"/>
        </w:rPr>
        <w:t>.</w:t>
      </w:r>
    </w:p>
    <w:p w14:paraId="5F537708">
      <w:pPr>
        <w:rPr>
          <w:rFonts w:hint="default" w:ascii="Calibri" w:hAnsi="Calibri" w:cs="Calibri" w:eastAsiaTheme="minorEastAsia"/>
        </w:rPr>
      </w:pPr>
      <w:r>
        <w:rPr>
          <w:rFonts w:hint="default" w:ascii="Calibri" w:hAnsi="Calibri" w:cs="Calibri" w:eastAsiaTheme="minorEastAsia"/>
        </w:rPr>
        <w:t>The data presented is both numerical and categorical.</w:t>
      </w:r>
    </w:p>
    <w:p w14:paraId="26619E30">
      <w:pPr>
        <w:rPr>
          <w:rFonts w:hint="default" w:ascii="Calibri" w:hAnsi="Calibri" w:cs="Calibri" w:eastAsiaTheme="minorEastAsia"/>
        </w:rPr>
      </w:pPr>
    </w:p>
    <w:p w14:paraId="58937571">
      <w:pPr>
        <w:rPr>
          <w:rFonts w:hint="default" w:ascii="Calibri" w:hAnsi="Calibri" w:cs="Calibri" w:eastAsiaTheme="minorEastAsia"/>
        </w:rPr>
      </w:pPr>
    </w:p>
    <w:p w14:paraId="3E32A249">
      <w:pPr>
        <w:rPr>
          <w:rFonts w:hint="eastAsia" w:asciiTheme="minorEastAsia" w:hAnsiTheme="minorEastAsia" w:eastAsiaTheme="minorEastAsia" w:cstheme="minorEastAsia"/>
        </w:rPr>
      </w:pPr>
      <w:r>
        <w:rPr>
          <w:rFonts w:hint="eastAsia" w:asciiTheme="minorEastAsia" w:hAnsiTheme="minorEastAsia" w:eastAsiaTheme="minorEastAsia" w:cstheme="minorEastAsia"/>
          <w:i w:val="0"/>
          <w:iCs w:val="0"/>
          <w:caps w:val="0"/>
          <w:color w:val="3C4043"/>
          <w:spacing w:val="0"/>
          <w:sz w:val="21"/>
          <w:szCs w:val="21"/>
          <w:shd w:val="clear" w:fill="FFFFFF"/>
        </w:rPr>
        <w:t>The dataset was built to support research in public health, demographics, and sustainable development goals (SDGs). It contains indicators such as immunization coverage, sanitation access, drinking water services, health expenditures, hospital resources, disease incidence, mortality rates, fertility rates, HIV/AIDS data, maternal health, and many more. By providing this data in a single collection, the goal is to help users explore long-term global health patterns, identify disparities between rural and urban populations, and understand how healthcare systems affect life expectancy and mortality over time.</w:t>
      </w:r>
    </w:p>
    <w:p w14:paraId="3AAD5506">
      <w:pPr>
        <w:rPr>
          <w:rFonts w:hint="default" w:ascii="Calibri" w:hAnsi="Calibri" w:cs="Calibri" w:eastAsiaTheme="minorEastAsia"/>
        </w:rPr>
      </w:pPr>
    </w:p>
    <w:p w14:paraId="4106DC7B">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8F9FA"/>
        <w:spacing w:before="0" w:beforeAutospacing="0" w:after="240" w:afterAutospacing="0"/>
        <w:ind w:left="0" w:right="0" w:firstLine="0"/>
        <w:textAlignment w:val="baseline"/>
        <w:rPr>
          <w:rFonts w:hint="eastAsia" w:asciiTheme="minorEastAsia" w:hAnsiTheme="minorEastAsia" w:eastAsiaTheme="minorEastAsia" w:cstheme="minorEastAsia"/>
          <w:i w:val="0"/>
          <w:iCs w:val="0"/>
          <w:caps w:val="0"/>
          <w:color w:val="3C4043"/>
          <w:spacing w:val="0"/>
          <w:sz w:val="21"/>
          <w:szCs w:val="21"/>
        </w:rPr>
      </w:pPr>
      <w:r>
        <w:rPr>
          <w:rStyle w:val="17"/>
          <w:rFonts w:hint="eastAsia" w:asciiTheme="minorEastAsia" w:hAnsiTheme="minorEastAsia" w:eastAsiaTheme="minorEastAsia" w:cstheme="minorEastAsia"/>
          <w:b/>
          <w:bCs/>
          <w:i w:val="0"/>
          <w:iCs w:val="0"/>
          <w:caps w:val="0"/>
          <w:color w:val="3C4043"/>
          <w:spacing w:val="0"/>
          <w:sz w:val="21"/>
          <w:szCs w:val="21"/>
          <w:bdr w:val="none" w:color="auto" w:sz="0" w:space="0"/>
          <w:shd w:val="clear" w:fill="F8F9FA"/>
          <w:vertAlign w:val="baseline"/>
        </w:rPr>
        <w:t>This dataset provides a historical, country-wise collection of indicators such as:</w:t>
      </w:r>
    </w:p>
    <w:p w14:paraId="6FA8CBA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hanging="360"/>
        <w:textAlignment w:val="baseline"/>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Immunization rates (</w:t>
      </w:r>
      <w:r>
        <w:rPr>
          <w:rStyle w:val="13"/>
          <w:rFonts w:hint="eastAsia" w:asciiTheme="minorEastAsia" w:hAnsiTheme="minorEastAsia" w:eastAsiaTheme="minorEastAsia" w:cstheme="minorEastAsia"/>
          <w:i/>
          <w:iCs/>
          <w:caps w:val="0"/>
          <w:color w:val="3C4043"/>
          <w:spacing w:val="0"/>
          <w:sz w:val="21"/>
          <w:szCs w:val="21"/>
          <w:bdr w:val="none" w:color="auto" w:sz="0" w:space="0"/>
          <w:shd w:val="clear" w:fill="F8F9FA"/>
          <w:vertAlign w:val="baseline"/>
        </w:rPr>
        <w:t>DPT, HepB3, Measles</w:t>
      </w: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w:t>
      </w:r>
    </w:p>
    <w:p w14:paraId="4266F1C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hanging="360"/>
        <w:textAlignment w:val="baseline"/>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Access to basic services (</w:t>
      </w:r>
      <w:r>
        <w:rPr>
          <w:rStyle w:val="13"/>
          <w:rFonts w:hint="eastAsia" w:asciiTheme="minorEastAsia" w:hAnsiTheme="minorEastAsia" w:eastAsiaTheme="minorEastAsia" w:cstheme="minorEastAsia"/>
          <w:i/>
          <w:iCs/>
          <w:caps w:val="0"/>
          <w:color w:val="3C4043"/>
          <w:spacing w:val="0"/>
          <w:sz w:val="21"/>
          <w:szCs w:val="21"/>
          <w:bdr w:val="none" w:color="auto" w:sz="0" w:space="0"/>
          <w:shd w:val="clear" w:fill="F8F9FA"/>
          <w:vertAlign w:val="baseline"/>
        </w:rPr>
        <w:t>drinking water, sanitation – urban &amp; rural</w:t>
      </w: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w:t>
      </w:r>
    </w:p>
    <w:p w14:paraId="081EBFD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hanging="360"/>
        <w:textAlignment w:val="baseline"/>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Healthcare system metrics (</w:t>
      </w:r>
      <w:r>
        <w:rPr>
          <w:rStyle w:val="13"/>
          <w:rFonts w:hint="eastAsia" w:asciiTheme="minorEastAsia" w:hAnsiTheme="minorEastAsia" w:eastAsiaTheme="minorEastAsia" w:cstheme="minorEastAsia"/>
          <w:i/>
          <w:iCs/>
          <w:caps w:val="0"/>
          <w:color w:val="3C4043"/>
          <w:spacing w:val="0"/>
          <w:sz w:val="21"/>
          <w:szCs w:val="21"/>
          <w:bdr w:val="none" w:color="auto" w:sz="0" w:space="0"/>
          <w:shd w:val="clear" w:fill="F8F9FA"/>
          <w:vertAlign w:val="baseline"/>
        </w:rPr>
        <w:t>expenditure, hospital beds, physicians, nurses</w:t>
      </w: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w:t>
      </w:r>
    </w:p>
    <w:p w14:paraId="1F88205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hanging="360"/>
        <w:textAlignment w:val="baseline"/>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Mortality rates (</w:t>
      </w:r>
      <w:r>
        <w:rPr>
          <w:rStyle w:val="13"/>
          <w:rFonts w:hint="eastAsia" w:asciiTheme="minorEastAsia" w:hAnsiTheme="minorEastAsia" w:eastAsiaTheme="minorEastAsia" w:cstheme="minorEastAsia"/>
          <w:i/>
          <w:iCs/>
          <w:caps w:val="0"/>
          <w:color w:val="3C4043"/>
          <w:spacing w:val="0"/>
          <w:sz w:val="21"/>
          <w:szCs w:val="21"/>
          <w:bdr w:val="none" w:color="auto" w:sz="0" w:space="0"/>
          <w:shd w:val="clear" w:fill="F8F9FA"/>
          <w:vertAlign w:val="baseline"/>
        </w:rPr>
        <w:t>infant, child, adult, neonatal, cause-specific</w:t>
      </w: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w:t>
      </w:r>
    </w:p>
    <w:p w14:paraId="17521BD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hanging="360"/>
        <w:textAlignment w:val="baseline"/>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Life expectancy (</w:t>
      </w:r>
      <w:r>
        <w:rPr>
          <w:rStyle w:val="13"/>
          <w:rFonts w:hint="eastAsia" w:asciiTheme="minorEastAsia" w:hAnsiTheme="minorEastAsia" w:eastAsiaTheme="minorEastAsia" w:cstheme="minorEastAsia"/>
          <w:i/>
          <w:iCs/>
          <w:caps w:val="0"/>
          <w:color w:val="3C4043"/>
          <w:spacing w:val="0"/>
          <w:sz w:val="21"/>
          <w:szCs w:val="21"/>
          <w:bdr w:val="none" w:color="auto" w:sz="0" w:space="0"/>
          <w:shd w:val="clear" w:fill="F8F9FA"/>
          <w:vertAlign w:val="baseline"/>
        </w:rPr>
        <w:t>male, female, total</w:t>
      </w: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w:t>
      </w:r>
    </w:p>
    <w:p w14:paraId="0FD2462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hanging="360"/>
        <w:textAlignment w:val="baseline"/>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Disease burden &amp; treatment (</w:t>
      </w:r>
      <w:r>
        <w:rPr>
          <w:rStyle w:val="13"/>
          <w:rFonts w:hint="eastAsia" w:asciiTheme="minorEastAsia" w:hAnsiTheme="minorEastAsia" w:eastAsiaTheme="minorEastAsia" w:cstheme="minorEastAsia"/>
          <w:i/>
          <w:iCs/>
          <w:caps w:val="0"/>
          <w:color w:val="3C4043"/>
          <w:spacing w:val="0"/>
          <w:sz w:val="21"/>
          <w:szCs w:val="21"/>
          <w:bdr w:val="none" w:color="auto" w:sz="0" w:space="0"/>
          <w:shd w:val="clear" w:fill="F8F9FA"/>
          <w:vertAlign w:val="baseline"/>
        </w:rPr>
        <w:t>HIV, TB, malaria incidence &amp; treatment success</w:t>
      </w: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w:t>
      </w:r>
    </w:p>
    <w:p w14:paraId="2292EFD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hanging="360"/>
        <w:textAlignment w:val="baseline"/>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Maternal &amp; child health (</w:t>
      </w:r>
      <w:r>
        <w:rPr>
          <w:rStyle w:val="13"/>
          <w:rFonts w:hint="eastAsia" w:asciiTheme="minorEastAsia" w:hAnsiTheme="minorEastAsia" w:eastAsiaTheme="minorEastAsia" w:cstheme="minorEastAsia"/>
          <w:i/>
          <w:iCs/>
          <w:caps w:val="0"/>
          <w:color w:val="3C4043"/>
          <w:spacing w:val="0"/>
          <w:sz w:val="21"/>
          <w:szCs w:val="21"/>
          <w:bdr w:val="none" w:color="auto" w:sz="0" w:space="0"/>
          <w:shd w:val="clear" w:fill="F8F9FA"/>
          <w:vertAlign w:val="baseline"/>
        </w:rPr>
        <w:t>maternal mortality, skilled birth attendance, adolescent fertility</w:t>
      </w: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w:t>
      </w:r>
    </w:p>
    <w:p w14:paraId="7A9F725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hanging="360"/>
        <w:textAlignment w:val="baseline"/>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Health risks &amp; behavior (</w:t>
      </w:r>
      <w:r>
        <w:rPr>
          <w:rStyle w:val="13"/>
          <w:rFonts w:hint="eastAsia" w:asciiTheme="minorEastAsia" w:hAnsiTheme="minorEastAsia" w:eastAsiaTheme="minorEastAsia" w:cstheme="minorEastAsia"/>
          <w:i/>
          <w:iCs/>
          <w:caps w:val="0"/>
          <w:color w:val="3C4043"/>
          <w:spacing w:val="0"/>
          <w:sz w:val="21"/>
          <w:szCs w:val="21"/>
          <w:bdr w:val="none" w:color="auto" w:sz="0" w:space="0"/>
          <w:shd w:val="clear" w:fill="F8F9FA"/>
          <w:vertAlign w:val="baseline"/>
        </w:rPr>
        <w:t>suicide rates, alcohol consumption, catastrophic health expenditure</w:t>
      </w: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w:t>
      </w:r>
    </w:p>
    <w:p w14:paraId="33EE820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hanging="360"/>
        <w:textAlignment w:val="baseline"/>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Population dynamics (</w:t>
      </w:r>
      <w:r>
        <w:rPr>
          <w:rStyle w:val="13"/>
          <w:rFonts w:hint="eastAsia" w:asciiTheme="minorEastAsia" w:hAnsiTheme="minorEastAsia" w:eastAsiaTheme="minorEastAsia" w:cstheme="minorEastAsia"/>
          <w:i/>
          <w:iCs/>
          <w:caps w:val="0"/>
          <w:color w:val="3C4043"/>
          <w:spacing w:val="0"/>
          <w:sz w:val="21"/>
          <w:szCs w:val="21"/>
          <w:bdr w:val="none" w:color="auto" w:sz="0" w:space="0"/>
          <w:shd w:val="clear" w:fill="F8F9FA"/>
          <w:vertAlign w:val="baseline"/>
        </w:rPr>
        <w:t>birth &amp; death rates, dependency ratios, population growth</w:t>
      </w: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w:t>
      </w:r>
    </w:p>
    <w:p w14:paraId="74507DDC">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8F9FA"/>
        <w:spacing w:before="0" w:beforeAutospacing="0" w:after="240" w:afterAutospacing="0"/>
        <w:ind w:left="0" w:right="0" w:firstLine="0"/>
        <w:textAlignment w:val="baseline"/>
        <w:rPr>
          <w:rFonts w:hint="eastAsia" w:asciiTheme="minorEastAsia" w:hAnsiTheme="minorEastAsia" w:eastAsiaTheme="minorEastAsia" w:cstheme="minorEastAsia"/>
          <w:i w:val="0"/>
          <w:iCs w:val="0"/>
          <w:caps w:val="0"/>
          <w:color w:val="3C4043"/>
          <w:spacing w:val="0"/>
          <w:sz w:val="21"/>
          <w:szCs w:val="21"/>
        </w:rPr>
      </w:pPr>
      <w:r>
        <w:rPr>
          <w:rStyle w:val="17"/>
          <w:rFonts w:hint="eastAsia" w:asciiTheme="minorEastAsia" w:hAnsiTheme="minorEastAsia" w:eastAsiaTheme="minorEastAsia" w:cstheme="minorEastAsia"/>
          <w:b/>
          <w:bCs/>
          <w:i w:val="0"/>
          <w:iCs w:val="0"/>
          <w:caps w:val="0"/>
          <w:color w:val="3C4043"/>
          <w:spacing w:val="0"/>
          <w:sz w:val="21"/>
          <w:szCs w:val="21"/>
          <w:bdr w:val="none" w:color="auto" w:sz="0" w:space="0"/>
          <w:shd w:val="clear" w:fill="F8F9FA"/>
          <w:vertAlign w:val="baseline"/>
        </w:rPr>
        <w:t>This dataset is designed to:</w:t>
      </w:r>
    </w:p>
    <w:p w14:paraId="0AF279D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hanging="360"/>
        <w:textAlignment w:val="baseline"/>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Enable cross-country comparisons of health and mortality trends.</w:t>
      </w:r>
    </w:p>
    <w:p w14:paraId="76E5041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hanging="360"/>
        <w:textAlignment w:val="baseline"/>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Support predictive modeling and forecasting of healthcare needs.</w:t>
      </w:r>
    </w:p>
    <w:p w14:paraId="6825E4B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hanging="360"/>
        <w:textAlignment w:val="baseline"/>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Provide evidence-based insights for policy development.</w:t>
      </w:r>
    </w:p>
    <w:p w14:paraId="0B2C0E8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hanging="360"/>
        <w:textAlignment w:val="baseline"/>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3C4043"/>
          <w:spacing w:val="0"/>
          <w:sz w:val="21"/>
          <w:szCs w:val="21"/>
          <w:bdr w:val="none" w:color="auto" w:sz="0" w:space="0"/>
          <w:shd w:val="clear" w:fill="F8F9FA"/>
          <w:vertAlign w:val="baseline"/>
        </w:rPr>
        <w:t>Assist in academic research, reports, and data visualization projects.</w:t>
      </w:r>
    </w:p>
    <w:p w14:paraId="0D7A48DB">
      <w:pPr>
        <w:rPr>
          <w:rFonts w:hint="default" w:ascii="Calibri" w:hAnsi="Calibri" w:cs="Calibri" w:eastAsiaTheme="minorEastAsia"/>
        </w:rPr>
      </w:pPr>
    </w:p>
    <w:p w14:paraId="564BB6D6">
      <w:pPr>
        <w:rPr>
          <w:rFonts w:hint="default" w:ascii="Calibri" w:hAnsi="Calibri" w:cs="Calibri" w:eastAsiaTheme="minorEastAsia"/>
        </w:rPr>
      </w:pPr>
    </w:p>
    <w:p w14:paraId="70CB7A32">
      <w:pPr>
        <w:rPr>
          <w:rFonts w:hint="default" w:ascii="Calibri" w:hAnsi="Calibri" w:cs="Calibri" w:eastAsiaTheme="minorEastAsia"/>
        </w:rPr>
      </w:pPr>
    </w:p>
    <w:p w14:paraId="12730C75">
      <w:pPr>
        <w:rPr>
          <w:rFonts w:hint="default" w:ascii="Calibri" w:hAnsi="Calibri" w:cs="Calibri" w:eastAsiaTheme="minorEastAsia"/>
          <w:lang w:val="en-GB"/>
        </w:rPr>
      </w:pPr>
      <w:r>
        <w:rPr>
          <w:rFonts w:hint="default" w:ascii="Calibri" w:hAnsi="Calibri" w:cs="Calibri" w:eastAsiaTheme="minorEastAsia"/>
          <w:lang w:val="en-GB"/>
        </w:rPr>
        <w:t>Rows  in dataset:</w:t>
      </w:r>
    </w:p>
    <w:p w14:paraId="3010E83D">
      <w:pPr>
        <w:rPr>
          <w:rFonts w:hint="default" w:ascii="Calibri" w:hAnsi="Calibri" w:cs="Calibri" w:eastAsiaTheme="minorEastAsia"/>
        </w:rPr>
      </w:pPr>
    </w:p>
    <w:tbl>
      <w:tblPr>
        <w:tblW w:w="79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149"/>
      </w:tblGrid>
      <w:tr w14:paraId="32AF2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7920" w:type="dxa"/>
            <w:shd w:val="clear"/>
            <w:noWrap/>
            <w:vAlign w:val="center"/>
          </w:tcPr>
          <w:p w14:paraId="5A85442E">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Adolescent fertility rate (births per 1,000 women ages 15-19)</w:t>
            </w:r>
          </w:p>
        </w:tc>
      </w:tr>
      <w:tr w14:paraId="4B0C4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64198FA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Adults (ages 15+) and children (ages 0-14) newly infected with HIV</w:t>
            </w:r>
          </w:p>
        </w:tc>
      </w:tr>
      <w:tr w14:paraId="4EE6B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50489BA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Adults (ages 15-49) newly infected with HIV</w:t>
            </w:r>
          </w:p>
        </w:tc>
      </w:tr>
      <w:tr w14:paraId="09A41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1ACEC17E">
            <w:pPr>
              <w:keepNext w:val="0"/>
              <w:keepLines w:val="0"/>
              <w:widowControl/>
              <w:suppressLineNumbers w:val="0"/>
              <w:jc w:val="left"/>
              <w:textAlignment w:val="center"/>
              <w:rPr>
                <w:rFonts w:hint="default" w:ascii="Calibri" w:hAnsi="Calibri" w:cs="Calibri"/>
                <w:i/>
                <w:iCs/>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Age dependency ratio (% of working-age population)</w:t>
            </w:r>
          </w:p>
        </w:tc>
      </w:tr>
      <w:tr w14:paraId="3EC8B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5CFAEC20">
            <w:pPr>
              <w:keepNext w:val="0"/>
              <w:keepLines w:val="0"/>
              <w:widowControl/>
              <w:suppressLineNumbers w:val="0"/>
              <w:jc w:val="left"/>
              <w:textAlignment w:val="center"/>
              <w:rPr>
                <w:rFonts w:hint="default" w:ascii="Calibri" w:hAnsi="Calibri" w:cs="Calibri"/>
                <w:i/>
                <w:iCs/>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Age dependency ratio, old (% of working-age population)</w:t>
            </w:r>
          </w:p>
        </w:tc>
      </w:tr>
      <w:tr w14:paraId="3350F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4C69F26D">
            <w:pPr>
              <w:keepNext w:val="0"/>
              <w:keepLines w:val="0"/>
              <w:widowControl/>
              <w:suppressLineNumbers w:val="0"/>
              <w:jc w:val="left"/>
              <w:textAlignment w:val="center"/>
              <w:rPr>
                <w:rFonts w:hint="default" w:ascii="Calibri" w:hAnsi="Calibri" w:cs="Calibri"/>
                <w:i/>
                <w:iCs/>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Age dependency ratio, young (% of working-age population)</w:t>
            </w:r>
          </w:p>
        </w:tc>
      </w:tr>
      <w:tr w14:paraId="59B10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46010908">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Antiretroviral therapy coverage (% of people living with HIV)</w:t>
            </w:r>
          </w:p>
        </w:tc>
      </w:tr>
      <w:tr w14:paraId="10141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64154772">
            <w:pPr>
              <w:keepNext w:val="0"/>
              <w:keepLines w:val="0"/>
              <w:widowControl/>
              <w:suppressLineNumbers w:val="0"/>
              <w:jc w:val="left"/>
              <w:textAlignment w:val="center"/>
              <w:rPr>
                <w:rFonts w:hint="default" w:ascii="Calibri" w:hAnsi="Calibri" w:cs="Calibri"/>
                <w:i/>
                <w:iCs/>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Birth rate, crude (per 1,000 people)</w:t>
            </w:r>
          </w:p>
        </w:tc>
      </w:tr>
      <w:tr w14:paraId="61B6E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72B65CB5">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Births attended by skilled health staff (% of total)</w:t>
            </w:r>
          </w:p>
        </w:tc>
      </w:tr>
      <w:tr w14:paraId="55B3B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0195FF6D">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Children (0-14) living with HIV</w:t>
            </w:r>
          </w:p>
        </w:tc>
      </w:tr>
      <w:tr w14:paraId="312E2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6ECB118E">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Children (ages 0-14) newly infected with HIV</w:t>
            </w:r>
          </w:p>
        </w:tc>
      </w:tr>
      <w:tr w14:paraId="6FAFC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0AE6A83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Current health expenditure (% of GDP)</w:t>
            </w:r>
          </w:p>
        </w:tc>
      </w:tr>
      <w:tr w14:paraId="39C23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61FE4BA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Current health expenditure per capita (current US$)</w:t>
            </w:r>
          </w:p>
        </w:tc>
      </w:tr>
      <w:tr w14:paraId="6D415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7775E0C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Current health expenditure per capita, PPP (current international $)</w:t>
            </w:r>
          </w:p>
        </w:tc>
      </w:tr>
      <w:tr w14:paraId="1748B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5386C33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Death rate, crude (per 1,000 people)</w:t>
            </w:r>
          </w:p>
        </w:tc>
      </w:tr>
      <w:tr w14:paraId="5A565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001A6DB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Domestic general government health expenditure (% of current health expenditure)</w:t>
            </w:r>
          </w:p>
        </w:tc>
      </w:tr>
      <w:tr w14:paraId="6D3C4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1A5FF484">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Domestic general government health expenditure (% of GDP)</w:t>
            </w:r>
          </w:p>
        </w:tc>
      </w:tr>
      <w:tr w14:paraId="635B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6812B8EA">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Domestic general government health expenditure (% of general government expenditure)</w:t>
            </w:r>
          </w:p>
        </w:tc>
      </w:tr>
      <w:tr w14:paraId="3AC73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1A1BFF11">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Domestic general government health expenditure per capita (current US$)</w:t>
            </w:r>
          </w:p>
        </w:tc>
      </w:tr>
      <w:tr w14:paraId="1E2A2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21EE66FA">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Domestic general government health expenditure per capita, PPP (current international $)</w:t>
            </w:r>
          </w:p>
        </w:tc>
      </w:tr>
      <w:tr w14:paraId="7C7D4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5B636EA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Domestic private health expenditure (% of current health expenditure)</w:t>
            </w:r>
          </w:p>
        </w:tc>
      </w:tr>
      <w:tr w14:paraId="1534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678A537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Domestic private health expenditure per capita (current US$)</w:t>
            </w:r>
          </w:p>
        </w:tc>
      </w:tr>
      <w:tr w14:paraId="1C378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1E9EFB7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Domestic private health expenditure per capita, PPP (current international $)</w:t>
            </w:r>
          </w:p>
        </w:tc>
      </w:tr>
      <w:tr w14:paraId="77824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27DEEFE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External health expenditure (% of current health expenditure)</w:t>
            </w:r>
          </w:p>
        </w:tc>
      </w:tr>
      <w:tr w14:paraId="156B0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65E6530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External health expenditure per capita (current US$)</w:t>
            </w:r>
          </w:p>
        </w:tc>
      </w:tr>
      <w:tr w14:paraId="1346D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6473A42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External health expenditure per capita, PPP (current international $)</w:t>
            </w:r>
          </w:p>
        </w:tc>
      </w:tr>
      <w:tr w14:paraId="35F51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1DFDC65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Fertility rate, total (births per woman)</w:t>
            </w:r>
          </w:p>
        </w:tc>
      </w:tr>
      <w:tr w14:paraId="2587A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05A566AA">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Hospital beds (per 1,000 people)</w:t>
            </w:r>
          </w:p>
        </w:tc>
      </w:tr>
      <w:tr w14:paraId="265B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6FBF44B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Immunization, DPT (% of children ages 12-23 months)</w:t>
            </w:r>
          </w:p>
        </w:tc>
      </w:tr>
      <w:tr w14:paraId="2ACF2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36FA2BA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Immunization, HepB3 (% of one-year-old children)</w:t>
            </w:r>
          </w:p>
        </w:tc>
      </w:tr>
      <w:tr w14:paraId="61264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4B2A181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Immunization, measles (% of children ages 12-23 months)</w:t>
            </w:r>
          </w:p>
        </w:tc>
      </w:tr>
      <w:tr w14:paraId="29472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3287C037">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Incidence of HIV, ages 15-24 (per 1,000 uninfected population ages 15-24)</w:t>
            </w:r>
          </w:p>
        </w:tc>
      </w:tr>
      <w:tr w14:paraId="38403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5B48ECAF">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Incidence of HIV, all (per 1,000 uninfected population)</w:t>
            </w:r>
          </w:p>
        </w:tc>
      </w:tr>
      <w:tr w14:paraId="70E77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2ED681CA">
            <w:pPr>
              <w:keepNext w:val="0"/>
              <w:keepLines w:val="0"/>
              <w:widowControl/>
              <w:suppressLineNumbers w:val="0"/>
              <w:jc w:val="left"/>
              <w:textAlignment w:val="center"/>
              <w:rPr>
                <w:rFonts w:hint="default" w:ascii="Calibri" w:hAnsi="Calibri" w:cs="Calibri"/>
                <w:i/>
                <w:iCs/>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Incidence of malaria (per 1,000 population at risk)</w:t>
            </w:r>
          </w:p>
        </w:tc>
      </w:tr>
      <w:tr w14:paraId="14BDB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7ECE2DCC">
            <w:pPr>
              <w:keepNext w:val="0"/>
              <w:keepLines w:val="0"/>
              <w:widowControl/>
              <w:suppressLineNumbers w:val="0"/>
              <w:jc w:val="left"/>
              <w:textAlignment w:val="center"/>
              <w:rPr>
                <w:rFonts w:hint="default" w:ascii="Calibri" w:hAnsi="Calibri" w:cs="Calibri"/>
                <w:i/>
                <w:iCs/>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Incidence of tuberculosis (per 100,000 people)</w:t>
            </w:r>
          </w:p>
        </w:tc>
      </w:tr>
      <w:tr w14:paraId="59FD6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7F58CFC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Life expectancy at birth, female (years)</w:t>
            </w:r>
          </w:p>
        </w:tc>
      </w:tr>
      <w:tr w14:paraId="763F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6D408152">
            <w:pPr>
              <w:keepNext w:val="0"/>
              <w:keepLines w:val="0"/>
              <w:widowControl/>
              <w:suppressLineNumbers w:val="0"/>
              <w:jc w:val="left"/>
              <w:textAlignment w:val="center"/>
              <w:rPr>
                <w:rFonts w:hint="default" w:ascii="Calibri" w:hAnsi="Calibri" w:cs="Calibri"/>
                <w:i/>
                <w:iCs/>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Life expectancy at birth, male (years)</w:t>
            </w:r>
          </w:p>
        </w:tc>
      </w:tr>
      <w:tr w14:paraId="311A6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4BB58218">
            <w:pPr>
              <w:keepNext w:val="0"/>
              <w:keepLines w:val="0"/>
              <w:widowControl/>
              <w:suppressLineNumbers w:val="0"/>
              <w:jc w:val="left"/>
              <w:textAlignment w:val="center"/>
              <w:rPr>
                <w:rFonts w:hint="default" w:ascii="Calibri" w:hAnsi="Calibri" w:cs="Calibri"/>
                <w:i/>
                <w:iCs/>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Life expectancy at birth, total (years)</w:t>
            </w:r>
          </w:p>
        </w:tc>
      </w:tr>
      <w:tr w14:paraId="66981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765FD28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Lifetime risk of maternal death (%)</w:t>
            </w:r>
          </w:p>
        </w:tc>
      </w:tr>
      <w:tr w14:paraId="311FB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2D58FB3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Lifetime risk of maternal death (1 in: rate varies by country)</w:t>
            </w:r>
          </w:p>
        </w:tc>
      </w:tr>
      <w:tr w14:paraId="51C2E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71384F4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Maternal mortality ratio (modeled estimate, per 100,000 live births)</w:t>
            </w:r>
          </w:p>
        </w:tc>
      </w:tr>
      <w:tr w14:paraId="50CEC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177EFAF2">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Maternal mortality ratio (national estimate, per 100,000 live births)</w:t>
            </w:r>
          </w:p>
        </w:tc>
      </w:tr>
      <w:tr w14:paraId="58049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1A0E26FE">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Mortality caused by road traffic injury (per 100,000 population)</w:t>
            </w:r>
          </w:p>
        </w:tc>
      </w:tr>
      <w:tr w14:paraId="37144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548C1A8C">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Mortality from CVD, cancer, diabetes or CRD between exact ages 30 and 70 (%)</w:t>
            </w:r>
          </w:p>
        </w:tc>
      </w:tr>
      <w:tr w14:paraId="6A0C7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6CD630FA">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Mortality from CVD, cancer, diabetes or CRD between exact ages 30 and 70, female (%)</w:t>
            </w:r>
          </w:p>
        </w:tc>
      </w:tr>
      <w:tr w14:paraId="0C86A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4FDDFDA2">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Mortality rate attributed to unintentional poisoning (per 100,000 population)</w:t>
            </w:r>
          </w:p>
        </w:tc>
      </w:tr>
      <w:tr w14:paraId="0E280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51C7C229">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Mortality rate attributed to unintentional poisoning, female (per 100,000 female population)</w:t>
            </w:r>
          </w:p>
        </w:tc>
      </w:tr>
      <w:tr w14:paraId="1333A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78226E30">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Mortality rate attributed to unintentional poisoning, male (per 100,000 male population)</w:t>
            </w:r>
          </w:p>
        </w:tc>
      </w:tr>
      <w:tr w14:paraId="27F78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0A6E2BD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Mortality rate, adult, female (per 1,000 female adults)</w:t>
            </w:r>
          </w:p>
        </w:tc>
      </w:tr>
      <w:tr w14:paraId="4E0F2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127526A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Mortality rate, adult, male (per 1,000 male adults)</w:t>
            </w:r>
          </w:p>
        </w:tc>
      </w:tr>
      <w:tr w14:paraId="1281C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47B8FFB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Mortality rate, infant (per 1,000 live births)</w:t>
            </w:r>
          </w:p>
        </w:tc>
      </w:tr>
      <w:tr w14:paraId="56D16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1B3EE37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Mortality rate, infant, female (per 1,000 live births)</w:t>
            </w:r>
          </w:p>
        </w:tc>
      </w:tr>
      <w:tr w14:paraId="733B1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3FDF957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Mortality rate, infant, male (per 1,000 live births)</w:t>
            </w:r>
          </w:p>
        </w:tc>
      </w:tr>
      <w:tr w14:paraId="6A81C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7FF16E8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Mortality rate, neonatal (per 1,000 live births)</w:t>
            </w:r>
          </w:p>
        </w:tc>
      </w:tr>
      <w:tr w14:paraId="5C43A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0FFB860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Mortality rate, under-5 (per 1,000 live births)</w:t>
            </w:r>
          </w:p>
        </w:tc>
      </w:tr>
      <w:tr w14:paraId="3BB49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2B17E54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Mortality rate, under-5, female (per 1,000 live births)</w:t>
            </w:r>
          </w:p>
        </w:tc>
      </w:tr>
      <w:tr w14:paraId="243F3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232317E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Mortality rate, under-5, male (per 1,000 live births)</w:t>
            </w:r>
          </w:p>
        </w:tc>
      </w:tr>
      <w:tr w14:paraId="25454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280BBE4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Newborns protected against tetanus (%)</w:t>
            </w:r>
          </w:p>
        </w:tc>
      </w:tr>
      <w:tr w14:paraId="564F7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30FBD2F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Number of deaths ages 10-14 years</w:t>
            </w:r>
          </w:p>
        </w:tc>
      </w:tr>
      <w:tr w14:paraId="07D2F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350088F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Number of deaths ages 15-19 years</w:t>
            </w:r>
          </w:p>
        </w:tc>
      </w:tr>
      <w:tr w14:paraId="6C837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350B02F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Number of deaths ages 20-24 years</w:t>
            </w:r>
          </w:p>
        </w:tc>
      </w:tr>
      <w:tr w14:paraId="2F9DE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124E6B7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Number of deaths ages 5-9 years</w:t>
            </w:r>
          </w:p>
        </w:tc>
      </w:tr>
      <w:tr w14:paraId="05451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717F20A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Number of infant deaths</w:t>
            </w:r>
          </w:p>
        </w:tc>
      </w:tr>
      <w:tr w14:paraId="0674F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702B69D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Number of maternal deaths</w:t>
            </w:r>
          </w:p>
        </w:tc>
      </w:tr>
      <w:tr w14:paraId="5EAE3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4B81EFB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Number of neonatal deaths</w:t>
            </w:r>
          </w:p>
        </w:tc>
      </w:tr>
      <w:tr w14:paraId="5B2C3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2A50598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Number of under-five deaths</w:t>
            </w:r>
          </w:p>
        </w:tc>
      </w:tr>
      <w:tr w14:paraId="1937B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6330D6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Nurses and midwives (per 1,000 people)</w:t>
            </w:r>
          </w:p>
        </w:tc>
      </w:tr>
      <w:tr w14:paraId="70ECC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63F4215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Out-of-pocket expenditure (% of current health expenditure)</w:t>
            </w:r>
          </w:p>
        </w:tc>
      </w:tr>
      <w:tr w14:paraId="4410A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4372DC5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Out-of-pocket expenditure per capita (current US$)</w:t>
            </w:r>
          </w:p>
        </w:tc>
      </w:tr>
      <w:tr w14:paraId="0F56B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56B7162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Out-of-pocket expenditure per capita, PPP (current international $)</w:t>
            </w:r>
          </w:p>
        </w:tc>
      </w:tr>
      <w:tr w14:paraId="51B47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0C2CB795">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practicing open defecation (% of population)</w:t>
            </w:r>
          </w:p>
        </w:tc>
      </w:tr>
      <w:tr w14:paraId="0F404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40FF60D8">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practicing open defecation, rural (% of rural population)</w:t>
            </w:r>
          </w:p>
        </w:tc>
      </w:tr>
      <w:tr w14:paraId="74F6B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641A02B5">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practicing open defecation, urban (% of urban population)</w:t>
            </w:r>
          </w:p>
        </w:tc>
      </w:tr>
      <w:tr w14:paraId="6CBED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265524AC">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using at least basic drinking water services (% of population)</w:t>
            </w:r>
          </w:p>
        </w:tc>
      </w:tr>
      <w:tr w14:paraId="380BD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40A0602D">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using at least basic drinking water services, rural (% of rural population)</w:t>
            </w:r>
          </w:p>
        </w:tc>
      </w:tr>
      <w:tr w14:paraId="12689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1C025EED">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using at least basic drinking water services, urban (% of urban population)</w:t>
            </w:r>
          </w:p>
        </w:tc>
      </w:tr>
      <w:tr w14:paraId="373D1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67654072">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using at least basic sanitation services (% of population)</w:t>
            </w:r>
          </w:p>
        </w:tc>
      </w:tr>
      <w:tr w14:paraId="2B57F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6927F7A4">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using at least basic sanitation services, rural (% of rural population)</w:t>
            </w:r>
          </w:p>
        </w:tc>
      </w:tr>
      <w:tr w14:paraId="73578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26BA2DEB">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using at least basic sanitation services, urban (% of urban population)</w:t>
            </w:r>
          </w:p>
        </w:tc>
      </w:tr>
      <w:tr w14:paraId="55AC3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3859FFAF">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using safely managed drinking water services (% of population)</w:t>
            </w:r>
          </w:p>
        </w:tc>
      </w:tr>
      <w:tr w14:paraId="305E8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3F81F60E">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using safely managed drinking water services, rural (% of rural population)</w:t>
            </w:r>
          </w:p>
        </w:tc>
      </w:tr>
      <w:tr w14:paraId="13D55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7ADF9AD8">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using safely managed drinking water services, urban (% of urban population)</w:t>
            </w:r>
          </w:p>
        </w:tc>
      </w:tr>
      <w:tr w14:paraId="529E0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12D0B1BE">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using safely managed sanitation services (% of population)</w:t>
            </w:r>
          </w:p>
        </w:tc>
      </w:tr>
      <w:tr w14:paraId="79787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2027A565">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using safely managed sanitation services, rural (% of rural population)</w:t>
            </w:r>
          </w:p>
        </w:tc>
      </w:tr>
      <w:tr w14:paraId="20C68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0DF17632">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People using safely managed sanitation services, urban (% of urban population)</w:t>
            </w:r>
          </w:p>
        </w:tc>
      </w:tr>
      <w:tr w14:paraId="1A387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136DB404">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Physicians (per 1,000 people)</w:t>
            </w:r>
          </w:p>
        </w:tc>
      </w:tr>
      <w:tr w14:paraId="2E74F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153A555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Population growth (annual %)</w:t>
            </w:r>
          </w:p>
        </w:tc>
      </w:tr>
      <w:tr w14:paraId="358DF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43E5F2C2">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Prevalence of HIV, female (% ages 15-24)</w:t>
            </w:r>
          </w:p>
        </w:tc>
      </w:tr>
      <w:tr w14:paraId="768C8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27532EE6">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Prevalence of HIV, male (% ages 15-24)</w:t>
            </w:r>
          </w:p>
        </w:tc>
      </w:tr>
      <w:tr w14:paraId="7AED4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39E14DE7">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Prevalence of HIV, total (% of population ages 15-49)</w:t>
            </w:r>
          </w:p>
        </w:tc>
      </w:tr>
      <w:tr w14:paraId="08F12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1BB1BAC4">
            <w:pPr>
              <w:keepNext w:val="0"/>
              <w:keepLines w:val="0"/>
              <w:widowControl/>
              <w:suppressLineNumbers w:val="0"/>
              <w:jc w:val="left"/>
              <w:textAlignment w:val="center"/>
              <w:rPr>
                <w:rFonts w:hint="default" w:ascii="Calibri" w:hAnsi="Calibri" w:cs="Calibri"/>
                <w:i/>
                <w:iCs/>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Probability of dying among adolescents ages 10-14 years (per 1,000)</w:t>
            </w:r>
          </w:p>
        </w:tc>
      </w:tr>
      <w:tr w14:paraId="24D8B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2C6ECFC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Probability of dying among adolescents ages 15-19 years (per 1,000)</w:t>
            </w:r>
          </w:p>
        </w:tc>
      </w:tr>
      <w:tr w14:paraId="138F5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4D4B1A2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Probability of dying among children ages 5-9 years (per 1,000)</w:t>
            </w:r>
          </w:p>
        </w:tc>
      </w:tr>
      <w:tr w14:paraId="26300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1080A57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Probability of dying among youth ages 20-24 years (per 1,000)</w:t>
            </w:r>
          </w:p>
        </w:tc>
      </w:tr>
      <w:tr w14:paraId="75451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1D603759">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Risk of catastrophic expenditure for surgical care (% of people at risk)</w:t>
            </w:r>
          </w:p>
        </w:tc>
      </w:tr>
      <w:tr w14:paraId="3A768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71382D9A">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Risk of impoverishing expenditure for surgical care (% of people at risk)</w:t>
            </w:r>
          </w:p>
        </w:tc>
      </w:tr>
      <w:tr w14:paraId="32C52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6136C712">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Suicide mortality rate (per 100,000 population)</w:t>
            </w:r>
          </w:p>
        </w:tc>
      </w:tr>
      <w:tr w14:paraId="7FE27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669C0FF4">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14:ligatures w14:val="standardContextual"/>
              </w:rPr>
              <w:t>Suicide mortality rate, female (per 100,000 female population)</w:t>
            </w:r>
          </w:p>
        </w:tc>
      </w:tr>
      <w:tr w14:paraId="77E26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042CBBF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Suicide mortality rate, male (per 100,000 male population)</w:t>
            </w:r>
          </w:p>
        </w:tc>
      </w:tr>
      <w:tr w14:paraId="583B9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1CB7DE7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Survival to age 65, female (% of cohort)</w:t>
            </w:r>
          </w:p>
        </w:tc>
      </w:tr>
      <w:tr w14:paraId="553D7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6F536FF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Survival to age 65, male (% of cohort)</w:t>
            </w:r>
          </w:p>
        </w:tc>
      </w:tr>
      <w:tr w14:paraId="0966B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3464AD8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Total alcohol consumption per capita (liters of pure alcohol, projected estimates, 15+ years of age)</w:t>
            </w:r>
          </w:p>
        </w:tc>
      </w:tr>
      <w:tr w14:paraId="02BC5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32683D9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Total alcohol consumption per capita, female (liters of pure alcohol, projected estimates, female 15+ years of age)</w:t>
            </w:r>
          </w:p>
        </w:tc>
      </w:tr>
      <w:tr w14:paraId="7CF2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3A21AA3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Total alcohol consumption per capita, male (liters of pure alcohol, projected estimates, male 15+ years of age)</w:t>
            </w:r>
          </w:p>
        </w:tc>
      </w:tr>
      <w:tr w14:paraId="42931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0B23B48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iCs/>
                <w:color w:val="000000"/>
                <w:kern w:val="0"/>
                <w:sz w:val="22"/>
                <w:szCs w:val="22"/>
                <w:u w:val="none"/>
                <w:bdr w:val="none" w:color="auto" w:sz="0" w:space="0"/>
                <w:lang w:val="en-US" w:eastAsia="zh-CN" w:bidi="ar"/>
                <w14:ligatures w14:val="standardContextual"/>
              </w:rPr>
              <w:t>Tuberculosis case detection rate (%, all forms)</w:t>
            </w:r>
          </w:p>
        </w:tc>
      </w:tr>
      <w:tr w14:paraId="30DDF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4B22D49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Tuberculosis treatment success rate (% of new cases)</w:t>
            </w:r>
          </w:p>
        </w:tc>
      </w:tr>
      <w:tr w14:paraId="50158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shd w:val="clear"/>
            <w:noWrap/>
            <w:vAlign w:val="center"/>
          </w:tcPr>
          <w:p w14:paraId="2DA8D96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Women's share of population ages 15+ living with HIV (%)</w:t>
            </w:r>
          </w:p>
        </w:tc>
      </w:tr>
      <w:tr w14:paraId="09BCD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shd w:val="clear"/>
            <w:noWrap/>
            <w:vAlign w:val="center"/>
          </w:tcPr>
          <w:p w14:paraId="1D36EA2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14:ligatures w14:val="standardContextual"/>
              </w:rPr>
              <w:t>Young people (ages 15-24) newly infected with HIV</w:t>
            </w:r>
          </w:p>
        </w:tc>
      </w:tr>
    </w:tbl>
    <w:p w14:paraId="2E37E473">
      <w:pPr>
        <w:rPr>
          <w:rFonts w:hint="default" w:ascii="Calibri" w:hAnsi="Calibri" w:cs="Calibri" w:eastAsiaTheme="minorEastAsia"/>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CFA685"/>
    <w:multiLevelType w:val="multilevel"/>
    <w:tmpl w:val="73CFA6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7D6E1BFC"/>
    <w:multiLevelType w:val="multilevel"/>
    <w:tmpl w:val="7D6E1B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F0E"/>
    <w:rsid w:val="00092FFF"/>
    <w:rsid w:val="00165F0E"/>
    <w:rsid w:val="002E38C5"/>
    <w:rsid w:val="00974EDF"/>
    <w:rsid w:val="00C35124"/>
    <w:rsid w:val="0BE22EBB"/>
    <w:rsid w:val="17B2390E"/>
    <w:rsid w:val="343C236A"/>
    <w:rsid w:val="3A67021C"/>
    <w:rsid w:val="48F141D9"/>
    <w:rsid w:val="68287DB8"/>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E"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FollowedHyperlink"/>
    <w:basedOn w:val="11"/>
    <w:semiHidden/>
    <w:unhideWhenUsed/>
    <w:uiPriority w:val="99"/>
    <w:rPr>
      <w:color w:val="800080"/>
      <w:u w:val="single"/>
    </w:r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182</Words>
  <Characters>1038</Characters>
  <Lines>8</Lines>
  <Paragraphs>2</Paragraphs>
  <TotalTime>978</TotalTime>
  <ScaleCrop>false</ScaleCrop>
  <LinksUpToDate>false</LinksUpToDate>
  <CharactersWithSpaces>1218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2025-09-19T16:53:00Z</dcterms:created>
  <dc:creator>Dariusz Olczak</dc:creator>
  <cp:lastModifiedBy>ebune</cp:lastModifiedBy>
  <cp:lastPrinted>2025-10-06T16:03:11Z</cp:lastPrinted>
  <dcterms:modified xsi:type="dcterms:W3CDTF">2025-10-07T08:48:10Z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28133F600E154089865C141584FA94BD_12</vt:lpwstr>
  </property>
</Properties>
</file>