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UM7i-1619626841913" w:id="1"/>
      <w:bookmarkEnd w:id="1"/>
      <w:r>
        <w:rPr>
          <w:rFonts w:ascii="Arial" w:hAnsi="Arial" w:cs="Arial" w:eastAsia="Arial"/>
          <w:color w:val="333333"/>
          <w:sz w:val="22"/>
        </w:rPr>
        <w:t>Promise 构造函数包含一个参数和一个带有 resolve（解析）和 reject（拒绝）两个参数的回调。在回调中执行一些操作（例如异步），如果一切都正常，则调用 resolve，否则调用 reject。</w:t>
      </w:r>
    </w:p>
    <w:p>
      <w:pPr/>
      <w:bookmarkStart w:name="vUrS-1619626944771" w:id="2"/>
      <w:bookmarkEnd w:id="2"/>
      <w:r>
        <w:drawing>
          <wp:inline distT="0" distR="0" distB="0" distL="0">
            <wp:extent cx="5267325" cy="2999882"/>
            <wp:docPr id="0" name="Drawing 0" descr="promis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romis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R5k-1619626944781" w:id="3"/>
      <w:bookmarkEnd w:id="3"/>
    </w:p>
    <w:p>
      <w:pPr/>
      <w:bookmarkStart w:name="Gwge-1619627013853" w:id="4"/>
      <w:bookmarkEnd w:id="4"/>
      <w:r>
        <w:rPr>
          <w:rFonts w:ascii="Arial" w:hAnsi="Arial" w:cs="Arial" w:eastAsia="Arial"/>
          <w:color w:val="333333"/>
          <w:sz w:val="22"/>
        </w:rPr>
        <w:t>对于已经实例化过的 promise 对象可以调用 promise.then() 方法，传递 resolve 和 reject 方法作为回调。</w:t>
      </w:r>
    </w:p>
    <w:p>
      <w:pPr/>
      <w:bookmarkStart w:name="xER0-1619627014180" w:id="5"/>
      <w:bookmarkEnd w:id="5"/>
    </w:p>
    <w:p>
      <w:pPr/>
      <w:bookmarkStart w:name="kAaq-1619626959980" w:id="6"/>
      <w:bookmarkEnd w:id="6"/>
      <w:r>
        <w:drawing>
          <wp:inline distT="0" distR="0" distB="0" distL="0">
            <wp:extent cx="5267325" cy="3669858"/>
            <wp:docPr id="1" name="Drawing 1" descr="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rYm-1619626959981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2021-04-30T15:35:48Z</dcterms:created>
  <dc:creator>Apache POI</dc:creator>
</cp:coreProperties>
</file>