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75E4" w14:textId="77777777" w:rsidR="008804C8" w:rsidRPr="008804C8" w:rsidRDefault="008804C8" w:rsidP="008804C8">
      <w:pPr>
        <w:rPr>
          <w:b/>
          <w:bCs/>
        </w:rPr>
      </w:pPr>
      <w:r w:rsidRPr="008804C8">
        <w:rPr>
          <w:b/>
          <w:bCs/>
        </w:rPr>
        <w:t>Informe Técnico: Estimación del Recaudo Potencial del Fondo Nacional de la Papa</w:t>
      </w:r>
    </w:p>
    <w:p w14:paraId="43227BB4" w14:textId="77777777" w:rsidR="008804C8" w:rsidRPr="008804C8" w:rsidRDefault="008804C8" w:rsidP="008804C8">
      <w:pPr>
        <w:rPr>
          <w:b/>
          <w:bCs/>
        </w:rPr>
      </w:pPr>
      <w:r w:rsidRPr="008804C8">
        <w:rPr>
          <w:b/>
          <w:bCs/>
        </w:rPr>
        <w:t>1. Metodología de Integración de Datos</w:t>
      </w:r>
    </w:p>
    <w:p w14:paraId="1CF073FF" w14:textId="77777777" w:rsidR="008804C8" w:rsidRPr="008804C8" w:rsidRDefault="008804C8" w:rsidP="008804C8">
      <w:r w:rsidRPr="008804C8">
        <w:t xml:space="preserve">Para la construcción del modelo de estimación, se implementó una arquitectura de </w:t>
      </w:r>
      <w:r w:rsidRPr="008804C8">
        <w:rPr>
          <w:b/>
          <w:bCs/>
        </w:rPr>
        <w:t xml:space="preserve">Data </w:t>
      </w:r>
      <w:proofErr w:type="spellStart"/>
      <w:r w:rsidRPr="008804C8">
        <w:rPr>
          <w:b/>
          <w:bCs/>
        </w:rPr>
        <w:t>Warehouse</w:t>
      </w:r>
      <w:proofErr w:type="spellEnd"/>
      <w:r w:rsidRPr="008804C8">
        <w:t xml:space="preserve"> en Google </w:t>
      </w:r>
      <w:proofErr w:type="spellStart"/>
      <w:r w:rsidRPr="008804C8">
        <w:t>BigQuery</w:t>
      </w:r>
      <w:proofErr w:type="spellEnd"/>
      <w:r w:rsidRPr="008804C8">
        <w:t>, utilizando un modelo de estrella (</w:t>
      </w:r>
      <w:r w:rsidRPr="008804C8">
        <w:rPr>
          <w:i/>
          <w:iCs/>
        </w:rPr>
        <w:t>Star Schema</w:t>
      </w:r>
      <w:r w:rsidRPr="008804C8">
        <w:t>) que garantiza la integridad referencial entre las cifras de producción, precios y recaudo real.</w:t>
      </w:r>
    </w:p>
    <w:p w14:paraId="4F9EBBAD" w14:textId="77777777" w:rsidR="008804C8" w:rsidRPr="008804C8" w:rsidRDefault="008804C8" w:rsidP="008804C8">
      <w:pPr>
        <w:rPr>
          <w:b/>
          <w:bCs/>
        </w:rPr>
      </w:pPr>
      <w:r w:rsidRPr="008804C8">
        <w:rPr>
          <w:b/>
          <w:bCs/>
        </w:rPr>
        <w:t>1.1. Normalización Geográfica</w:t>
      </w:r>
    </w:p>
    <w:p w14:paraId="1792C4FA" w14:textId="77777777" w:rsidR="008804C8" w:rsidRPr="008804C8" w:rsidRDefault="008804C8" w:rsidP="008804C8">
      <w:r w:rsidRPr="008804C8">
        <w:t xml:space="preserve">Se identificó una inconsistencia en la nomenclatura de departamentos entre las fuentes de origen (v.g., "Bogotá D.C." vs "Cundinamarca" o nombres con variaciones ortográficas). Se desarrolló una </w:t>
      </w:r>
      <w:r w:rsidRPr="008804C8">
        <w:rPr>
          <w:b/>
          <w:bCs/>
        </w:rPr>
        <w:t>Dimensión Geográfica</w:t>
      </w:r>
      <w:r w:rsidRPr="008804C8">
        <w:t xml:space="preserve"> única que actúa como "puente" de verdad, asegurando que el 100% de los registros de precios y producción se crucen correctamente bajo un </w:t>
      </w:r>
      <w:r w:rsidRPr="008804C8">
        <w:rPr>
          <w:b/>
          <w:bCs/>
        </w:rPr>
        <w:t>Departamento Normalizado</w:t>
      </w:r>
      <w:r w:rsidRPr="008804C8">
        <w:t>.</w:t>
      </w:r>
    </w:p>
    <w:p w14:paraId="749B5839" w14:textId="77777777" w:rsidR="008804C8" w:rsidRPr="008804C8" w:rsidRDefault="008804C8" w:rsidP="008804C8">
      <w:pPr>
        <w:rPr>
          <w:b/>
          <w:bCs/>
        </w:rPr>
      </w:pPr>
      <w:r w:rsidRPr="008804C8">
        <w:rPr>
          <w:b/>
          <w:bCs/>
        </w:rPr>
        <w:t>2. Tratamiento de Datos Faltantes (Imputación de Datos)</w:t>
      </w:r>
    </w:p>
    <w:p w14:paraId="069485C3" w14:textId="77777777" w:rsidR="008804C8" w:rsidRPr="008804C8" w:rsidRDefault="008804C8" w:rsidP="008804C8">
      <w:r w:rsidRPr="008804C8">
        <w:t xml:space="preserve">Uno de los mayores retos técnicos fue la existencia de vacíos de información en la serie de precios para departamentos específicos (caso notable: </w:t>
      </w:r>
      <w:r w:rsidRPr="008804C8">
        <w:rPr>
          <w:b/>
          <w:bCs/>
        </w:rPr>
        <w:t>Caldas</w:t>
      </w:r>
      <w:r w:rsidRPr="008804C8">
        <w:t xml:space="preserve">) y para el horizonte proyectado de 2026. Se aplicó una </w:t>
      </w:r>
      <w:r w:rsidRPr="008804C8">
        <w:rPr>
          <w:b/>
          <w:bCs/>
        </w:rPr>
        <w:t>Lógica de Cascada de tres niveles</w:t>
      </w:r>
      <w:r w:rsidRPr="008804C8">
        <w:t xml:space="preserve"> para evitar la subestimación del recaudo:</w:t>
      </w:r>
    </w:p>
    <w:p w14:paraId="0ADC317B" w14:textId="77777777" w:rsidR="008804C8" w:rsidRPr="008804C8" w:rsidRDefault="008804C8" w:rsidP="008804C8">
      <w:pPr>
        <w:numPr>
          <w:ilvl w:val="0"/>
          <w:numId w:val="1"/>
        </w:numPr>
      </w:pPr>
      <w:r w:rsidRPr="008804C8">
        <w:rPr>
          <w:b/>
          <w:bCs/>
        </w:rPr>
        <w:t>Nivel 1 (Dato Real):</w:t>
      </w:r>
      <w:r w:rsidRPr="008804C8">
        <w:t xml:space="preserve"> Uso del promedio mensual específico por departamento cuando el dato está disponible.</w:t>
      </w:r>
    </w:p>
    <w:p w14:paraId="3C62F288" w14:textId="77777777" w:rsidR="008804C8" w:rsidRPr="008804C8" w:rsidRDefault="008804C8" w:rsidP="008804C8">
      <w:pPr>
        <w:numPr>
          <w:ilvl w:val="0"/>
          <w:numId w:val="1"/>
        </w:numPr>
      </w:pPr>
      <w:r w:rsidRPr="008804C8">
        <w:rPr>
          <w:b/>
          <w:bCs/>
        </w:rPr>
        <w:t>Nivel 2 (Rescate Nacional):</w:t>
      </w:r>
      <w:r w:rsidRPr="008804C8">
        <w:t xml:space="preserve"> Ante la ausencia de precio departamental en un mes activo, se imputó el </w:t>
      </w:r>
      <w:r w:rsidRPr="008804C8">
        <w:rPr>
          <w:b/>
          <w:bCs/>
        </w:rPr>
        <w:t>Promedio Nacional</w:t>
      </w:r>
      <w:r w:rsidRPr="008804C8">
        <w:t xml:space="preserve"> de dicho mes, preservando la representatividad del mercado en ese momento del tiempo.</w:t>
      </w:r>
    </w:p>
    <w:p w14:paraId="3AFF23BF" w14:textId="77777777" w:rsidR="008804C8" w:rsidRPr="008804C8" w:rsidRDefault="008804C8" w:rsidP="008804C8">
      <w:pPr>
        <w:numPr>
          <w:ilvl w:val="0"/>
          <w:numId w:val="1"/>
        </w:numPr>
      </w:pPr>
      <w:r w:rsidRPr="008804C8">
        <w:rPr>
          <w:b/>
          <w:bCs/>
        </w:rPr>
        <w:t>Nivel 3 (Proyección Econométrica 2026):</w:t>
      </w:r>
      <w:r w:rsidRPr="008804C8">
        <w:t xml:space="preserve"> Para los periodos futuros sin registros, se implementó un modelo de </w:t>
      </w:r>
      <w:r w:rsidRPr="008804C8">
        <w:rPr>
          <w:b/>
          <w:bCs/>
        </w:rPr>
        <w:t>arrastre con ajuste estacional e inflación</w:t>
      </w:r>
      <w:r w:rsidRPr="008804C8">
        <w:t>.</w:t>
      </w:r>
    </w:p>
    <w:p w14:paraId="690B3625" w14:textId="77777777" w:rsidR="008804C8" w:rsidRPr="008804C8" w:rsidRDefault="008804C8" w:rsidP="008804C8">
      <w:pPr>
        <w:rPr>
          <w:b/>
          <w:bCs/>
        </w:rPr>
      </w:pPr>
      <w:r w:rsidRPr="008804C8">
        <w:rPr>
          <w:b/>
          <w:bCs/>
        </w:rPr>
        <w:t>3. Modelo de Estimación Econométrica (2026)</w:t>
      </w:r>
    </w:p>
    <w:p w14:paraId="6E290886" w14:textId="440F6AF0" w:rsidR="008804C8" w:rsidRPr="008804C8" w:rsidRDefault="00517DA2" w:rsidP="008804C8">
      <w:r>
        <w:t xml:space="preserve">1. </w:t>
      </w:r>
      <w:r w:rsidR="008804C8" w:rsidRPr="008804C8">
        <w:t>A diferencia de una proyección lineal simple, el modelo desarrollado para 2026 contempla la naturaleza volátil del sector agrícola:</w:t>
      </w:r>
    </w:p>
    <w:p w14:paraId="3738E9C7" w14:textId="77777777" w:rsidR="008804C8" w:rsidRPr="008804C8" w:rsidRDefault="008804C8" w:rsidP="008804C8">
      <w:pPr>
        <w:numPr>
          <w:ilvl w:val="0"/>
          <w:numId w:val="2"/>
        </w:numPr>
      </w:pPr>
      <w:r w:rsidRPr="008804C8">
        <w:rPr>
          <w:b/>
          <w:bCs/>
        </w:rPr>
        <w:t>Inercia de Precios:</w:t>
      </w:r>
      <w:r w:rsidRPr="008804C8">
        <w:t xml:space="preserve"> Toma como anclaje el último precio real conocido por departamento.</w:t>
      </w:r>
    </w:p>
    <w:p w14:paraId="1D6D3CC1" w14:textId="77777777" w:rsidR="008804C8" w:rsidRPr="008804C8" w:rsidRDefault="008804C8" w:rsidP="008804C8">
      <w:pPr>
        <w:numPr>
          <w:ilvl w:val="0"/>
          <w:numId w:val="2"/>
        </w:numPr>
      </w:pPr>
      <w:r w:rsidRPr="008804C8">
        <w:rPr>
          <w:b/>
          <w:bCs/>
        </w:rPr>
        <w:lastRenderedPageBreak/>
        <w:t>Índice de Estacionalidad:</w:t>
      </w:r>
      <w:r w:rsidRPr="008804C8">
        <w:t xml:space="preserve"> Aplica un factor basado en el comportamiento histórico (2024-2025), reconociendo que meses de baja cosecha elevan el precio proporcionalmente según la tendencia histórica de cada región.</w:t>
      </w:r>
    </w:p>
    <w:p w14:paraId="7E86AB5E" w14:textId="31A3FCAA" w:rsidR="00672648" w:rsidRPr="00672648" w:rsidRDefault="008804C8" w:rsidP="00672648">
      <w:pPr>
        <w:numPr>
          <w:ilvl w:val="0"/>
          <w:numId w:val="2"/>
        </w:numPr>
      </w:pPr>
      <w:r w:rsidRPr="008804C8">
        <w:rPr>
          <w:b/>
          <w:bCs/>
        </w:rPr>
        <w:t>Ajuste por Inflación:</w:t>
      </w:r>
      <w:r w:rsidRPr="008804C8">
        <w:t xml:space="preserve"> Se incorporó un factor de crecimiento mensual del </w:t>
      </w:r>
      <w:r w:rsidRPr="008804C8">
        <w:rPr>
          <w:b/>
          <w:bCs/>
        </w:rPr>
        <w:t>0.5%</w:t>
      </w:r>
      <w:r w:rsidRPr="008804C8">
        <w:t xml:space="preserve"> para reflejar la pérdida de poder adquisitivo y el incremento en los costos de insumos.</w:t>
      </w:r>
    </w:p>
    <w:p w14:paraId="0F6941B8" w14:textId="77777777" w:rsidR="00672648" w:rsidRPr="00672648" w:rsidRDefault="00672648" w:rsidP="00672648">
      <w:pPr>
        <w:rPr>
          <w:b/>
          <w:bCs/>
        </w:rPr>
      </w:pPr>
      <w:r w:rsidRPr="00672648">
        <w:rPr>
          <w:b/>
          <w:bCs/>
        </w:rPr>
        <w:t>2.1. Cálculo del Índice de Estacionalidad Relativa (</w:t>
      </w:r>
      <w:proofErr w:type="spellStart"/>
      <w:r w:rsidRPr="00672648">
        <w:rPr>
          <w:b/>
          <w:bCs/>
        </w:rPr>
        <w:t>Seasonal</w:t>
      </w:r>
      <w:proofErr w:type="spellEnd"/>
      <w:r w:rsidRPr="00672648">
        <w:rPr>
          <w:b/>
          <w:bCs/>
        </w:rPr>
        <w:t xml:space="preserve"> </w:t>
      </w:r>
      <w:proofErr w:type="spellStart"/>
      <w:r w:rsidRPr="00672648">
        <w:rPr>
          <w:b/>
          <w:bCs/>
        </w:rPr>
        <w:t>Index</w:t>
      </w:r>
      <w:proofErr w:type="spellEnd"/>
      <w:r w:rsidRPr="00672648">
        <w:rPr>
          <w:b/>
          <w:bCs/>
        </w:rPr>
        <w:t>)</w:t>
      </w:r>
    </w:p>
    <w:p w14:paraId="540ADA07" w14:textId="77777777" w:rsidR="00672648" w:rsidRPr="00672648" w:rsidRDefault="00672648" w:rsidP="00672648">
      <w:r w:rsidRPr="00672648">
        <w:t>En lugar de promediar todos los meses por igual, el SQL aísla el comportamiento de cada mes calendario.</w:t>
      </w:r>
    </w:p>
    <w:p w14:paraId="3F5B227F" w14:textId="77777777" w:rsidR="00672648" w:rsidRPr="00672648" w:rsidRDefault="00672648" w:rsidP="00672648">
      <w:pPr>
        <w:numPr>
          <w:ilvl w:val="0"/>
          <w:numId w:val="4"/>
        </w:numPr>
      </w:pPr>
      <w:r w:rsidRPr="00672648">
        <w:rPr>
          <w:b/>
          <w:bCs/>
        </w:rPr>
        <w:t>Técnica</w:t>
      </w:r>
      <w:r w:rsidRPr="00672648">
        <w:t xml:space="preserve">: Utilizamos una </w:t>
      </w:r>
      <w:r w:rsidRPr="00672648">
        <w:rPr>
          <w:b/>
          <w:bCs/>
        </w:rPr>
        <w:t>CTE</w:t>
      </w:r>
      <w:r w:rsidRPr="00672648">
        <w:t xml:space="preserve"> (</w:t>
      </w:r>
      <w:proofErr w:type="spellStart"/>
      <w:r w:rsidRPr="00672648">
        <w:t>estacionalidad_depto</w:t>
      </w:r>
      <w:proofErr w:type="spellEnd"/>
      <w:r w:rsidRPr="00672648">
        <w:t>) que agrupa datos de 2024 y 2025 por mes y departamento.</w:t>
      </w:r>
    </w:p>
    <w:p w14:paraId="264747D1" w14:textId="77777777" w:rsidR="00672648" w:rsidRPr="00672648" w:rsidRDefault="00672648" w:rsidP="00672648">
      <w:pPr>
        <w:numPr>
          <w:ilvl w:val="0"/>
          <w:numId w:val="4"/>
        </w:numPr>
      </w:pPr>
      <w:r w:rsidRPr="00672648">
        <w:rPr>
          <w:b/>
          <w:bCs/>
        </w:rPr>
        <w:t>Lógica Matemática</w:t>
      </w:r>
      <w:r w:rsidRPr="00672648">
        <w:t xml:space="preserve">: Se calcula la "fuerza" del mes. Por ejemplo, si el precio promedio histórico de marzo en Cundinamarca es de </w:t>
      </w:r>
      <w:r w:rsidRPr="00672648">
        <w:rPr>
          <w:b/>
          <w:bCs/>
        </w:rPr>
        <w:t>$2.200</w:t>
      </w:r>
      <w:r w:rsidRPr="00672648">
        <w:t xml:space="preserve"> y el promedio anual del </w:t>
      </w:r>
      <w:proofErr w:type="spellStart"/>
      <w:r w:rsidRPr="00672648">
        <w:t>depto</w:t>
      </w:r>
      <w:proofErr w:type="spellEnd"/>
      <w:r w:rsidRPr="00672648">
        <w:t xml:space="preserve"> es de </w:t>
      </w:r>
      <w:r w:rsidRPr="00672648">
        <w:rPr>
          <w:b/>
          <w:bCs/>
        </w:rPr>
        <w:t>$2.000</w:t>
      </w:r>
      <w:r w:rsidRPr="00672648">
        <w:t xml:space="preserve">, el SQL asigna un factor de </w:t>
      </w:r>
      <w:r w:rsidRPr="00672648">
        <w:rPr>
          <w:b/>
          <w:bCs/>
        </w:rPr>
        <w:t>1.10</w:t>
      </w:r>
      <w:r w:rsidRPr="00672648">
        <w:t xml:space="preserve"> (un 10% más caro que el promedio por efecto de estacionalidad/cosecha).</w:t>
      </w:r>
    </w:p>
    <w:p w14:paraId="179AE310" w14:textId="77777777" w:rsidR="00672648" w:rsidRPr="00672648" w:rsidRDefault="00672648" w:rsidP="00672648">
      <w:pPr>
        <w:rPr>
          <w:b/>
          <w:bCs/>
        </w:rPr>
      </w:pPr>
      <w:r w:rsidRPr="00672648">
        <w:rPr>
          <w:b/>
          <w:bCs/>
        </w:rPr>
        <w:t>2.2. Técnica de "Carry Forward" (Anclaje al Último Valor)</w:t>
      </w:r>
    </w:p>
    <w:p w14:paraId="2C0590E4" w14:textId="77777777" w:rsidR="00672648" w:rsidRPr="00672648" w:rsidRDefault="00672648" w:rsidP="00672648">
      <w:r w:rsidRPr="00672648">
        <w:t>Para evitar que la proyección partiera de un promedio nacional frío, usamos funciones de ventana avanzadas:</w:t>
      </w:r>
    </w:p>
    <w:p w14:paraId="6C943785" w14:textId="77777777" w:rsidR="00672648" w:rsidRPr="00672648" w:rsidRDefault="00672648" w:rsidP="00672648">
      <w:pPr>
        <w:numPr>
          <w:ilvl w:val="0"/>
          <w:numId w:val="5"/>
        </w:numPr>
      </w:pPr>
      <w:r w:rsidRPr="00672648">
        <w:rPr>
          <w:b/>
          <w:bCs/>
        </w:rPr>
        <w:t>SQL LAST_VALUE</w:t>
      </w:r>
      <w:r w:rsidRPr="00672648">
        <w:t>: Esta función permite identificar el último precio real capturado antes del vacío de 2026.</w:t>
      </w:r>
    </w:p>
    <w:p w14:paraId="0D22C81B" w14:textId="77777777" w:rsidR="00672648" w:rsidRPr="00672648" w:rsidRDefault="00672648" w:rsidP="00672648">
      <w:pPr>
        <w:numPr>
          <w:ilvl w:val="0"/>
          <w:numId w:val="5"/>
        </w:numPr>
      </w:pPr>
      <w:r w:rsidRPr="00672648">
        <w:rPr>
          <w:b/>
          <w:bCs/>
        </w:rPr>
        <w:t>Propósito</w:t>
      </w:r>
      <w:r w:rsidRPr="00672648">
        <w:t>: Garantiza que la proyección de cada departamento herede su realidad económica más reciente. Si Nariño cerró con precios altos por bloqueos o clima, su proyección 2026 arranca desde ese nivel alto y no desde un promedio histórico irreal.</w:t>
      </w:r>
    </w:p>
    <w:p w14:paraId="0A635EBF" w14:textId="77777777" w:rsidR="00672648" w:rsidRPr="00672648" w:rsidRDefault="00672648" w:rsidP="00672648">
      <w:pPr>
        <w:rPr>
          <w:b/>
          <w:bCs/>
        </w:rPr>
      </w:pPr>
      <w:r w:rsidRPr="00672648">
        <w:rPr>
          <w:b/>
          <w:bCs/>
        </w:rPr>
        <w:t>2.3. Aplicación del Gradiente de Inflación Mensual</w:t>
      </w:r>
    </w:p>
    <w:p w14:paraId="21367BF0" w14:textId="77777777" w:rsidR="00672648" w:rsidRPr="00672648" w:rsidRDefault="00672648" w:rsidP="00672648">
      <w:r w:rsidRPr="00672648">
        <w:t xml:space="preserve">Para cumplir con el principio de </w:t>
      </w:r>
      <w:r w:rsidRPr="00672648">
        <w:rPr>
          <w:b/>
          <w:bCs/>
        </w:rPr>
        <w:t>valor del dinero en el tiempo</w:t>
      </w:r>
      <w:r w:rsidRPr="00672648">
        <w:t>, se integró un factor de crecimiento compuesto:</w:t>
      </w:r>
    </w:p>
    <w:p w14:paraId="423D62A8" w14:textId="6EECC84D" w:rsidR="00672648" w:rsidRPr="00672648" w:rsidRDefault="00672648" w:rsidP="00672648">
      <w:pPr>
        <w:numPr>
          <w:ilvl w:val="0"/>
          <w:numId w:val="6"/>
        </w:numPr>
      </w:pPr>
      <w:r w:rsidRPr="00672648">
        <w:rPr>
          <w:b/>
          <w:bCs/>
        </w:rPr>
        <w:t>Fórmula implementada</w:t>
      </w:r>
      <w:r w:rsidRPr="00672648">
        <w:t xml:space="preserve">: </w:t>
      </w:r>
      <w:r w:rsidR="00B61D9A" w:rsidRPr="00B61D9A">
        <w:t>$Precio_{</w:t>
      </w:r>
      <w:proofErr w:type="spellStart"/>
      <w:r w:rsidR="00B61D9A" w:rsidRPr="00B61D9A">
        <w:t>t+n</w:t>
      </w:r>
      <w:proofErr w:type="spellEnd"/>
      <w:r w:rsidR="00B61D9A" w:rsidRPr="00B61D9A">
        <w:t xml:space="preserve">} = Precio_{base} \times </w:t>
      </w:r>
      <w:proofErr w:type="spellStart"/>
      <w:r w:rsidR="00B61D9A" w:rsidRPr="00B61D9A">
        <w:t>Index</w:t>
      </w:r>
      <w:proofErr w:type="spellEnd"/>
      <w:r w:rsidR="00B61D9A" w:rsidRPr="00B61D9A">
        <w:t>_{estacional} \times (1 + r)^n$</w:t>
      </w:r>
    </w:p>
    <w:p w14:paraId="47FE90E9" w14:textId="77777777" w:rsidR="00672648" w:rsidRPr="00672648" w:rsidRDefault="00672648" w:rsidP="00672648">
      <w:pPr>
        <w:numPr>
          <w:ilvl w:val="0"/>
          <w:numId w:val="6"/>
        </w:numPr>
      </w:pPr>
      <w:r w:rsidRPr="00672648">
        <w:t>Donde $</w:t>
      </w:r>
      <w:proofErr w:type="spellStart"/>
      <w:r w:rsidRPr="00672648">
        <w:t>r$</w:t>
      </w:r>
      <w:proofErr w:type="spellEnd"/>
      <w:r w:rsidRPr="00672648">
        <w:t xml:space="preserve"> es la tasa de inflación estimada (0.5% mensual). En SQL, esto se aplica mediante un multiplicador constante (1.005) que penaliza o premia el valor conforme el registro se aleja en el tiempo.</w:t>
      </w:r>
    </w:p>
    <w:p w14:paraId="3135AFCE" w14:textId="2172DEB6" w:rsidR="00672648" w:rsidRPr="008804C8" w:rsidRDefault="00672648" w:rsidP="00672648"/>
    <w:p w14:paraId="2D1CD84F" w14:textId="77777777" w:rsidR="008804C8" w:rsidRPr="008804C8" w:rsidRDefault="008804C8" w:rsidP="008804C8">
      <w:r w:rsidRPr="008804C8">
        <w:pict w14:anchorId="39ECFB0A">
          <v:rect id="_x0000_i1031" style="width:0;height:1.5pt" o:hralign="center" o:hrstd="t" o:hr="t" fillcolor="#a0a0a0" stroked="f"/>
        </w:pict>
      </w:r>
    </w:p>
    <w:p w14:paraId="46A32A1D" w14:textId="77777777" w:rsidR="008804C8" w:rsidRPr="008804C8" w:rsidRDefault="008804C8" w:rsidP="008804C8">
      <w:pPr>
        <w:rPr>
          <w:b/>
          <w:bCs/>
        </w:rPr>
      </w:pPr>
      <w:r w:rsidRPr="008804C8">
        <w:rPr>
          <w:b/>
          <w:bCs/>
        </w:rPr>
        <w:t>4. Puntos Clave del Avance Actual</w:t>
      </w:r>
    </w:p>
    <w:p w14:paraId="7C937C17" w14:textId="77777777" w:rsidR="008804C8" w:rsidRPr="008804C8" w:rsidRDefault="008804C8" w:rsidP="008804C8">
      <w:pPr>
        <w:numPr>
          <w:ilvl w:val="0"/>
          <w:numId w:val="3"/>
        </w:numPr>
      </w:pPr>
      <w:r w:rsidRPr="008804C8">
        <w:rPr>
          <w:b/>
          <w:bCs/>
        </w:rPr>
        <w:t>Conversión de Unidades:</w:t>
      </w:r>
      <w:r w:rsidRPr="008804C8">
        <w:t xml:space="preserve"> Estandarización de toda la producción de toneladas a kilogramos para alinearse con la base imponible del recaudo (1% del valor comercial).</w:t>
      </w:r>
    </w:p>
    <w:p w14:paraId="410C6B3A" w14:textId="77777777" w:rsidR="008804C8" w:rsidRPr="008804C8" w:rsidRDefault="008804C8" w:rsidP="008804C8">
      <w:pPr>
        <w:numPr>
          <w:ilvl w:val="0"/>
          <w:numId w:val="3"/>
        </w:numPr>
      </w:pPr>
      <w:r w:rsidRPr="008804C8">
        <w:rPr>
          <w:b/>
          <w:bCs/>
        </w:rPr>
        <w:t>Cálculo del Valor Económico:</w:t>
      </w:r>
      <w:r w:rsidRPr="008804C8">
        <w:t xml:space="preserve"> Determinación del tamaño del mercado por nodo geográfico-temporal.</w:t>
      </w:r>
    </w:p>
    <w:p w14:paraId="147A6711" w14:textId="77777777" w:rsidR="008804C8" w:rsidRPr="008804C8" w:rsidRDefault="008804C8" w:rsidP="008804C8">
      <w:pPr>
        <w:numPr>
          <w:ilvl w:val="0"/>
          <w:numId w:val="3"/>
        </w:numPr>
      </w:pPr>
      <w:r w:rsidRPr="008804C8">
        <w:rPr>
          <w:b/>
          <w:bCs/>
        </w:rPr>
        <w:t>Disponibilidad en Power BI:</w:t>
      </w:r>
      <w:r w:rsidRPr="008804C8">
        <w:t xml:space="preserve"> El modelo ya permite filtrar por cualquier nivel de la jerarquía temporal y geográfica, mostrando visualmente la diferencia entre el dato real y el estimado.</w:t>
      </w:r>
    </w:p>
    <w:p w14:paraId="1EBDC371" w14:textId="77777777" w:rsidR="00CE695A" w:rsidRDefault="00CE695A"/>
    <w:p w14:paraId="307DE3AD" w14:textId="05E4FE8A" w:rsidR="00354E60" w:rsidRPr="00354E60" w:rsidRDefault="00354E60" w:rsidP="00354E60">
      <w:pPr>
        <w:rPr>
          <w:b/>
          <w:bCs/>
        </w:rPr>
      </w:pPr>
      <w:r>
        <w:t xml:space="preserve">Recaudo total, </w:t>
      </w:r>
      <w:r w:rsidRPr="00354E60">
        <w:t xml:space="preserve">Cuota de Fomento Papa, el recaudo se basa en el </w:t>
      </w:r>
      <w:r w:rsidRPr="00354E60">
        <w:rPr>
          <w:b/>
          <w:bCs/>
        </w:rPr>
        <w:t>1% del valor comercializado</w:t>
      </w:r>
      <w:r w:rsidRPr="00354E60">
        <w:t xml:space="preserve">. Por lo tanto, para </w:t>
      </w:r>
      <w:r>
        <w:t>el</w:t>
      </w:r>
      <w:r w:rsidRPr="00354E60">
        <w:t xml:space="preserve"> análisis de brechas de la </w:t>
      </w:r>
      <w:r w:rsidRPr="00354E60">
        <w:rPr>
          <w:b/>
          <w:bCs/>
        </w:rPr>
        <w:t>Actividad 2</w:t>
      </w:r>
      <w:r>
        <w:rPr>
          <w:b/>
          <w:bCs/>
        </w:rPr>
        <w:t xml:space="preserve">, </w:t>
      </w:r>
      <w:r>
        <w:t>n</w:t>
      </w:r>
      <w:r w:rsidRPr="00354E60">
        <w:t xml:space="preserve">o </w:t>
      </w:r>
      <w:r>
        <w:t xml:space="preserve">debería </w:t>
      </w:r>
      <w:r w:rsidRPr="00354E60">
        <w:t xml:space="preserve">sumar los intereses directamente al valor del recaudo real para compararlo contra el potencial, ya que el potencial es una estimación de "capital" (el 1% puro). Los intereses de mora son una incidencia aparte que </w:t>
      </w:r>
      <w:r>
        <w:t>se debe analizar</w:t>
      </w:r>
      <w:r w:rsidRPr="00354E60">
        <w:t xml:space="preserve"> por separado</w:t>
      </w:r>
      <w:r>
        <w:t>.</w:t>
      </w:r>
    </w:p>
    <w:p w14:paraId="75E1870D" w14:textId="68943811" w:rsidR="00D32105" w:rsidRDefault="00D32105"/>
    <w:p w14:paraId="1C9F63F1" w14:textId="77777777" w:rsidR="0082667A" w:rsidRPr="0082667A" w:rsidRDefault="0082667A" w:rsidP="0082667A">
      <w:r w:rsidRPr="0082667A">
        <w:t xml:space="preserve">"El </w:t>
      </w:r>
      <w:r w:rsidRPr="0082667A">
        <w:rPr>
          <w:b/>
          <w:bCs/>
        </w:rPr>
        <w:t>Índice de Cumplimiento Nacional</w:t>
      </w:r>
      <w:r w:rsidRPr="0082667A">
        <w:t xml:space="preserve"> se sitúa en el $X\%$, calculado sobre el potencial histórico de 2024 y 2025. La brecha visualizada en el medidor representa una oportunidad de recaudo de $\$...$ millones que no ha sido capturada. Esta diferencia sugiere una </w:t>
      </w:r>
      <w:proofErr w:type="spellStart"/>
      <w:r w:rsidRPr="0082667A">
        <w:rPr>
          <w:b/>
          <w:bCs/>
        </w:rPr>
        <w:t>infra-declaración</w:t>
      </w:r>
      <w:proofErr w:type="spellEnd"/>
      <w:r w:rsidRPr="0082667A">
        <w:t xml:space="preserve"> o una </w:t>
      </w:r>
      <w:r w:rsidRPr="0082667A">
        <w:rPr>
          <w:b/>
          <w:bCs/>
        </w:rPr>
        <w:t>fuga de recaudo</w:t>
      </w:r>
      <w:r w:rsidRPr="0082667A">
        <w:t xml:space="preserve"> en los canales de comercialización primaria, especialmente en los meses de alta estacionalidad".</w:t>
      </w:r>
    </w:p>
    <w:p w14:paraId="07B7DFDF" w14:textId="77777777" w:rsidR="007F73D0" w:rsidRPr="007F73D0" w:rsidRDefault="007F73D0" w:rsidP="007F73D0">
      <w:pPr>
        <w:rPr>
          <w:b/>
          <w:bCs/>
        </w:rPr>
      </w:pPr>
      <w:r w:rsidRPr="007F73D0">
        <w:rPr>
          <w:b/>
          <w:bCs/>
        </w:rPr>
        <w:t>Correlación Estadística Directa</w:t>
      </w:r>
    </w:p>
    <w:p w14:paraId="34143199" w14:textId="77777777" w:rsidR="007F73D0" w:rsidRPr="007F73D0" w:rsidRDefault="007F73D0" w:rsidP="007F73D0">
      <w:r w:rsidRPr="007F73D0">
        <w:t xml:space="preserve">Al superponer el </w:t>
      </w:r>
      <w:r w:rsidRPr="007F73D0">
        <w:rPr>
          <w:b/>
          <w:bCs/>
        </w:rPr>
        <w:t>Recaudo Potencial</w:t>
      </w:r>
      <w:r w:rsidRPr="007F73D0">
        <w:t xml:space="preserve"> (barras) con </w:t>
      </w:r>
      <w:proofErr w:type="spellStart"/>
      <w:r w:rsidRPr="007F73D0">
        <w:t>el</w:t>
      </w:r>
      <w:proofErr w:type="spellEnd"/>
      <w:r w:rsidRPr="007F73D0">
        <w:t xml:space="preserve"> </w:t>
      </w:r>
      <w:r w:rsidRPr="007F73D0">
        <w:rPr>
          <w:b/>
          <w:bCs/>
        </w:rPr>
        <w:t>% Peso Intereses</w:t>
      </w:r>
      <w:r w:rsidRPr="007F73D0">
        <w:t xml:space="preserve"> (línea), estás mostrando la relación entre el tamaño del mercado y el incumplimiento.</w:t>
      </w:r>
    </w:p>
    <w:p w14:paraId="05BF8E48" w14:textId="77777777" w:rsidR="007F73D0" w:rsidRPr="007F73D0" w:rsidRDefault="007F73D0" w:rsidP="007F73D0">
      <w:r w:rsidRPr="007F73D0">
        <w:t>+1</w:t>
      </w:r>
    </w:p>
    <w:p w14:paraId="645A3A78" w14:textId="7EEE771D" w:rsidR="0082667A" w:rsidRDefault="00731F79">
      <w:r w:rsidRPr="00731F79">
        <w:t xml:space="preserve">"Se identificó una correlación crítica en el mes de julio, donde el </w:t>
      </w:r>
      <w:r w:rsidRPr="00731F79">
        <w:rPr>
          <w:b/>
          <w:bCs/>
        </w:rPr>
        <w:t>Índice de Eficacia</w:t>
      </w:r>
      <w:r w:rsidRPr="00731F79">
        <w:t xml:space="preserve"> se sitúa por debajo del promedio anual mientras que la </w:t>
      </w:r>
      <w:r w:rsidRPr="00731F79">
        <w:rPr>
          <w:b/>
          <w:bCs/>
        </w:rPr>
        <w:t>incidencia de intereses de mora</w:t>
      </w:r>
      <w:r w:rsidRPr="00731F79">
        <w:t xml:space="preserve"> alcanza su máximo histórico (0,8%). Este comportamiento sugiere un problema de liquidez sistémico en dicho periodo o una desalineación de los canales de recaudo frente a los ciclos de comercialización departamental"</w:t>
      </w:r>
    </w:p>
    <w:sectPr w:rsidR="008266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DE8"/>
    <w:multiLevelType w:val="multilevel"/>
    <w:tmpl w:val="6C88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60BC9"/>
    <w:multiLevelType w:val="multilevel"/>
    <w:tmpl w:val="830A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D3AD1"/>
    <w:multiLevelType w:val="multilevel"/>
    <w:tmpl w:val="5B1E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0461F"/>
    <w:multiLevelType w:val="multilevel"/>
    <w:tmpl w:val="A94A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31ABF"/>
    <w:multiLevelType w:val="multilevel"/>
    <w:tmpl w:val="73F8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61D73"/>
    <w:multiLevelType w:val="multilevel"/>
    <w:tmpl w:val="F6A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A7FD2"/>
    <w:multiLevelType w:val="multilevel"/>
    <w:tmpl w:val="C858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C31E4"/>
    <w:multiLevelType w:val="multilevel"/>
    <w:tmpl w:val="624A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674466">
    <w:abstractNumId w:val="6"/>
  </w:num>
  <w:num w:numId="2" w16cid:durableId="945963967">
    <w:abstractNumId w:val="4"/>
  </w:num>
  <w:num w:numId="3" w16cid:durableId="106511443">
    <w:abstractNumId w:val="3"/>
  </w:num>
  <w:num w:numId="4" w16cid:durableId="8991618">
    <w:abstractNumId w:val="1"/>
  </w:num>
  <w:num w:numId="5" w16cid:durableId="168253529">
    <w:abstractNumId w:val="5"/>
  </w:num>
  <w:num w:numId="6" w16cid:durableId="806899947">
    <w:abstractNumId w:val="2"/>
  </w:num>
  <w:num w:numId="7" w16cid:durableId="69012518">
    <w:abstractNumId w:val="0"/>
  </w:num>
  <w:num w:numId="8" w16cid:durableId="7700118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1B"/>
    <w:rsid w:val="00057E1B"/>
    <w:rsid w:val="001E1836"/>
    <w:rsid w:val="00354E60"/>
    <w:rsid w:val="003B2AC3"/>
    <w:rsid w:val="00517DA2"/>
    <w:rsid w:val="00672648"/>
    <w:rsid w:val="00731F79"/>
    <w:rsid w:val="007F73D0"/>
    <w:rsid w:val="0082667A"/>
    <w:rsid w:val="008804C8"/>
    <w:rsid w:val="00AC6524"/>
    <w:rsid w:val="00B61D9A"/>
    <w:rsid w:val="00CE695A"/>
    <w:rsid w:val="00D32105"/>
    <w:rsid w:val="00D83671"/>
    <w:rsid w:val="00EE5B04"/>
    <w:rsid w:val="00FF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7C940"/>
  <w15:chartTrackingRefBased/>
  <w15:docId w15:val="{26210AF3-2572-452B-89E9-8A2D95C20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E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4E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3</Pages>
  <Words>868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 Rincon</dc:creator>
  <cp:keywords/>
  <dc:description/>
  <cp:lastModifiedBy>Edith Rincon</cp:lastModifiedBy>
  <cp:revision>14</cp:revision>
  <dcterms:created xsi:type="dcterms:W3CDTF">2026-02-23T20:22:00Z</dcterms:created>
  <dcterms:modified xsi:type="dcterms:W3CDTF">2026-02-24T14:37:00Z</dcterms:modified>
</cp:coreProperties>
</file>