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53E92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Informe Técnico: Análisis Integral de Recaudo y Gestión de Brechas - Fedepapa</w:t>
      </w:r>
    </w:p>
    <w:p w14:paraId="29EE3797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1. Metodología de Integración de Datos e Ingeniería</w:t>
      </w:r>
    </w:p>
    <w:p w14:paraId="32D75973" w14:textId="77777777" w:rsidR="00C700A5" w:rsidRPr="00C700A5" w:rsidRDefault="00C700A5" w:rsidP="00C700A5">
      <w:r w:rsidRPr="00C700A5">
        <w:t xml:space="preserve">Para la construcción del modelo de estimación, se implementó una arquitectura de </w:t>
      </w:r>
      <w:r w:rsidRPr="00C700A5">
        <w:rPr>
          <w:b/>
          <w:bCs/>
        </w:rPr>
        <w:t xml:space="preserve">Data </w:t>
      </w:r>
      <w:proofErr w:type="spellStart"/>
      <w:r w:rsidRPr="00C700A5">
        <w:rPr>
          <w:b/>
          <w:bCs/>
        </w:rPr>
        <w:t>Warehouse</w:t>
      </w:r>
      <w:proofErr w:type="spellEnd"/>
      <w:r w:rsidRPr="00C700A5">
        <w:rPr>
          <w:b/>
          <w:bCs/>
        </w:rPr>
        <w:t xml:space="preserve"> en Google </w:t>
      </w:r>
      <w:proofErr w:type="spellStart"/>
      <w:r w:rsidRPr="00C700A5">
        <w:rPr>
          <w:b/>
          <w:bCs/>
        </w:rPr>
        <w:t>BigQuery</w:t>
      </w:r>
      <w:proofErr w:type="spellEnd"/>
      <w:r w:rsidRPr="00C700A5">
        <w:t xml:space="preserve">, utilizando un </w:t>
      </w:r>
      <w:r w:rsidRPr="00C700A5">
        <w:rPr>
          <w:b/>
          <w:bCs/>
        </w:rPr>
        <w:t>modelo de estrella (Star Schema)</w:t>
      </w:r>
      <w:r w:rsidRPr="00C700A5">
        <w:t xml:space="preserve"> que garantiza la integridad referencial entre las cifras de producción, precios y recaudo real.</w:t>
      </w:r>
    </w:p>
    <w:p w14:paraId="0A8F5018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1.1. Normalización Geográfica</w:t>
      </w:r>
    </w:p>
    <w:p w14:paraId="37006EDA" w14:textId="77777777" w:rsidR="00C700A5" w:rsidRPr="00C700A5" w:rsidRDefault="00C700A5" w:rsidP="00C700A5">
      <w:r w:rsidRPr="00C700A5">
        <w:t xml:space="preserve">Se desarrolló una </w:t>
      </w:r>
      <w:r w:rsidRPr="00C700A5">
        <w:rPr>
          <w:b/>
          <w:bCs/>
        </w:rPr>
        <w:t>Dimensión Geográfica única</w:t>
      </w:r>
      <w:r w:rsidRPr="00C700A5">
        <w:t xml:space="preserve"> que actúa como "puente" de verdad, asegurando que el 100% de los registros de precios y producción se crucen correctamente bajo un </w:t>
      </w:r>
      <w:r w:rsidRPr="00C700A5">
        <w:rPr>
          <w:b/>
          <w:bCs/>
        </w:rPr>
        <w:t>Departamento Normalizado</w:t>
      </w:r>
      <w:r w:rsidRPr="00C700A5">
        <w:t>, eliminando inconsistencias ortográficas de las fuentes primarias.</w:t>
      </w:r>
    </w:p>
    <w:p w14:paraId="26A97BA3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1.2. Tratamiento de Datos Faltantes (Imputación de Datos)</w:t>
      </w:r>
    </w:p>
    <w:p w14:paraId="4EF8D8E8" w14:textId="77777777" w:rsidR="00C700A5" w:rsidRPr="00C700A5" w:rsidRDefault="00C700A5" w:rsidP="00C700A5">
      <w:r w:rsidRPr="00C700A5">
        <w:t xml:space="preserve">Para evitar la subestimación del recaudo ante vacíos de información, se aplicó una </w:t>
      </w:r>
      <w:r w:rsidRPr="00C700A5">
        <w:rPr>
          <w:b/>
          <w:bCs/>
        </w:rPr>
        <w:t>Lógica de Cascada</w:t>
      </w:r>
      <w:r w:rsidRPr="00C700A5">
        <w:t xml:space="preserve"> de tres niveles:</w:t>
      </w:r>
    </w:p>
    <w:p w14:paraId="3BA61B11" w14:textId="77777777" w:rsidR="00C700A5" w:rsidRPr="00C700A5" w:rsidRDefault="00C700A5" w:rsidP="00C700A5">
      <w:pPr>
        <w:numPr>
          <w:ilvl w:val="0"/>
          <w:numId w:val="9"/>
        </w:numPr>
      </w:pPr>
      <w:r w:rsidRPr="00C700A5">
        <w:rPr>
          <w:b/>
          <w:bCs/>
        </w:rPr>
        <w:t>Nivel 1 (Dato Real):</w:t>
      </w:r>
      <w:r w:rsidRPr="00C700A5">
        <w:t xml:space="preserve"> Uso del promedio mensual específico por departamento.</w:t>
      </w:r>
    </w:p>
    <w:p w14:paraId="6E692C65" w14:textId="77777777" w:rsidR="00C700A5" w:rsidRPr="00C700A5" w:rsidRDefault="00C700A5" w:rsidP="00C700A5">
      <w:pPr>
        <w:numPr>
          <w:ilvl w:val="0"/>
          <w:numId w:val="9"/>
        </w:numPr>
      </w:pPr>
      <w:r w:rsidRPr="00C700A5">
        <w:rPr>
          <w:b/>
          <w:bCs/>
        </w:rPr>
        <w:t>Nivel 2 (Rescate Nacional):</w:t>
      </w:r>
      <w:r w:rsidRPr="00C700A5">
        <w:t xml:space="preserve"> Imputación del Promedio Nacional del mes ante ausencia de dato regional.</w:t>
      </w:r>
    </w:p>
    <w:p w14:paraId="53D91AFF" w14:textId="77777777" w:rsidR="00C700A5" w:rsidRPr="00C700A5" w:rsidRDefault="00C700A5" w:rsidP="00C700A5">
      <w:pPr>
        <w:numPr>
          <w:ilvl w:val="0"/>
          <w:numId w:val="9"/>
        </w:numPr>
      </w:pPr>
      <w:r w:rsidRPr="00C700A5">
        <w:rPr>
          <w:b/>
          <w:bCs/>
        </w:rPr>
        <w:t>Nivel 3 (Proyección Econométrica 2026):</w:t>
      </w:r>
      <w:r w:rsidRPr="00C700A5">
        <w:t xml:space="preserve"> Implementación de un modelo de arrastre con ajuste estacional e inflación.</w:t>
      </w:r>
    </w:p>
    <w:p w14:paraId="4AED8FAA" w14:textId="77777777" w:rsidR="00C700A5" w:rsidRPr="00C700A5" w:rsidRDefault="00C700A5" w:rsidP="00C700A5">
      <w:r w:rsidRPr="00C700A5">
        <w:pict w14:anchorId="2C6F5DDC">
          <v:rect id="_x0000_i1067" style="width:0;height:1.5pt" o:hralign="center" o:hrstd="t" o:hr="t" fillcolor="#a0a0a0" stroked="f"/>
        </w:pict>
      </w:r>
    </w:p>
    <w:p w14:paraId="16AD3D3C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2. Modelo de Estimación Econométrica (2026)</w:t>
      </w:r>
    </w:p>
    <w:p w14:paraId="0F12DD6C" w14:textId="77777777" w:rsidR="00C700A5" w:rsidRPr="00C700A5" w:rsidRDefault="00C700A5" w:rsidP="00C700A5">
      <w:r w:rsidRPr="00C700A5">
        <w:t>A diferencia de una proyección lineal, el modelo contempla la volatilidad del sector mediante:</w:t>
      </w:r>
    </w:p>
    <w:p w14:paraId="61C53BAB" w14:textId="5488061B" w:rsidR="00C700A5" w:rsidRPr="00C700A5" w:rsidRDefault="00C700A5" w:rsidP="00C700A5">
      <w:pPr>
        <w:numPr>
          <w:ilvl w:val="0"/>
          <w:numId w:val="10"/>
        </w:numPr>
      </w:pPr>
      <w:r w:rsidRPr="00C700A5">
        <w:rPr>
          <w:b/>
          <w:bCs/>
        </w:rPr>
        <w:t>Índice de Estacionalidad Relativa (</w:t>
      </w:r>
      <w:proofErr w:type="spellStart"/>
      <w:r w:rsidRPr="00C700A5">
        <w:rPr>
          <w:b/>
          <w:bCs/>
        </w:rPr>
        <w:t>Seasonal</w:t>
      </w:r>
      <w:proofErr w:type="spellEnd"/>
      <w:r w:rsidRPr="00C700A5">
        <w:rPr>
          <w:b/>
          <w:bCs/>
        </w:rPr>
        <w:t xml:space="preserve"> </w:t>
      </w:r>
      <w:proofErr w:type="spellStart"/>
      <w:r w:rsidRPr="00C700A5">
        <w:rPr>
          <w:b/>
          <w:bCs/>
        </w:rPr>
        <w:t>Index</w:t>
      </w:r>
      <w:proofErr w:type="spellEnd"/>
      <w:r w:rsidRPr="00C700A5">
        <w:rPr>
          <w:b/>
          <w:bCs/>
        </w:rPr>
        <w:t>):</w:t>
      </w:r>
      <w:r w:rsidRPr="00C700A5">
        <w:t xml:space="preserve"> Una CTE (</w:t>
      </w:r>
      <w:proofErr w:type="spellStart"/>
      <w:r w:rsidRPr="00C700A5">
        <w:t>estacionalidad_depto</w:t>
      </w:r>
      <w:proofErr w:type="spellEnd"/>
      <w:r w:rsidRPr="00C700A5">
        <w:t>) basada en el comportamiento 2024-2025.</w:t>
      </w:r>
    </w:p>
    <w:p w14:paraId="668EFB3E" w14:textId="77777777" w:rsidR="00C700A5" w:rsidRPr="00C700A5" w:rsidRDefault="00C700A5" w:rsidP="00C700A5">
      <w:pPr>
        <w:numPr>
          <w:ilvl w:val="0"/>
          <w:numId w:val="10"/>
        </w:numPr>
      </w:pPr>
      <w:r w:rsidRPr="00C700A5">
        <w:rPr>
          <w:b/>
          <w:bCs/>
        </w:rPr>
        <w:t>Técnica de "Carry Forward" (Anclaje):</w:t>
      </w:r>
      <w:r w:rsidRPr="00C700A5">
        <w:t xml:space="preserve"> Uso de LAST_VALUE para que la proyección herede la realidad económica más reciente, sumando un </w:t>
      </w:r>
      <w:r w:rsidRPr="00C700A5">
        <w:rPr>
          <w:b/>
          <w:bCs/>
        </w:rPr>
        <w:t>ajuste por inflación del 0.5% mensual</w:t>
      </w:r>
      <w:r w:rsidRPr="00C700A5">
        <w:t>.</w:t>
      </w:r>
    </w:p>
    <w:p w14:paraId="1649577D" w14:textId="77777777" w:rsidR="00C700A5" w:rsidRPr="00C700A5" w:rsidRDefault="00C700A5" w:rsidP="00C700A5">
      <w:r w:rsidRPr="00C700A5">
        <w:pict w14:anchorId="47707931">
          <v:rect id="_x0000_i1068" style="width:0;height:1.5pt" o:hralign="center" o:hrstd="t" o:hr="t" fillcolor="#a0a0a0" stroked="f"/>
        </w:pict>
      </w:r>
    </w:p>
    <w:p w14:paraId="38DA8975" w14:textId="77777777" w:rsidR="00BE7A0B" w:rsidRDefault="00BE7A0B" w:rsidP="00C700A5">
      <w:pPr>
        <w:rPr>
          <w:b/>
          <w:bCs/>
        </w:rPr>
      </w:pPr>
    </w:p>
    <w:p w14:paraId="16AE0159" w14:textId="015F1CA5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lastRenderedPageBreak/>
        <w:t>3. Actividad 1 y 2: Brechas, Canales y Mora</w:t>
      </w:r>
    </w:p>
    <w:p w14:paraId="2C7669E2" w14:textId="77777777" w:rsidR="00C700A5" w:rsidRPr="00C700A5" w:rsidRDefault="00C700A5" w:rsidP="00C700A5">
      <w:r w:rsidRPr="00C700A5">
        <w:t xml:space="preserve">La estimación del recaudo se basó en el </w:t>
      </w:r>
      <w:r w:rsidRPr="00C700A5">
        <w:rPr>
          <w:b/>
          <w:bCs/>
        </w:rPr>
        <w:t>1% del valor comercializado (Capital)</w:t>
      </w:r>
      <w:r w:rsidRPr="00C700A5">
        <w:t>. Se comparó este potencial frente al recaudo real, excluyendo los intereses para mantener la pureza del análisis de capital.</w:t>
      </w:r>
    </w:p>
    <w:p w14:paraId="55C8BF91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3.1. Hallazgos en Eficiencia y Mora</w:t>
      </w:r>
    </w:p>
    <w:p w14:paraId="116A0DEC" w14:textId="77777777" w:rsidR="00C700A5" w:rsidRPr="00C700A5" w:rsidRDefault="00C700A5" w:rsidP="00C700A5">
      <w:pPr>
        <w:numPr>
          <w:ilvl w:val="0"/>
          <w:numId w:val="11"/>
        </w:numPr>
      </w:pPr>
      <w:r w:rsidRPr="00C700A5">
        <w:rPr>
          <w:b/>
          <w:bCs/>
        </w:rPr>
        <w:t>Correlación Crítica en Julio:</w:t>
      </w:r>
      <w:r w:rsidRPr="00C700A5">
        <w:t xml:space="preserve"> El Índice de Eficacia cae mientras la </w:t>
      </w:r>
      <w:r w:rsidRPr="00C700A5">
        <w:rPr>
          <w:b/>
          <w:bCs/>
        </w:rPr>
        <w:t>mora alcanza su máximo histórico (0,8%)</w:t>
      </w:r>
      <w:r w:rsidRPr="00C700A5">
        <w:t>. Esto revela un problema de liquidez estacional para el productor.</w:t>
      </w:r>
    </w:p>
    <w:p w14:paraId="2CA4CDF5" w14:textId="79CE8E54" w:rsidR="00C700A5" w:rsidRPr="00C700A5" w:rsidRDefault="00C700A5" w:rsidP="00C700A5">
      <w:pPr>
        <w:numPr>
          <w:ilvl w:val="0"/>
          <w:numId w:val="11"/>
        </w:numPr>
      </w:pPr>
      <w:r w:rsidRPr="00C700A5">
        <w:rPr>
          <w:b/>
          <w:bCs/>
        </w:rPr>
        <w:t>Comportamiento por Canal:</w:t>
      </w:r>
      <w:r w:rsidRPr="00C700A5">
        <w:t xml:space="preserve"> </w:t>
      </w:r>
      <w:r w:rsidR="009F6A2D">
        <w:t xml:space="preserve">El canal industria que se concentra mas que todo </w:t>
      </w:r>
      <w:r w:rsidR="009A13A2">
        <w:t>en Bogotá y Cundinamarca, es donde se hace más gestión de Recaudo</w:t>
      </w:r>
    </w:p>
    <w:p w14:paraId="497E04D3" w14:textId="77777777" w:rsidR="00C700A5" w:rsidRPr="00C700A5" w:rsidRDefault="00C700A5" w:rsidP="00C700A5">
      <w:r w:rsidRPr="00C700A5">
        <w:pict w14:anchorId="40E63673">
          <v:rect id="_x0000_i1069" style="width:0;height:1.5pt" o:hralign="center" o:hrstd="t" o:hr="t" fillcolor="#a0a0a0" stroked="f"/>
        </w:pict>
      </w:r>
    </w:p>
    <w:p w14:paraId="028BDDCF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4. Actividad 3: Estructura y Concentración de Recaudadores</w:t>
      </w:r>
    </w:p>
    <w:p w14:paraId="4AC908CB" w14:textId="77777777" w:rsidR="00C700A5" w:rsidRPr="00C700A5" w:rsidRDefault="00C700A5" w:rsidP="00C700A5">
      <w:r w:rsidRPr="00C700A5">
        <w:t>En este componente analítico se evaluó la dependencia y vulnerabilidad del Fondo respecto a sus agentes recaudadores, utilizando métricas de concentración económica.</w:t>
      </w:r>
    </w:p>
    <w:p w14:paraId="1D632F3D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4.1. Análisis de Concentración (HHI y Pareto)</w:t>
      </w:r>
    </w:p>
    <w:p w14:paraId="0117F953" w14:textId="77777777" w:rsidR="00C700A5" w:rsidRPr="00C700A5" w:rsidRDefault="00C700A5" w:rsidP="00C700A5">
      <w:pPr>
        <w:numPr>
          <w:ilvl w:val="0"/>
          <w:numId w:val="12"/>
        </w:numPr>
      </w:pPr>
      <w:r w:rsidRPr="00C700A5">
        <w:rPr>
          <w:b/>
          <w:bCs/>
        </w:rPr>
        <w:t>Índice de Herfindahl-Hirschman (HHI):</w:t>
      </w:r>
      <w:r w:rsidRPr="00C700A5">
        <w:t xml:space="preserve"> Se obtuvo un valor de </w:t>
      </w:r>
      <w:r w:rsidRPr="00C700A5">
        <w:rPr>
          <w:b/>
          <w:bCs/>
        </w:rPr>
        <w:t>337,18</w:t>
      </w:r>
      <w:r w:rsidRPr="00C700A5">
        <w:t xml:space="preserve">. Según los estándares de competencia, un índice por debajo de 1.500 indica un mercado </w:t>
      </w:r>
      <w:r w:rsidRPr="00C700A5">
        <w:rPr>
          <w:b/>
          <w:bCs/>
        </w:rPr>
        <w:t>altamente diversificado y atomizado</w:t>
      </w:r>
      <w:r w:rsidRPr="00C700A5">
        <w:t>.</w:t>
      </w:r>
    </w:p>
    <w:p w14:paraId="0FC4A78B" w14:textId="77777777" w:rsidR="00C700A5" w:rsidRPr="00C700A5" w:rsidRDefault="00C700A5" w:rsidP="00C700A5">
      <w:pPr>
        <w:numPr>
          <w:ilvl w:val="0"/>
          <w:numId w:val="12"/>
        </w:numPr>
      </w:pPr>
      <w:r w:rsidRPr="00C700A5">
        <w:rPr>
          <w:b/>
          <w:bCs/>
        </w:rPr>
        <w:t>Participación del Top 10:</w:t>
      </w:r>
      <w:r w:rsidRPr="00C700A5">
        <w:t xml:space="preserve"> Los 10 principales recaudadores explican el </w:t>
      </w:r>
      <w:r w:rsidRPr="00C700A5">
        <w:rPr>
          <w:b/>
          <w:bCs/>
        </w:rPr>
        <w:t>47%</w:t>
      </w:r>
      <w:r w:rsidRPr="00C700A5">
        <w:t xml:space="preserve"> del recaudo total. Aunque es una cifra significativa, el </w:t>
      </w:r>
      <w:r w:rsidRPr="00C700A5">
        <w:rPr>
          <w:b/>
          <w:bCs/>
        </w:rPr>
        <w:t>53%</w:t>
      </w:r>
      <w:r w:rsidRPr="00C700A5">
        <w:t xml:space="preserve"> restante está distribuido entre una amplia base de agentes.</w:t>
      </w:r>
    </w:p>
    <w:p w14:paraId="065C306E" w14:textId="77777777" w:rsidR="00C700A5" w:rsidRPr="00C700A5" w:rsidRDefault="00C700A5" w:rsidP="00C700A5">
      <w:pPr>
        <w:numPr>
          <w:ilvl w:val="0"/>
          <w:numId w:val="12"/>
        </w:numPr>
      </w:pPr>
      <w:r w:rsidRPr="00C700A5">
        <w:rPr>
          <w:b/>
          <w:bCs/>
        </w:rPr>
        <w:t>Curva de Pareto:</w:t>
      </w:r>
      <w:r w:rsidRPr="00C700A5">
        <w:t xml:space="preserve"> La distribución no sigue el esquema clásico 80/20, sino que muestra una "cola larga" de recaudadores medianos que aportan robustez al sistema.</w:t>
      </w:r>
    </w:p>
    <w:p w14:paraId="19BA9C08" w14:textId="77777777" w:rsidR="00C700A5" w:rsidRPr="00C700A5" w:rsidRDefault="00C700A5" w:rsidP="00C700A5">
      <w:pPr>
        <w:rPr>
          <w:b/>
          <w:bCs/>
        </w:rPr>
      </w:pPr>
      <w:r w:rsidRPr="00C700A5">
        <w:rPr>
          <w:b/>
          <w:bCs/>
        </w:rPr>
        <w:t>4.2. Interpretación de Riesgo y Estructura</w:t>
      </w:r>
    </w:p>
    <w:p w14:paraId="2700933F" w14:textId="77777777" w:rsidR="00C700A5" w:rsidRPr="00C700A5" w:rsidRDefault="00C700A5" w:rsidP="00C700A5">
      <w:pPr>
        <w:numPr>
          <w:ilvl w:val="0"/>
          <w:numId w:val="13"/>
        </w:numPr>
      </w:pPr>
      <w:r w:rsidRPr="00C700A5">
        <w:rPr>
          <w:b/>
          <w:bCs/>
        </w:rPr>
        <w:t>Baja Vulnerabilidad:</w:t>
      </w:r>
      <w:r w:rsidRPr="00C700A5">
        <w:t xml:space="preserve"> El sistema no depende de uno o dos actores dominantes. El incumplimiento de una entidad del "Top 5" no comprometería la viabilidad financiera del Fondo, dada la alta atomización reflejada en el HHI.</w:t>
      </w:r>
    </w:p>
    <w:p w14:paraId="5C1D99C9" w14:textId="77777777" w:rsidR="00C700A5" w:rsidRPr="00C700A5" w:rsidRDefault="00C700A5" w:rsidP="00C700A5">
      <w:pPr>
        <w:numPr>
          <w:ilvl w:val="0"/>
          <w:numId w:val="13"/>
        </w:numPr>
      </w:pPr>
      <w:r w:rsidRPr="00C700A5">
        <w:rPr>
          <w:b/>
          <w:bCs/>
        </w:rPr>
        <w:lastRenderedPageBreak/>
        <w:t>Estructura Competitiva:</w:t>
      </w:r>
      <w:r w:rsidRPr="00C700A5">
        <w:t xml:space="preserve"> La estructura es saludable. No existe un "monopolio de recaudo", lo que sugiere que los canales de captación de la cuota de fomento están bien extendidos en el territorio nacional.</w:t>
      </w:r>
    </w:p>
    <w:p w14:paraId="76A1978F" w14:textId="77777777" w:rsidR="00C700A5" w:rsidRPr="00C700A5" w:rsidRDefault="00C700A5" w:rsidP="00C700A5">
      <w:pPr>
        <w:numPr>
          <w:ilvl w:val="0"/>
          <w:numId w:val="13"/>
        </w:numPr>
      </w:pPr>
      <w:r w:rsidRPr="00C700A5">
        <w:rPr>
          <w:b/>
          <w:bCs/>
        </w:rPr>
        <w:t>Eficiencia en Fiscalización:</w:t>
      </w:r>
      <w:r w:rsidRPr="00C700A5">
        <w:t xml:space="preserve"> Al tener el 47% del recaudo en solo 10 entidades, Fedepapa puede aplicar una </w:t>
      </w:r>
      <w:r w:rsidRPr="00C700A5">
        <w:rPr>
          <w:b/>
          <w:bCs/>
        </w:rPr>
        <w:t>estrategia de auditoría 80/20 inversa</w:t>
      </w:r>
      <w:r w:rsidRPr="00C700A5">
        <w:t>: fiscalizar intensamente a los 10 grandes (donde está la mitad del dinero) y usar procesos automatizados para la base atomizada.</w:t>
      </w:r>
    </w:p>
    <w:p w14:paraId="304041E3" w14:textId="77777777" w:rsidR="00C700A5" w:rsidRPr="00C700A5" w:rsidRDefault="00C700A5" w:rsidP="00C700A5">
      <w:r w:rsidRPr="00C700A5">
        <w:pict w14:anchorId="5AC3B7F6">
          <v:rect id="_x0000_i1070" style="width:0;height:1.5pt" o:hralign="center" o:hrstd="t" o:hr="t" fillcolor="#a0a0a0" stroked="f"/>
        </w:pict>
      </w:r>
    </w:p>
    <w:p w14:paraId="2C2C5B89" w14:textId="18065891" w:rsidR="00C700A5" w:rsidRPr="00C62660" w:rsidRDefault="00C700A5" w:rsidP="00C62660">
      <w:pPr>
        <w:pStyle w:val="ListParagraph"/>
        <w:numPr>
          <w:ilvl w:val="0"/>
          <w:numId w:val="13"/>
        </w:numPr>
        <w:rPr>
          <w:b/>
          <w:bCs/>
        </w:rPr>
      </w:pPr>
      <w:r w:rsidRPr="00C62660">
        <w:rPr>
          <w:b/>
          <w:bCs/>
        </w:rPr>
        <w:t>Recomendaciones de Gestión Finales</w:t>
      </w:r>
    </w:p>
    <w:p w14:paraId="163C07DD" w14:textId="77777777" w:rsidR="00C62660" w:rsidRPr="002B3EAB" w:rsidRDefault="00C62660" w:rsidP="002B3EAB">
      <w:pPr>
        <w:ind w:left="360"/>
        <w:rPr>
          <w:b/>
          <w:bCs/>
        </w:rPr>
      </w:pPr>
    </w:p>
    <w:p w14:paraId="3CC067D8" w14:textId="77777777" w:rsidR="00C700A5" w:rsidRDefault="00C700A5" w:rsidP="00C700A5">
      <w:pPr>
        <w:numPr>
          <w:ilvl w:val="0"/>
          <w:numId w:val="14"/>
        </w:numPr>
      </w:pPr>
      <w:r w:rsidRPr="00C700A5">
        <w:rPr>
          <w:b/>
          <w:bCs/>
        </w:rPr>
        <w:t>Auditoría Segmentada:</w:t>
      </w:r>
      <w:r w:rsidRPr="00C700A5">
        <w:t xml:space="preserve"> Priorizar la fiscalización física en el </w:t>
      </w:r>
      <w:r w:rsidRPr="00C700A5">
        <w:rPr>
          <w:b/>
          <w:bCs/>
        </w:rPr>
        <w:t>Top 10 de recaudadores</w:t>
      </w:r>
      <w:r w:rsidRPr="00C700A5">
        <w:t xml:space="preserve"> para asegurar el 47% del flujo, mientras se implementan alertas tempranas digitales para el resto de la base.</w:t>
      </w:r>
    </w:p>
    <w:p w14:paraId="0BFD4199" w14:textId="77F4BAEA" w:rsidR="00B60B14" w:rsidRPr="00C700A5" w:rsidRDefault="00B60B14" w:rsidP="00C700A5">
      <w:pPr>
        <w:numPr>
          <w:ilvl w:val="0"/>
          <w:numId w:val="14"/>
        </w:numPr>
      </w:pPr>
      <w:r>
        <w:rPr>
          <w:b/>
          <w:bCs/>
        </w:rPr>
        <w:t xml:space="preserve">El departamento </w:t>
      </w:r>
      <w:r w:rsidR="007652BE">
        <w:rPr>
          <w:b/>
          <w:bCs/>
        </w:rPr>
        <w:t>Boyacá</w:t>
      </w:r>
      <w:r>
        <w:rPr>
          <w:b/>
          <w:bCs/>
        </w:rPr>
        <w:t xml:space="preserve"> </w:t>
      </w:r>
      <w:r w:rsidR="00DB3270">
        <w:t xml:space="preserve">es </w:t>
      </w:r>
      <w:r w:rsidR="007652BE">
        <w:t xml:space="preserve">el segundo mercado Potencial de </w:t>
      </w:r>
      <w:r w:rsidR="004F24DB">
        <w:t xml:space="preserve">recaudación después de Cundinamarca, y sin embargo </w:t>
      </w:r>
      <w:r w:rsidR="00D30837">
        <w:t xml:space="preserve">en la recaudación real, sólo se encuentra el 2,65%, </w:t>
      </w:r>
      <w:r w:rsidR="006D6240">
        <w:t>aquí</w:t>
      </w:r>
      <w:r w:rsidR="00D30837">
        <w:t xml:space="preserve"> se debería implementar una gesti</w:t>
      </w:r>
      <w:r w:rsidR="006D6240">
        <w:t>ón estratégica en recaudo.</w:t>
      </w:r>
    </w:p>
    <w:p w14:paraId="3C5C917A" w14:textId="77777777" w:rsidR="00C700A5" w:rsidRPr="00C700A5" w:rsidRDefault="00C700A5" w:rsidP="00C700A5">
      <w:pPr>
        <w:numPr>
          <w:ilvl w:val="0"/>
          <w:numId w:val="14"/>
        </w:numPr>
      </w:pPr>
      <w:r w:rsidRPr="00C700A5">
        <w:rPr>
          <w:b/>
          <w:bCs/>
        </w:rPr>
        <w:t>Mitigación de Mora:</w:t>
      </w:r>
      <w:r w:rsidRPr="00C700A5">
        <w:t xml:space="preserve"> Lanzar campañas preventivas en </w:t>
      </w:r>
      <w:proofErr w:type="gramStart"/>
      <w:r w:rsidRPr="00C700A5">
        <w:rPr>
          <w:b/>
          <w:bCs/>
        </w:rPr>
        <w:t>Junio</w:t>
      </w:r>
      <w:proofErr w:type="gramEnd"/>
      <w:r w:rsidRPr="00C700A5">
        <w:t xml:space="preserve"> para contrarrestar el pico de mora de </w:t>
      </w:r>
      <w:r w:rsidRPr="00C700A5">
        <w:rPr>
          <w:b/>
          <w:bCs/>
        </w:rPr>
        <w:t>0,8%</w:t>
      </w:r>
      <w:r w:rsidRPr="00C700A5">
        <w:t xml:space="preserve"> identificado en los meses de cosecha pico (Julio-</w:t>
      </w:r>
      <w:proofErr w:type="gramStart"/>
      <w:r w:rsidRPr="00C700A5">
        <w:t>Agosto</w:t>
      </w:r>
      <w:proofErr w:type="gramEnd"/>
      <w:r w:rsidRPr="00C700A5">
        <w:t>).</w:t>
      </w:r>
    </w:p>
    <w:p w14:paraId="645A3A78" w14:textId="118CBD7B" w:rsidR="0082667A" w:rsidRPr="00C700A5" w:rsidRDefault="00C700A5" w:rsidP="00C700A5">
      <w:pPr>
        <w:numPr>
          <w:ilvl w:val="0"/>
          <w:numId w:val="14"/>
        </w:numPr>
      </w:pPr>
      <w:r w:rsidRPr="00C700A5">
        <w:rPr>
          <w:b/>
          <w:bCs/>
        </w:rPr>
        <w:t>Integridad del Dato:</w:t>
      </w:r>
      <w:r w:rsidRPr="00C700A5">
        <w:t xml:space="preserve"> Estandarizar el reporte de producción en departamentos periféricos. La "brecha" observada en zonas de baja producción suele ser un error de registro y no una evasión real; sanear este dato mejorará la credibilidad de los indicadores de gestión.</w:t>
      </w:r>
    </w:p>
    <w:sectPr w:rsidR="0082667A" w:rsidRPr="00C700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6DE8"/>
    <w:multiLevelType w:val="multilevel"/>
    <w:tmpl w:val="6C882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00FF5"/>
    <w:multiLevelType w:val="multilevel"/>
    <w:tmpl w:val="D13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60BC9"/>
    <w:multiLevelType w:val="multilevel"/>
    <w:tmpl w:val="830A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D3AD1"/>
    <w:multiLevelType w:val="multilevel"/>
    <w:tmpl w:val="5B1E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B79CA"/>
    <w:multiLevelType w:val="multilevel"/>
    <w:tmpl w:val="1CE8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E0461F"/>
    <w:multiLevelType w:val="multilevel"/>
    <w:tmpl w:val="A94A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31ABF"/>
    <w:multiLevelType w:val="multilevel"/>
    <w:tmpl w:val="73F8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761D73"/>
    <w:multiLevelType w:val="multilevel"/>
    <w:tmpl w:val="F6A0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42651F"/>
    <w:multiLevelType w:val="multilevel"/>
    <w:tmpl w:val="27FE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CE544F"/>
    <w:multiLevelType w:val="multilevel"/>
    <w:tmpl w:val="67882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0A28AE"/>
    <w:multiLevelType w:val="multilevel"/>
    <w:tmpl w:val="AA10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0C4B81"/>
    <w:multiLevelType w:val="multilevel"/>
    <w:tmpl w:val="9652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3A7FD2"/>
    <w:multiLevelType w:val="multilevel"/>
    <w:tmpl w:val="C858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C31E4"/>
    <w:multiLevelType w:val="multilevel"/>
    <w:tmpl w:val="624A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674466">
    <w:abstractNumId w:val="12"/>
  </w:num>
  <w:num w:numId="2" w16cid:durableId="945963967">
    <w:abstractNumId w:val="6"/>
  </w:num>
  <w:num w:numId="3" w16cid:durableId="106511443">
    <w:abstractNumId w:val="5"/>
  </w:num>
  <w:num w:numId="4" w16cid:durableId="8991618">
    <w:abstractNumId w:val="2"/>
  </w:num>
  <w:num w:numId="5" w16cid:durableId="168253529">
    <w:abstractNumId w:val="7"/>
  </w:num>
  <w:num w:numId="6" w16cid:durableId="806899947">
    <w:abstractNumId w:val="3"/>
  </w:num>
  <w:num w:numId="7" w16cid:durableId="69012518">
    <w:abstractNumId w:val="0"/>
  </w:num>
  <w:num w:numId="8" w16cid:durableId="770011818">
    <w:abstractNumId w:val="13"/>
  </w:num>
  <w:num w:numId="9" w16cid:durableId="1916276823">
    <w:abstractNumId w:val="10"/>
  </w:num>
  <w:num w:numId="10" w16cid:durableId="838542144">
    <w:abstractNumId w:val="1"/>
  </w:num>
  <w:num w:numId="11" w16cid:durableId="569116986">
    <w:abstractNumId w:val="11"/>
  </w:num>
  <w:num w:numId="12" w16cid:durableId="2113818300">
    <w:abstractNumId w:val="4"/>
  </w:num>
  <w:num w:numId="13" w16cid:durableId="153763688">
    <w:abstractNumId w:val="9"/>
  </w:num>
  <w:num w:numId="14" w16cid:durableId="6673656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E1B"/>
    <w:rsid w:val="00057E1B"/>
    <w:rsid w:val="001E1836"/>
    <w:rsid w:val="002B3EAB"/>
    <w:rsid w:val="00354E60"/>
    <w:rsid w:val="003B2AC3"/>
    <w:rsid w:val="004F24DB"/>
    <w:rsid w:val="00517DA2"/>
    <w:rsid w:val="005217B2"/>
    <w:rsid w:val="00672648"/>
    <w:rsid w:val="006D6240"/>
    <w:rsid w:val="00731F79"/>
    <w:rsid w:val="007652BE"/>
    <w:rsid w:val="007E178E"/>
    <w:rsid w:val="007F73D0"/>
    <w:rsid w:val="0082667A"/>
    <w:rsid w:val="008804C8"/>
    <w:rsid w:val="009127D7"/>
    <w:rsid w:val="009630B8"/>
    <w:rsid w:val="009A13A2"/>
    <w:rsid w:val="009F6A2D"/>
    <w:rsid w:val="00AC6524"/>
    <w:rsid w:val="00B60B14"/>
    <w:rsid w:val="00B61D9A"/>
    <w:rsid w:val="00BE7A0B"/>
    <w:rsid w:val="00C62660"/>
    <w:rsid w:val="00C67608"/>
    <w:rsid w:val="00C700A5"/>
    <w:rsid w:val="00CE695A"/>
    <w:rsid w:val="00D30837"/>
    <w:rsid w:val="00D32105"/>
    <w:rsid w:val="00D83671"/>
    <w:rsid w:val="00DB3270"/>
    <w:rsid w:val="00EE5B04"/>
    <w:rsid w:val="00FF1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7C940"/>
  <w15:chartTrackingRefBased/>
  <w15:docId w15:val="{26210AF3-2572-452B-89E9-8A2D95C20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E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4E6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3</Pages>
  <Words>712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Edith Rincon</dc:creator>
  <cp:keywords/>
  <dc:description/>
  <cp:lastModifiedBy>Edith Rincon</cp:lastModifiedBy>
  <cp:revision>31</cp:revision>
  <dcterms:created xsi:type="dcterms:W3CDTF">2026-02-23T20:22:00Z</dcterms:created>
  <dcterms:modified xsi:type="dcterms:W3CDTF">2026-02-24T20:32:00Z</dcterms:modified>
</cp:coreProperties>
</file>