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B45A2A"/>
          <w:spacing w:val="40"/>
          <w:sz w:val="16"/>
          <w:szCs w:val="16"/>
        </w:rPr>
        <w:t xml:space="preserve">FOUNDER BRIEF · V1</w:t>
      </w:r>
    </w:p>
    <w:p>
      <w:pPr>
        <w:spacing w:after="80"/>
      </w:pPr>
      <w:r>
        <w:rPr>
          <w:rFonts w:ascii="Georgia" w:cs="Georgia" w:eastAsia="Georgia" w:hAnsi="Georgia"/>
          <w:b/>
          <w:bCs/>
          <w:color w:val="1B1F1A"/>
          <w:sz w:val="52"/>
          <w:szCs w:val="52"/>
        </w:rPr>
        <w:t xml:space="preserve">South Wales Walks</w:t>
      </w:r>
    </w:p>
    <w:p>
      <w:pPr>
        <w:spacing w:after="240"/>
      </w:pPr>
      <w:r>
        <w:rPr>
          <w:rFonts w:ascii="Georgia" w:cs="Georgia" w:eastAsia="Georgia" w:hAnsi="Georgia"/>
          <w:i/>
          <w:iCs/>
          <w:color w:val="2F4530"/>
          <w:sz w:val="26"/>
          <w:szCs w:val="26"/>
        </w:rPr>
        <w:t xml:space="preserve">From spreadsheet to product — a 90-day plan for scale and commercialisation.</w:t>
      </w:r>
    </w:p>
    <w:p>
      <w:pPr>
        <w:spacing w:after="120"/>
      </w:pPr>
      <w:r>
        <w:rPr>
          <w:rFonts w:ascii="Arial" w:cs="Arial" w:eastAsia="Arial" w:hAnsi="Arial"/>
          <w:sz w:val="22"/>
          <w:szCs w:val="22"/>
        </w:rPr>
        <w:t xml:space="preserve">Prepared 23 April 2026. Owner: Jason. Status: working draft.</w:t>
      </w:r>
    </w:p>
    <w:p>
      <w:pPr>
        <w:pStyle w:val="Heading1"/>
        <w:spacing w:after="180" w:before="360"/>
      </w:pPr>
      <w:r>
        <w:rPr>
          <w:rFonts w:ascii="Georgia" w:cs="Georgia" w:eastAsia="Georgia" w:hAnsi="Georgia"/>
          <w:b/>
          <w:bCs/>
          <w:color w:val="1B1F1A"/>
          <w:sz w:val="36"/>
          <w:szCs w:val="36"/>
        </w:rPr>
        <w:t xml:space="preserve">1. Where we are</w:t>
      </w:r>
    </w:p>
    <w:p>
      <w:pPr>
        <w:spacing w:after="120"/>
      </w:pPr>
      <w:r>
        <w:rPr>
          <w:rFonts w:ascii="Arial" w:cs="Arial" w:eastAsia="Arial" w:hAnsi="Arial"/>
          <w:sz w:val="22"/>
          <w:szCs w:val="22"/>
        </w:rPr>
        <w:t xml:space="preserve">South Wales Walks is a hand-compiled guide to 167 walks across the Brecon Beacons, Gower, Pembrokeshire, the Wye Valley, Mid Wales, Carmarthenshire and the Forest of Dean. It is currently a static single-page site, auto-built from a Python source file and published to GitHub Pages via a GitHub Action.</w:t>
      </w:r>
    </w:p>
    <w:p>
      <w:pPr>
        <w:spacing w:after="120"/>
      </w:pPr>
      <w:r>
        <w:rPr>
          <w:rFonts w:ascii="Arial" w:cs="Arial" w:eastAsia="Arial" w:hAnsi="Arial"/>
          <w:sz w:val="22"/>
          <w:szCs w:val="22"/>
        </w:rPr>
        <w:t xml:space="preserve">Editorial quality is already strong. The constraints now are technical: the data lives in an Excel/Python blob that does not scale beyond one editor, the photography is stock Unsplash (not differentiated), and there is no mechanism for users to contribute signal — ratings, reviews, photos — which is precisely the flywheel a walks guide needs.</w:t>
      </w:r>
    </w:p>
    <w:p>
      <w:pPr>
        <w:pStyle w:val="Heading1"/>
        <w:spacing w:after="180" w:before="360"/>
      </w:pPr>
      <w:r>
        <w:rPr>
          <w:rFonts w:ascii="Georgia" w:cs="Georgia" w:eastAsia="Georgia" w:hAnsi="Georgia"/>
          <w:b/>
          <w:bCs/>
          <w:color w:val="1B1F1A"/>
          <w:sz w:val="36"/>
          <w:szCs w:val="36"/>
        </w:rPr>
        <w:t xml:space="preserve">2. Strategic direction</w:t>
      </w:r>
    </w:p>
    <w:p>
      <w:pPr>
        <w:spacing w:after="120"/>
      </w:pPr>
      <w:r>
        <w:rPr>
          <w:rFonts w:ascii="Arial" w:cs="Arial" w:eastAsia="Arial" w:hAnsi="Arial"/>
          <w:sz w:val="22"/>
          <w:szCs w:val="22"/>
        </w:rPr>
        <w:t xml:space="preserve">Keep what works: the editorial voice, the static front-end (fast, free to host, indestructible), and the open-source repo as the source of truth. Add only as much infrastructure as each new capability strictly requires.</w:t>
      </w:r>
    </w:p>
    <w:p>
      <w:pPr>
        <w:spacing w:after="120"/>
      </w:pPr>
      <w:r>
        <w:rPr>
          <w:rFonts w:ascii="Arial" w:cs="Arial" w:eastAsia="Arial" w:hAnsi="Arial"/>
          <w:sz w:val="22"/>
          <w:szCs w:val="22"/>
        </w:rPr>
        <w:t xml:space="preserve">Architecturally we are moving from monolith-in-a-spreadsheet to a three-layer model: (1) editorial content in Git as diffable JSON, (2) static rendering to HTML/CSS/JS served from CDN, (3) a thin backend service (Supabase / Postgres) for anything user-generated. Each layer earns its place; we do not add a backend until ratings require one.</w:t>
      </w:r>
    </w:p>
    <w:p>
      <w:pPr>
        <w:pStyle w:val="Heading1"/>
        <w:spacing w:after="180" w:before="360"/>
      </w:pPr>
      <w:r>
        <w:rPr>
          <w:rFonts w:ascii="Georgia" w:cs="Georgia" w:eastAsia="Georgia" w:hAnsi="Georgia"/>
          <w:b/>
          <w:bCs/>
          <w:color w:val="1B1F1A"/>
          <w:sz w:val="36"/>
          <w:szCs w:val="36"/>
        </w:rPr>
        <w:t xml:space="preserve">3. The next three changes</w:t>
      </w:r>
    </w:p>
    <w:p>
      <w:pPr>
        <w:pStyle w:val="Heading2"/>
        <w:spacing w:after="140" w:before="280"/>
      </w:pPr>
      <w:r>
        <w:rPr>
          <w:rFonts w:ascii="Georgia" w:cs="Georgia" w:eastAsia="Georgia" w:hAnsi="Georgia"/>
          <w:b/>
          <w:bCs/>
          <w:color w:val="2F4530"/>
          <w:sz w:val="28"/>
          <w:szCs w:val="28"/>
        </w:rPr>
        <w:t xml:space="preserve">3a. Photography — switch from Unsplash to Geograph.org.uk</w:t>
      </w:r>
    </w:p>
    <w:p>
      <w:pPr>
        <w:spacing w:after="120"/>
      </w:pPr>
      <w:r>
        <w:rPr>
          <w:rFonts w:ascii="Arial" w:cs="Arial" w:eastAsia="Arial" w:hAnsi="Arial"/>
          <w:sz w:val="22"/>
          <w:szCs w:val="22"/>
        </w:rPr>
        <w:t xml:space="preserve">Problem: generic stock landscape photos do not inspire trust or aid decision-making. A user cannot tell whether the photos show the walk they are reading about.</w:t>
      </w:r>
    </w:p>
    <w:p>
      <w:pPr>
        <w:spacing w:after="120"/>
      </w:pPr>
      <w:r>
        <w:rPr>
          <w:rFonts w:ascii="Arial" w:cs="Arial" w:eastAsia="Arial" w:hAnsi="Arial"/>
          <w:sz w:val="22"/>
          <w:szCs w:val="22"/>
        </w:rPr>
        <w:t xml:space="preserve">Solution: integrate Geograph.org.uk, a 7-million-photo CC-licensed volunteer archive with every square kilometre of the UK covered. At build time, for each walk, fetch three photos near its start postcode, cache them locally in the repo, and embed photographer attribution (required by the CC-BY-SA licence).</w:t>
      </w:r>
    </w:p>
    <w:p>
      <w:pPr>
        <w:spacing w:after="120"/>
      </w:pPr>
      <w:r>
        <w:rPr>
          <w:rFonts w:ascii="Arial" w:cs="Arial" w:eastAsia="Arial" w:hAnsi="Arial"/>
          <w:sz w:val="22"/>
          <w:szCs w:val="22"/>
        </w:rPr>
        <w:t xml:space="preserve">Impact: real photos of real places. Credible, distinctive, free, legal. No runtime dependency.</w:t>
      </w:r>
    </w:p>
    <w:p>
      <w:pPr>
        <w:pStyle w:val="Heading2"/>
        <w:spacing w:after="140" w:before="280"/>
      </w:pPr>
      <w:r>
        <w:rPr>
          <w:rFonts w:ascii="Georgia" w:cs="Georgia" w:eastAsia="Georgia" w:hAnsi="Georgia"/>
          <w:b/>
          <w:bCs/>
          <w:color w:val="2F4530"/>
          <w:sz w:val="28"/>
          <w:szCs w:val="28"/>
        </w:rPr>
        <w:t xml:space="preserve">3b. Data — one JSON file per walk, schema-validated</w:t>
      </w:r>
    </w:p>
    <w:p>
      <w:pPr>
        <w:spacing w:after="120"/>
      </w:pPr>
      <w:r>
        <w:rPr>
          <w:rFonts w:ascii="Arial" w:cs="Arial" w:eastAsia="Arial" w:hAnsi="Arial"/>
          <w:sz w:val="22"/>
          <w:szCs w:val="22"/>
        </w:rPr>
        <w:t xml:space="preserve">Problem: a 167-item Python list is not diffable, not concurrent-editable, has no validation, and forces an Excel export for every change.</w:t>
      </w:r>
    </w:p>
    <w:p>
      <w:pPr>
        <w:spacing w:after="120"/>
      </w:pPr>
      <w:r>
        <w:rPr>
          <w:rFonts w:ascii="Arial" w:cs="Arial" w:eastAsia="Arial" w:hAnsi="Arial"/>
          <w:sz w:val="22"/>
          <w:szCs w:val="22"/>
        </w:rPr>
        <w:t xml:space="preserve">Solution: migrate each walk to its own JSON file under /walks/, governed by a JSON Schema that enforces required fields and data types. The Excel spreadsheet becomes a generated artefact for personal/offline use. Two editors can work simultaneously; every change produces a readable git diff; a broken walk fails the build loudly rather than corrupting the output.</w:t>
      </w:r>
    </w:p>
    <w:p>
      <w:pPr>
        <w:spacing w:after="120"/>
      </w:pPr>
      <w:r>
        <w:rPr>
          <w:rFonts w:ascii="Arial" w:cs="Arial" w:eastAsia="Arial" w:hAnsi="Arial"/>
          <w:sz w:val="22"/>
          <w:szCs w:val="22"/>
        </w:rPr>
        <w:t xml:space="preserve">Impact: foundational. Enables contributions, review workflows, and later CMS integration without a rewrite.</w:t>
      </w:r>
    </w:p>
    <w:p>
      <w:pPr>
        <w:pStyle w:val="Heading2"/>
        <w:spacing w:after="140" w:before="280"/>
      </w:pPr>
      <w:r>
        <w:rPr>
          <w:rFonts w:ascii="Georgia" w:cs="Georgia" w:eastAsia="Georgia" w:hAnsi="Georgia"/>
          <w:b/>
          <w:bCs/>
          <w:color w:val="2F4530"/>
          <w:sz w:val="28"/>
          <w:szCs w:val="28"/>
        </w:rPr>
        <w:t xml:space="preserve">3c. Ratings — Supabase-backed, email magic-link auth</w:t>
      </w:r>
    </w:p>
    <w:p>
      <w:pPr>
        <w:spacing w:after="120"/>
      </w:pPr>
      <w:r>
        <w:rPr>
          <w:rFonts w:ascii="Arial" w:cs="Arial" w:eastAsia="Arial" w:hAnsi="Arial"/>
          <w:sz w:val="22"/>
          <w:szCs w:val="22"/>
        </w:rPr>
        <w:t xml:space="preserve">Problem: no way for users to signal which walks are worth doing. This is the central content problem for any guide beyond ~50 walks.</w:t>
      </w:r>
    </w:p>
    <w:p>
      <w:pPr>
        <w:spacing w:after="120"/>
      </w:pPr>
      <w:r>
        <w:rPr>
          <w:rFonts w:ascii="Arial" w:cs="Arial" w:eastAsia="Arial" w:hAnsi="Arial"/>
          <w:sz w:val="22"/>
          <w:szCs w:val="22"/>
        </w:rPr>
        <w:t xml:space="preserve">Solution: introduce Supabase (Postgres + auth, free tier: 500MB database, 50k monthly active users). Each walk gets an overall 1–5 star rating plus five facet ratings — scenery, signage, dog-friendliness, parking, refreshments. Submission is gated by a one-click email magic-link (stops spam, builds the mailing list). Aggregate ratings render on every card; the rating widget lives in the walk detail panel.</w:t>
      </w:r>
    </w:p>
    <w:p>
      <w:pPr>
        <w:spacing w:after="120"/>
      </w:pPr>
      <w:r>
        <w:rPr>
          <w:rFonts w:ascii="Arial" w:cs="Arial" w:eastAsia="Arial" w:hAnsi="Arial"/>
          <w:sz w:val="22"/>
          <w:szCs w:val="22"/>
        </w:rPr>
        <w:t xml:space="preserve">Impact: the site becomes a product, not a document. Ratings create two network effects — better walks rise, and contributors feel ownership.</w:t>
      </w:r>
    </w:p>
    <w:p>
      <w:pPr>
        <w:pStyle w:val="Heading1"/>
        <w:spacing w:after="180" w:before="360"/>
      </w:pPr>
      <w:r>
        <w:rPr>
          <w:rFonts w:ascii="Georgia" w:cs="Georgia" w:eastAsia="Georgia" w:hAnsi="Georgia"/>
          <w:b/>
          <w:bCs/>
          <w:color w:val="1B1F1A"/>
          <w:sz w:val="36"/>
          <w:szCs w:val="36"/>
        </w:rPr>
        <w:t xml:space="preserve">4. Monetisation ladder</w:t>
      </w:r>
    </w:p>
    <w:p>
      <w:pPr>
        <w:spacing w:after="120"/>
      </w:pPr>
      <w:r>
        <w:rPr>
          <w:rFonts w:ascii="Arial" w:cs="Arial" w:eastAsia="Arial" w:hAnsi="Arial"/>
          <w:sz w:val="22"/>
          <w:szCs w:val="22"/>
        </w:rPr>
        <w:t xml:space="preserve">Ranked by proximity. The site should earn revenue before raising any external capital — this is a lifestyle business unless/until metrics demand otherwise.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06"/>
      </w:tblGrid>
      <w:tr>
        <w:trPr>
          <w:tblHeader/>
        </w:trPr>
        <w:tc>
          <w:tcPr>
            <w:tcW w:type="dxa" w:w="2200"/>
            <w:tcBorders>
              <w:top w:val="single" w:color="D7CFC0" w:sz="4"/>
              <w:left w:val="single" w:color="D7CFC0" w:sz="4"/>
              <w:bottom w:val="single" w:color="D7CFC0" w:sz="4"/>
              <w:right w:val="single" w:color="D7CFC0" w:sz="4"/>
            </w:tcBorders>
            <w:shd w:fill="2F4530" w:val="clear"/>
            <w:tcMar>
              <w:top w:type="dxa" w:w="100"/>
              <w:left w:type="dxa" w:w="140"/>
              <w:bottom w:type="dxa" w:w="100"/>
              <w:right w:type="dxa" w:w="140"/>
            </w:tcMar>
          </w:tcPr>
          <w:p>
            <w:r>
              <w:rPr>
                <w:rFonts w:ascii="Arial" w:cs="Arial" w:eastAsia="Arial" w:hAnsi="Arial"/>
                <w:b/>
                <w:bCs/>
                <w:color w:val="FBF6EC"/>
                <w:sz w:val="20"/>
                <w:szCs w:val="20"/>
              </w:rPr>
              <w:t xml:space="preserve">Channel</w:t>
            </w:r>
          </w:p>
        </w:tc>
        <w:tc>
          <w:tcPr>
            <w:tcW w:type="dxa" w:w="1800"/>
            <w:tcBorders>
              <w:top w:val="single" w:color="D7CFC0" w:sz="4"/>
              <w:left w:val="single" w:color="D7CFC0" w:sz="4"/>
              <w:bottom w:val="single" w:color="D7CFC0" w:sz="4"/>
              <w:right w:val="single" w:color="D7CFC0" w:sz="4"/>
            </w:tcBorders>
            <w:shd w:fill="2F4530" w:val="clear"/>
            <w:tcMar>
              <w:top w:type="dxa" w:w="100"/>
              <w:left w:type="dxa" w:w="140"/>
              <w:bottom w:type="dxa" w:w="100"/>
              <w:right w:type="dxa" w:w="140"/>
            </w:tcMar>
          </w:tcPr>
          <w:p>
            <w:r>
              <w:rPr>
                <w:rFonts w:ascii="Arial" w:cs="Arial" w:eastAsia="Arial" w:hAnsi="Arial"/>
                <w:b/>
                <w:bCs/>
                <w:color w:val="FBF6EC"/>
                <w:sz w:val="20"/>
                <w:szCs w:val="20"/>
              </w:rPr>
              <w:t xml:space="preserve">When</w:t>
            </w:r>
          </w:p>
        </w:tc>
        <w:tc>
          <w:tcPr>
            <w:tcW w:type="dxa" w:w="1800"/>
            <w:tcBorders>
              <w:top w:val="single" w:color="D7CFC0" w:sz="4"/>
              <w:left w:val="single" w:color="D7CFC0" w:sz="4"/>
              <w:bottom w:val="single" w:color="D7CFC0" w:sz="4"/>
              <w:right w:val="single" w:color="D7CFC0" w:sz="4"/>
            </w:tcBorders>
            <w:shd w:fill="2F4530" w:val="clear"/>
            <w:tcMar>
              <w:top w:type="dxa" w:w="100"/>
              <w:left w:type="dxa" w:w="140"/>
              <w:bottom w:type="dxa" w:w="100"/>
              <w:right w:type="dxa" w:w="140"/>
            </w:tcMar>
          </w:tcPr>
          <w:p>
            <w:r>
              <w:rPr>
                <w:rFonts w:ascii="Arial" w:cs="Arial" w:eastAsia="Arial" w:hAnsi="Arial"/>
                <w:b/>
                <w:bCs/>
                <w:color w:val="FBF6EC"/>
                <w:sz w:val="20"/>
                <w:szCs w:val="20"/>
              </w:rPr>
              <w:t xml:space="preserve">Effort</w:t>
            </w:r>
          </w:p>
        </w:tc>
        <w:tc>
          <w:tcPr>
            <w:tcW w:type="dxa" w:w="3506"/>
            <w:tcBorders>
              <w:top w:val="single" w:color="D7CFC0" w:sz="4"/>
              <w:left w:val="single" w:color="D7CFC0" w:sz="4"/>
              <w:bottom w:val="single" w:color="D7CFC0" w:sz="4"/>
              <w:right w:val="single" w:color="D7CFC0" w:sz="4"/>
            </w:tcBorders>
            <w:shd w:fill="2F4530" w:val="clear"/>
            <w:tcMar>
              <w:top w:type="dxa" w:w="100"/>
              <w:left w:type="dxa" w:w="140"/>
              <w:bottom w:type="dxa" w:w="100"/>
              <w:right w:type="dxa" w:w="140"/>
            </w:tcMar>
          </w:tcPr>
          <w:p>
            <w:r>
              <w:rPr>
                <w:rFonts w:ascii="Arial" w:cs="Arial" w:eastAsia="Arial" w:hAnsi="Arial"/>
                <w:b/>
                <w:bCs/>
                <w:color w:val="FBF6EC"/>
                <w:sz w:val="20"/>
                <w:szCs w:val="20"/>
              </w:rPr>
              <w:t xml:space="preserve">Notes</w:t>
            </w:r>
          </w:p>
        </w:tc>
      </w:tr>
      <w:tr>
        <w:tc>
          <w:tcPr>
            <w:tcW w:type="dxa" w:w="2200"/>
            <w:tcBorders>
              <w:top w:val="single" w:color="D7CFC0" w:sz="4"/>
              <w:left w:val="single" w:color="D7CFC0" w:sz="4"/>
              <w:bottom w:val="single" w:color="D7CFC0" w:sz="4"/>
              <w:right w:val="single" w:color="D7CFC0" w:sz="4"/>
            </w:tcBorders>
            <w:shd w:fill="F4ECDD" w:val="clear"/>
            <w:tcMar>
              <w:top w:type="dxa" w:w="100"/>
              <w:left w:type="dxa" w:w="140"/>
              <w:bottom w:type="dxa" w:w="100"/>
              <w:right w:type="dxa" w:w="140"/>
            </w:tcMar>
          </w:tcPr>
          <w:p>
            <w:r>
              <w:rPr>
                <w:rFonts w:ascii="Arial" w:cs="Arial" w:eastAsia="Arial" w:hAnsi="Arial"/>
                <w:b w:val="false"/>
                <w:bCs w:val="false"/>
                <w:color w:val="1B1F1A"/>
                <w:sz w:val="20"/>
                <w:szCs w:val="20"/>
              </w:rPr>
              <w:t xml:space="preserve">Affiliate links</w:t>
            </w:r>
          </w:p>
        </w:tc>
        <w:tc>
          <w:tcPr>
            <w:tcW w:type="dxa" w:w="1800"/>
            <w:tcBorders>
              <w:top w:val="single" w:color="D7CFC0" w:sz="4"/>
              <w:left w:val="single" w:color="D7CFC0" w:sz="4"/>
              <w:bottom w:val="single" w:color="D7CFC0" w:sz="4"/>
              <w:right w:val="single" w:color="D7CFC0" w:sz="4"/>
            </w:tcBorders>
            <w:shd w:fill="F4ECDD" w:val="clear"/>
            <w:tcMar>
              <w:top w:type="dxa" w:w="100"/>
              <w:left w:type="dxa" w:w="140"/>
              <w:bottom w:type="dxa" w:w="100"/>
              <w:right w:type="dxa" w:w="140"/>
            </w:tcMar>
          </w:tcPr>
          <w:p>
            <w:r>
              <w:rPr>
                <w:rFonts w:ascii="Arial" w:cs="Arial" w:eastAsia="Arial" w:hAnsi="Arial"/>
                <w:b w:val="false"/>
                <w:bCs w:val="false"/>
                <w:color w:val="1B1F1A"/>
                <w:sz w:val="20"/>
                <w:szCs w:val="20"/>
              </w:rPr>
              <w:t xml:space="preserve">Week 1</w:t>
            </w:r>
          </w:p>
        </w:tc>
        <w:tc>
          <w:tcPr>
            <w:tcW w:type="dxa" w:w="1800"/>
            <w:tcBorders>
              <w:top w:val="single" w:color="D7CFC0" w:sz="4"/>
              <w:left w:val="single" w:color="D7CFC0" w:sz="4"/>
              <w:bottom w:val="single" w:color="D7CFC0" w:sz="4"/>
              <w:right w:val="single" w:color="D7CFC0" w:sz="4"/>
            </w:tcBorders>
            <w:shd w:fill="F4ECDD" w:val="clear"/>
            <w:tcMar>
              <w:top w:type="dxa" w:w="100"/>
              <w:left w:type="dxa" w:w="140"/>
              <w:bottom w:type="dxa" w:w="100"/>
              <w:right w:type="dxa" w:w="140"/>
            </w:tcMar>
          </w:tcPr>
          <w:p>
            <w:r>
              <w:rPr>
                <w:rFonts w:ascii="Arial" w:cs="Arial" w:eastAsia="Arial" w:hAnsi="Arial"/>
                <w:b w:val="false"/>
                <w:bCs w:val="false"/>
                <w:color w:val="1B1F1A"/>
                <w:sz w:val="20"/>
                <w:szCs w:val="20"/>
              </w:rPr>
              <w:t xml:space="preserve">Low</w:t>
            </w:r>
          </w:p>
        </w:tc>
        <w:tc>
          <w:tcPr>
            <w:tcW w:type="dxa" w:w="3506"/>
            <w:tcBorders>
              <w:top w:val="single" w:color="D7CFC0" w:sz="4"/>
              <w:left w:val="single" w:color="D7CFC0" w:sz="4"/>
              <w:bottom w:val="single" w:color="D7CFC0" w:sz="4"/>
              <w:right w:val="single" w:color="D7CFC0" w:sz="4"/>
            </w:tcBorders>
            <w:shd w:fill="F4ECDD" w:val="clear"/>
            <w:tcMar>
              <w:top w:type="dxa" w:w="100"/>
              <w:left w:type="dxa" w:w="140"/>
              <w:bottom w:type="dxa" w:w="100"/>
              <w:right w:type="dxa" w:w="140"/>
            </w:tcMar>
          </w:tcPr>
          <w:p>
            <w:r>
              <w:rPr>
                <w:rFonts w:ascii="Arial" w:cs="Arial" w:eastAsia="Arial" w:hAnsi="Arial"/>
                <w:b w:val="false"/>
                <w:bCs w:val="false"/>
                <w:color w:val="1B1F1A"/>
                <w:sz w:val="20"/>
                <w:szCs w:val="20"/>
              </w:rPr>
              <w:t xml:space="preserve">OS Maps, National Trust, Cotswold Outdoor, Amazon (guidebooks). Disclose honestly.</w:t>
            </w:r>
          </w:p>
        </w:tc>
      </w:tr>
      <w:tr>
        <w:tc>
          <w:tcPr>
            <w:tcW w:type="dxa" w:w="2200"/>
            <w:tcBorders>
              <w:top w:val="single" w:color="D7CFC0" w:sz="4"/>
              <w:left w:val="single" w:color="D7CFC0" w:sz="4"/>
              <w:bottom w:val="single" w:color="D7CFC0" w:sz="4"/>
              <w:right w:val="single" w:color="D7CFC0" w:sz="4"/>
            </w:tcBorders>
            <w:tcMar>
              <w:top w:type="dxa" w:w="100"/>
              <w:left w:type="dxa" w:w="140"/>
              <w:bottom w:type="dxa" w:w="100"/>
              <w:right w:type="dxa" w:w="140"/>
            </w:tcMar>
          </w:tcPr>
          <w:p>
            <w:r>
              <w:rPr>
                <w:rFonts w:ascii="Arial" w:cs="Arial" w:eastAsia="Arial" w:hAnsi="Arial"/>
                <w:b w:val="false"/>
                <w:bCs w:val="false"/>
                <w:color w:val="1B1F1A"/>
                <w:sz w:val="20"/>
                <w:szCs w:val="20"/>
              </w:rPr>
              <w:t xml:space="preserve">Premium tier (£3/mo)</w:t>
            </w:r>
          </w:p>
        </w:tc>
        <w:tc>
          <w:tcPr>
            <w:tcW w:type="dxa" w:w="1800"/>
            <w:tcBorders>
              <w:top w:val="single" w:color="D7CFC0" w:sz="4"/>
              <w:left w:val="single" w:color="D7CFC0" w:sz="4"/>
              <w:bottom w:val="single" w:color="D7CFC0" w:sz="4"/>
              <w:right w:val="single" w:color="D7CFC0" w:sz="4"/>
            </w:tcBorders>
            <w:tcMar>
              <w:top w:type="dxa" w:w="100"/>
              <w:left w:type="dxa" w:w="140"/>
              <w:bottom w:type="dxa" w:w="100"/>
              <w:right w:type="dxa" w:w="140"/>
            </w:tcMar>
          </w:tcPr>
          <w:p>
            <w:r>
              <w:rPr>
                <w:rFonts w:ascii="Arial" w:cs="Arial" w:eastAsia="Arial" w:hAnsi="Arial"/>
                <w:b w:val="false"/>
                <w:bCs w:val="false"/>
                <w:color w:val="1B1F1A"/>
                <w:sz w:val="20"/>
                <w:szCs w:val="20"/>
              </w:rPr>
              <w:t xml:space="preserve">Month 3</w:t>
            </w:r>
          </w:p>
        </w:tc>
        <w:tc>
          <w:tcPr>
            <w:tcW w:type="dxa" w:w="1800"/>
            <w:tcBorders>
              <w:top w:val="single" w:color="D7CFC0" w:sz="4"/>
              <w:left w:val="single" w:color="D7CFC0" w:sz="4"/>
              <w:bottom w:val="single" w:color="D7CFC0" w:sz="4"/>
              <w:right w:val="single" w:color="D7CFC0" w:sz="4"/>
            </w:tcBorders>
            <w:tcMar>
              <w:top w:type="dxa" w:w="100"/>
              <w:left w:type="dxa" w:w="140"/>
              <w:bottom w:type="dxa" w:w="100"/>
              <w:right w:type="dxa" w:w="140"/>
            </w:tcMar>
          </w:tcPr>
          <w:p>
            <w:r>
              <w:rPr>
                <w:rFonts w:ascii="Arial" w:cs="Arial" w:eastAsia="Arial" w:hAnsi="Arial"/>
                <w:b w:val="false"/>
                <w:bCs w:val="false"/>
                <w:color w:val="1B1F1A"/>
                <w:sz w:val="20"/>
                <w:szCs w:val="20"/>
              </w:rPr>
              <w:t xml:space="preserve">Medium</w:t>
            </w:r>
          </w:p>
        </w:tc>
        <w:tc>
          <w:tcPr>
            <w:tcW w:type="dxa" w:w="3506"/>
            <w:tcBorders>
              <w:top w:val="single" w:color="D7CFC0" w:sz="4"/>
              <w:left w:val="single" w:color="D7CFC0" w:sz="4"/>
              <w:bottom w:val="single" w:color="D7CFC0" w:sz="4"/>
              <w:right w:val="single" w:color="D7CFC0" w:sz="4"/>
            </w:tcBorders>
            <w:tcMar>
              <w:top w:type="dxa" w:w="100"/>
              <w:left w:type="dxa" w:w="140"/>
              <w:bottom w:type="dxa" w:w="100"/>
              <w:right w:type="dxa" w:w="140"/>
            </w:tcMar>
          </w:tcPr>
          <w:p>
            <w:r>
              <w:rPr>
                <w:rFonts w:ascii="Arial" w:cs="Arial" w:eastAsia="Arial" w:hAnsi="Arial"/>
                <w:b w:val="false"/>
                <w:bCs w:val="false"/>
                <w:color w:val="1B1F1A"/>
                <w:sz w:val="20"/>
                <w:szCs w:val="20"/>
              </w:rPr>
              <w:t xml:space="preserve">GPX downloads, offline PDF packs, synced favourites. Converts ~1–3% of weekly actives.</w:t>
            </w:r>
          </w:p>
        </w:tc>
      </w:tr>
      <w:tr>
        <w:tc>
          <w:tcPr>
            <w:tcW w:type="dxa" w:w="2200"/>
            <w:tcBorders>
              <w:top w:val="single" w:color="D7CFC0" w:sz="4"/>
              <w:left w:val="single" w:color="D7CFC0" w:sz="4"/>
              <w:bottom w:val="single" w:color="D7CFC0" w:sz="4"/>
              <w:right w:val="single" w:color="D7CFC0" w:sz="4"/>
            </w:tcBorders>
            <w:shd w:fill="F4ECDD" w:val="clear"/>
            <w:tcMar>
              <w:top w:type="dxa" w:w="100"/>
              <w:left w:type="dxa" w:w="140"/>
              <w:bottom w:type="dxa" w:w="100"/>
              <w:right w:type="dxa" w:w="140"/>
            </w:tcMar>
          </w:tcPr>
          <w:p>
            <w:r>
              <w:rPr>
                <w:rFonts w:ascii="Arial" w:cs="Arial" w:eastAsia="Arial" w:hAnsi="Arial"/>
                <w:b w:val="false"/>
                <w:bCs w:val="false"/>
                <w:color w:val="1B1F1A"/>
                <w:sz w:val="20"/>
                <w:szCs w:val="20"/>
              </w:rPr>
              <w:t xml:space="preserve">Sponsored local stops</w:t>
            </w:r>
          </w:p>
        </w:tc>
        <w:tc>
          <w:tcPr>
            <w:tcW w:type="dxa" w:w="1800"/>
            <w:tcBorders>
              <w:top w:val="single" w:color="D7CFC0" w:sz="4"/>
              <w:left w:val="single" w:color="D7CFC0" w:sz="4"/>
              <w:bottom w:val="single" w:color="D7CFC0" w:sz="4"/>
              <w:right w:val="single" w:color="D7CFC0" w:sz="4"/>
            </w:tcBorders>
            <w:shd w:fill="F4ECDD" w:val="clear"/>
            <w:tcMar>
              <w:top w:type="dxa" w:w="100"/>
              <w:left w:type="dxa" w:w="140"/>
              <w:bottom w:type="dxa" w:w="100"/>
              <w:right w:type="dxa" w:w="140"/>
            </w:tcMar>
          </w:tcPr>
          <w:p>
            <w:r>
              <w:rPr>
                <w:rFonts w:ascii="Arial" w:cs="Arial" w:eastAsia="Arial" w:hAnsi="Arial"/>
                <w:b w:val="false"/>
                <w:bCs w:val="false"/>
                <w:color w:val="1B1F1A"/>
                <w:sz w:val="20"/>
                <w:szCs w:val="20"/>
              </w:rPr>
              <w:t xml:space="preserve">Month 6</w:t>
            </w:r>
          </w:p>
        </w:tc>
        <w:tc>
          <w:tcPr>
            <w:tcW w:type="dxa" w:w="1800"/>
            <w:tcBorders>
              <w:top w:val="single" w:color="D7CFC0" w:sz="4"/>
              <w:left w:val="single" w:color="D7CFC0" w:sz="4"/>
              <w:bottom w:val="single" w:color="D7CFC0" w:sz="4"/>
              <w:right w:val="single" w:color="D7CFC0" w:sz="4"/>
            </w:tcBorders>
            <w:shd w:fill="F4ECDD" w:val="clear"/>
            <w:tcMar>
              <w:top w:type="dxa" w:w="100"/>
              <w:left w:type="dxa" w:w="140"/>
              <w:bottom w:type="dxa" w:w="100"/>
              <w:right w:type="dxa" w:w="140"/>
            </w:tcMar>
          </w:tcPr>
          <w:p>
            <w:r>
              <w:rPr>
                <w:rFonts w:ascii="Arial" w:cs="Arial" w:eastAsia="Arial" w:hAnsi="Arial"/>
                <w:b w:val="false"/>
                <w:bCs w:val="false"/>
                <w:color w:val="1B1F1A"/>
                <w:sz w:val="20"/>
                <w:szCs w:val="20"/>
              </w:rPr>
              <w:t xml:space="preserve">Medium</w:t>
            </w:r>
          </w:p>
        </w:tc>
        <w:tc>
          <w:tcPr>
            <w:tcW w:type="dxa" w:w="3506"/>
            <w:tcBorders>
              <w:top w:val="single" w:color="D7CFC0" w:sz="4"/>
              <w:left w:val="single" w:color="D7CFC0" w:sz="4"/>
              <w:bottom w:val="single" w:color="D7CFC0" w:sz="4"/>
              <w:right w:val="single" w:color="D7CFC0" w:sz="4"/>
            </w:tcBorders>
            <w:shd w:fill="F4ECDD" w:val="clear"/>
            <w:tcMar>
              <w:top w:type="dxa" w:w="100"/>
              <w:left w:type="dxa" w:w="140"/>
              <w:bottom w:type="dxa" w:w="100"/>
              <w:right w:type="dxa" w:w="140"/>
            </w:tcMar>
          </w:tcPr>
          <w:p>
            <w:r>
              <w:rPr>
                <w:rFonts w:ascii="Arial" w:cs="Arial" w:eastAsia="Arial" w:hAnsi="Arial"/>
                <w:b w:val="false"/>
                <w:bCs w:val="false"/>
                <w:color w:val="1B1F1A"/>
                <w:sz w:val="20"/>
                <w:szCs w:val="20"/>
              </w:rPr>
              <w:t xml:space="preserve">£50/month per pub or café to be a featured stop on a walk. Honest disclosure.</w:t>
            </w:r>
          </w:p>
        </w:tc>
      </w:tr>
      <w:tr>
        <w:tc>
          <w:tcPr>
            <w:tcW w:type="dxa" w:w="2200"/>
            <w:tcBorders>
              <w:top w:val="single" w:color="D7CFC0" w:sz="4"/>
              <w:left w:val="single" w:color="D7CFC0" w:sz="4"/>
              <w:bottom w:val="single" w:color="D7CFC0" w:sz="4"/>
              <w:right w:val="single" w:color="D7CFC0" w:sz="4"/>
            </w:tcBorders>
            <w:tcMar>
              <w:top w:type="dxa" w:w="100"/>
              <w:left w:type="dxa" w:w="140"/>
              <w:bottom w:type="dxa" w:w="100"/>
              <w:right w:type="dxa" w:w="140"/>
            </w:tcMar>
          </w:tcPr>
          <w:p>
            <w:r>
              <w:rPr>
                <w:rFonts w:ascii="Arial" w:cs="Arial" w:eastAsia="Arial" w:hAnsi="Arial"/>
                <w:b w:val="false"/>
                <w:bCs w:val="false"/>
                <w:color w:val="1B1F1A"/>
                <w:sz w:val="20"/>
                <w:szCs w:val="20"/>
              </w:rPr>
              <w:t xml:space="preserve">B2B licensing</w:t>
            </w:r>
          </w:p>
        </w:tc>
        <w:tc>
          <w:tcPr>
            <w:tcW w:type="dxa" w:w="1800"/>
            <w:tcBorders>
              <w:top w:val="single" w:color="D7CFC0" w:sz="4"/>
              <w:left w:val="single" w:color="D7CFC0" w:sz="4"/>
              <w:bottom w:val="single" w:color="D7CFC0" w:sz="4"/>
              <w:right w:val="single" w:color="D7CFC0" w:sz="4"/>
            </w:tcBorders>
            <w:tcMar>
              <w:top w:type="dxa" w:w="100"/>
              <w:left w:type="dxa" w:w="140"/>
              <w:bottom w:type="dxa" w:w="100"/>
              <w:right w:type="dxa" w:w="140"/>
            </w:tcMar>
          </w:tcPr>
          <w:p>
            <w:r>
              <w:rPr>
                <w:rFonts w:ascii="Arial" w:cs="Arial" w:eastAsia="Arial" w:hAnsi="Arial"/>
                <w:b w:val="false"/>
                <w:bCs w:val="false"/>
                <w:color w:val="1B1F1A"/>
                <w:sz w:val="20"/>
                <w:szCs w:val="20"/>
              </w:rPr>
              <w:t xml:space="preserve">Year 1</w:t>
            </w:r>
          </w:p>
        </w:tc>
        <w:tc>
          <w:tcPr>
            <w:tcW w:type="dxa" w:w="1800"/>
            <w:tcBorders>
              <w:top w:val="single" w:color="D7CFC0" w:sz="4"/>
              <w:left w:val="single" w:color="D7CFC0" w:sz="4"/>
              <w:bottom w:val="single" w:color="D7CFC0" w:sz="4"/>
              <w:right w:val="single" w:color="D7CFC0" w:sz="4"/>
            </w:tcBorders>
            <w:tcMar>
              <w:top w:type="dxa" w:w="100"/>
              <w:left w:type="dxa" w:w="140"/>
              <w:bottom w:type="dxa" w:w="100"/>
              <w:right w:type="dxa" w:w="140"/>
            </w:tcMar>
          </w:tcPr>
          <w:p>
            <w:r>
              <w:rPr>
                <w:rFonts w:ascii="Arial" w:cs="Arial" w:eastAsia="Arial" w:hAnsi="Arial"/>
                <w:b w:val="false"/>
                <w:bCs w:val="false"/>
                <w:color w:val="1B1F1A"/>
                <w:sz w:val="20"/>
                <w:szCs w:val="20"/>
              </w:rPr>
              <w:t xml:space="preserve">High</w:t>
            </w:r>
          </w:p>
        </w:tc>
        <w:tc>
          <w:tcPr>
            <w:tcW w:type="dxa" w:w="3506"/>
            <w:tcBorders>
              <w:top w:val="single" w:color="D7CFC0" w:sz="4"/>
              <w:left w:val="single" w:color="D7CFC0" w:sz="4"/>
              <w:bottom w:val="single" w:color="D7CFC0" w:sz="4"/>
              <w:right w:val="single" w:color="D7CFC0" w:sz="4"/>
            </w:tcBorders>
            <w:tcMar>
              <w:top w:type="dxa" w:w="100"/>
              <w:left w:type="dxa" w:w="140"/>
              <w:bottom w:type="dxa" w:w="100"/>
              <w:right w:type="dxa" w:w="140"/>
            </w:tcMar>
          </w:tcPr>
          <w:p>
            <w:r>
              <w:rPr>
                <w:rFonts w:ascii="Arial" w:cs="Arial" w:eastAsia="Arial" w:hAnsi="Arial"/>
                <w:b w:val="false"/>
                <w:bCs w:val="false"/>
                <w:color w:val="1B1F1A"/>
                <w:sz w:val="20"/>
                <w:szCs w:val="20"/>
              </w:rPr>
              <w:t xml:space="preserve">Visit Wales, National Park Authorities, regional tourism boards. Data/widget licence.</w:t>
            </w:r>
          </w:p>
        </w:tc>
      </w:tr>
      <w:tr>
        <w:tc>
          <w:tcPr>
            <w:tcW w:type="dxa" w:w="2200"/>
            <w:tcBorders>
              <w:top w:val="single" w:color="D7CFC0" w:sz="4"/>
              <w:left w:val="single" w:color="D7CFC0" w:sz="4"/>
              <w:bottom w:val="single" w:color="D7CFC0" w:sz="4"/>
              <w:right w:val="single" w:color="D7CFC0" w:sz="4"/>
            </w:tcBorders>
            <w:shd w:fill="F4ECDD" w:val="clear"/>
            <w:tcMar>
              <w:top w:type="dxa" w:w="100"/>
              <w:left w:type="dxa" w:w="140"/>
              <w:bottom w:type="dxa" w:w="100"/>
              <w:right w:type="dxa" w:w="140"/>
            </w:tcMar>
          </w:tcPr>
          <w:p>
            <w:r>
              <w:rPr>
                <w:rFonts w:ascii="Arial" w:cs="Arial" w:eastAsia="Arial" w:hAnsi="Arial"/>
                <w:b w:val="false"/>
                <w:bCs w:val="false"/>
                <w:color w:val="1B1F1A"/>
                <w:sz w:val="20"/>
                <w:szCs w:val="20"/>
              </w:rPr>
              <w:t xml:space="preserve">Print + Kindle book</w:t>
            </w:r>
          </w:p>
        </w:tc>
        <w:tc>
          <w:tcPr>
            <w:tcW w:type="dxa" w:w="1800"/>
            <w:tcBorders>
              <w:top w:val="single" w:color="D7CFC0" w:sz="4"/>
              <w:left w:val="single" w:color="D7CFC0" w:sz="4"/>
              <w:bottom w:val="single" w:color="D7CFC0" w:sz="4"/>
              <w:right w:val="single" w:color="D7CFC0" w:sz="4"/>
            </w:tcBorders>
            <w:shd w:fill="F4ECDD" w:val="clear"/>
            <w:tcMar>
              <w:top w:type="dxa" w:w="100"/>
              <w:left w:type="dxa" w:w="140"/>
              <w:bottom w:type="dxa" w:w="100"/>
              <w:right w:type="dxa" w:w="140"/>
            </w:tcMar>
          </w:tcPr>
          <w:p>
            <w:r>
              <w:rPr>
                <w:rFonts w:ascii="Arial" w:cs="Arial" w:eastAsia="Arial" w:hAnsi="Arial"/>
                <w:b w:val="false"/>
                <w:bCs w:val="false"/>
                <w:color w:val="1B1F1A"/>
                <w:sz w:val="20"/>
                <w:szCs w:val="20"/>
              </w:rPr>
              <w:t xml:space="preserve">Year 2</w:t>
            </w:r>
          </w:p>
        </w:tc>
        <w:tc>
          <w:tcPr>
            <w:tcW w:type="dxa" w:w="1800"/>
            <w:tcBorders>
              <w:top w:val="single" w:color="D7CFC0" w:sz="4"/>
              <w:left w:val="single" w:color="D7CFC0" w:sz="4"/>
              <w:bottom w:val="single" w:color="D7CFC0" w:sz="4"/>
              <w:right w:val="single" w:color="D7CFC0" w:sz="4"/>
            </w:tcBorders>
            <w:shd w:fill="F4ECDD" w:val="clear"/>
            <w:tcMar>
              <w:top w:type="dxa" w:w="100"/>
              <w:left w:type="dxa" w:w="140"/>
              <w:bottom w:type="dxa" w:w="100"/>
              <w:right w:type="dxa" w:w="140"/>
            </w:tcMar>
          </w:tcPr>
          <w:p>
            <w:r>
              <w:rPr>
                <w:rFonts w:ascii="Arial" w:cs="Arial" w:eastAsia="Arial" w:hAnsi="Arial"/>
                <w:b w:val="false"/>
                <w:bCs w:val="false"/>
                <w:color w:val="1B1F1A"/>
                <w:sz w:val="20"/>
                <w:szCs w:val="20"/>
              </w:rPr>
              <w:t xml:space="preserve">High</w:t>
            </w:r>
          </w:p>
        </w:tc>
        <w:tc>
          <w:tcPr>
            <w:tcW w:type="dxa" w:w="3506"/>
            <w:tcBorders>
              <w:top w:val="single" w:color="D7CFC0" w:sz="4"/>
              <w:left w:val="single" w:color="D7CFC0" w:sz="4"/>
              <w:bottom w:val="single" w:color="D7CFC0" w:sz="4"/>
              <w:right w:val="single" w:color="D7CFC0" w:sz="4"/>
            </w:tcBorders>
            <w:shd w:fill="F4ECDD" w:val="clear"/>
            <w:tcMar>
              <w:top w:type="dxa" w:w="100"/>
              <w:left w:type="dxa" w:w="140"/>
              <w:bottom w:type="dxa" w:w="100"/>
              <w:right w:type="dxa" w:w="140"/>
            </w:tcMar>
          </w:tcPr>
          <w:p>
            <w:r>
              <w:rPr>
                <w:rFonts w:ascii="Arial" w:cs="Arial" w:eastAsia="Arial" w:hAnsi="Arial"/>
                <w:b w:val="false"/>
                <w:bCs w:val="false"/>
                <w:color w:val="1B1F1A"/>
                <w:sz w:val="20"/>
                <w:szCs w:val="20"/>
              </w:rPr>
              <w:t xml:space="preserve">“167 Walks of South Wales”. Print-on-demand + ISBN. Sell via TICs.</w:t>
            </w:r>
          </w:p>
        </w:tc>
      </w:tr>
    </w:tbl>
    <w:p>
      <w:pPr>
        <w:spacing w:after="120" w:before="180"/>
      </w:pPr>
      <w:r>
        <w:rPr>
          <w:rFonts w:ascii="Arial" w:cs="Arial" w:eastAsia="Arial" w:hAnsi="Arial"/>
          <w:i/>
          <w:iCs/>
          <w:color w:val="76745F"/>
          <w:sz w:val="20"/>
          <w:szCs w:val="20"/>
        </w:rPr>
        <w:t xml:space="preserve">Avoid: display ads. They degrade the editorial feel and pay badly at this scale (100k+ pageviews/month threshold).</w:t>
      </w:r>
    </w:p>
    <w:p>
      <w:pPr>
        <w:pStyle w:val="Heading1"/>
        <w:spacing w:after="180" w:before="360"/>
      </w:pPr>
      <w:r>
        <w:rPr>
          <w:rFonts w:ascii="Georgia" w:cs="Georgia" w:eastAsia="Georgia" w:hAnsi="Georgia"/>
          <w:b/>
          <w:bCs/>
          <w:color w:val="1B1F1A"/>
          <w:sz w:val="36"/>
          <w:szCs w:val="36"/>
        </w:rPr>
        <w:t xml:space="preserve">5. 90-day roadmap</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tblHeader/>
        </w:trPr>
        <w:tc>
          <w:tcPr>
            <w:tcW w:type="dxa" w:w="1700"/>
            <w:tcBorders>
              <w:top w:val="single" w:color="D7CFC0" w:sz="4"/>
              <w:left w:val="single" w:color="D7CFC0" w:sz="4"/>
              <w:bottom w:val="single" w:color="D7CFC0" w:sz="4"/>
              <w:right w:val="single" w:color="D7CFC0" w:sz="4"/>
            </w:tcBorders>
            <w:shd w:fill="2F4530" w:val="clear"/>
            <w:tcMar>
              <w:top w:type="dxa" w:w="100"/>
              <w:left w:type="dxa" w:w="140"/>
              <w:bottom w:type="dxa" w:w="100"/>
              <w:right w:type="dxa" w:w="140"/>
            </w:tcMar>
          </w:tcPr>
          <w:p>
            <w:r>
              <w:rPr>
                <w:rFonts w:ascii="Arial" w:cs="Arial" w:eastAsia="Arial" w:hAnsi="Arial"/>
                <w:b/>
                <w:bCs/>
                <w:color w:val="FBF6EC"/>
                <w:sz w:val="20"/>
                <w:szCs w:val="20"/>
              </w:rPr>
              <w:t xml:space="preserve">Horizon</w:t>
            </w:r>
          </w:p>
        </w:tc>
        <w:tc>
          <w:tcPr>
            <w:tcW w:type="dxa" w:w="7606"/>
            <w:tcBorders>
              <w:top w:val="single" w:color="D7CFC0" w:sz="4"/>
              <w:left w:val="single" w:color="D7CFC0" w:sz="4"/>
              <w:bottom w:val="single" w:color="D7CFC0" w:sz="4"/>
              <w:right w:val="single" w:color="D7CFC0" w:sz="4"/>
            </w:tcBorders>
            <w:shd w:fill="2F4530" w:val="clear"/>
            <w:tcMar>
              <w:top w:type="dxa" w:w="100"/>
              <w:left w:type="dxa" w:w="140"/>
              <w:bottom w:type="dxa" w:w="100"/>
              <w:right w:type="dxa" w:w="140"/>
            </w:tcMar>
          </w:tcPr>
          <w:p>
            <w:r>
              <w:rPr>
                <w:rFonts w:ascii="Arial" w:cs="Arial" w:eastAsia="Arial" w:hAnsi="Arial"/>
                <w:b/>
                <w:bCs/>
                <w:color w:val="FBF6EC"/>
                <w:sz w:val="20"/>
                <w:szCs w:val="20"/>
              </w:rPr>
              <w:t xml:space="preserve">Deliverable</w:t>
            </w:r>
          </w:p>
        </w:tc>
      </w:tr>
      <w:tr>
        <w:tc>
          <w:tcPr>
            <w:tcW w:type="dxa" w:w="1700"/>
            <w:tcBorders>
              <w:top w:val="single" w:color="D7CFC0" w:sz="4"/>
              <w:left w:val="single" w:color="D7CFC0" w:sz="4"/>
              <w:bottom w:val="single" w:color="D7CFC0" w:sz="4"/>
              <w:right w:val="single" w:color="D7CFC0" w:sz="4"/>
            </w:tcBorders>
            <w:shd w:fill="F4ECDD" w:val="clear"/>
            <w:tcMar>
              <w:top w:type="dxa" w:w="100"/>
              <w:left w:type="dxa" w:w="140"/>
              <w:bottom w:type="dxa" w:w="100"/>
              <w:right w:type="dxa" w:w="140"/>
            </w:tcMar>
          </w:tcPr>
          <w:p>
            <w:r>
              <w:rPr>
                <w:rFonts w:ascii="Arial" w:cs="Arial" w:eastAsia="Arial" w:hAnsi="Arial"/>
                <w:b/>
                <w:bCs/>
                <w:color w:val="1B1F1A"/>
                <w:sz w:val="20"/>
                <w:szCs w:val="20"/>
              </w:rPr>
              <w:t xml:space="preserve">Week 1</w:t>
            </w:r>
          </w:p>
        </w:tc>
        <w:tc>
          <w:tcPr>
            <w:tcW w:type="dxa" w:w="7606"/>
            <w:tcBorders>
              <w:top w:val="single" w:color="D7CFC0" w:sz="4"/>
              <w:left w:val="single" w:color="D7CFC0" w:sz="4"/>
              <w:bottom w:val="single" w:color="D7CFC0" w:sz="4"/>
              <w:right w:val="single" w:color="D7CFC0" w:sz="4"/>
            </w:tcBorders>
            <w:shd w:fill="F4ECDD" w:val="clear"/>
            <w:tcMar>
              <w:top w:type="dxa" w:w="100"/>
              <w:left w:type="dxa" w:w="140"/>
              <w:bottom w:type="dxa" w:w="100"/>
              <w:right w:type="dxa" w:w="140"/>
            </w:tcMar>
          </w:tcPr>
          <w:p>
            <w:r>
              <w:rPr>
                <w:rFonts w:ascii="Arial" w:cs="Arial" w:eastAsia="Arial" w:hAnsi="Arial"/>
                <w:b w:val="false"/>
                <w:bCs w:val="false"/>
                <w:color w:val="1B1F1A"/>
                <w:sz w:val="20"/>
                <w:szCs w:val="20"/>
              </w:rPr>
              <w:t xml:space="preserve">Geograph photo pipeline. Each walk gets 3 real, attributed photos.</w:t>
            </w:r>
          </w:p>
        </w:tc>
      </w:tr>
      <w:tr>
        <w:tc>
          <w:tcPr>
            <w:tcW w:type="dxa" w:w="1700"/>
            <w:tcBorders>
              <w:top w:val="single" w:color="D7CFC0" w:sz="4"/>
              <w:left w:val="single" w:color="D7CFC0" w:sz="4"/>
              <w:bottom w:val="single" w:color="D7CFC0" w:sz="4"/>
              <w:right w:val="single" w:color="D7CFC0" w:sz="4"/>
            </w:tcBorders>
            <w:tcMar>
              <w:top w:type="dxa" w:w="100"/>
              <w:left w:type="dxa" w:w="140"/>
              <w:bottom w:type="dxa" w:w="100"/>
              <w:right w:type="dxa" w:w="140"/>
            </w:tcMar>
          </w:tcPr>
          <w:p>
            <w:r>
              <w:rPr>
                <w:rFonts w:ascii="Arial" w:cs="Arial" w:eastAsia="Arial" w:hAnsi="Arial"/>
                <w:b/>
                <w:bCs/>
                <w:color w:val="1B1F1A"/>
                <w:sz w:val="20"/>
                <w:szCs w:val="20"/>
              </w:rPr>
              <w:t xml:space="preserve">Week 2</w:t>
            </w:r>
          </w:p>
        </w:tc>
        <w:tc>
          <w:tcPr>
            <w:tcW w:type="dxa" w:w="7606"/>
            <w:tcBorders>
              <w:top w:val="single" w:color="D7CFC0" w:sz="4"/>
              <w:left w:val="single" w:color="D7CFC0" w:sz="4"/>
              <w:bottom w:val="single" w:color="D7CFC0" w:sz="4"/>
              <w:right w:val="single" w:color="D7CFC0" w:sz="4"/>
            </w:tcBorders>
            <w:tcMar>
              <w:top w:type="dxa" w:w="100"/>
              <w:left w:type="dxa" w:w="140"/>
              <w:bottom w:type="dxa" w:w="100"/>
              <w:right w:type="dxa" w:w="140"/>
            </w:tcMar>
          </w:tcPr>
          <w:p>
            <w:r>
              <w:rPr>
                <w:rFonts w:ascii="Arial" w:cs="Arial" w:eastAsia="Arial" w:hAnsi="Arial"/>
                <w:b w:val="false"/>
                <w:bCs w:val="false"/>
                <w:color w:val="1B1F1A"/>
                <w:sz w:val="20"/>
                <w:szCs w:val="20"/>
              </w:rPr>
              <w:t xml:space="preserve">Data migration: Python list → one JSON file per walk, JSON Schema, build script updated.</w:t>
            </w:r>
          </w:p>
        </w:tc>
      </w:tr>
      <w:tr>
        <w:tc>
          <w:tcPr>
            <w:tcW w:type="dxa" w:w="1700"/>
            <w:tcBorders>
              <w:top w:val="single" w:color="D7CFC0" w:sz="4"/>
              <w:left w:val="single" w:color="D7CFC0" w:sz="4"/>
              <w:bottom w:val="single" w:color="D7CFC0" w:sz="4"/>
              <w:right w:val="single" w:color="D7CFC0" w:sz="4"/>
            </w:tcBorders>
            <w:shd w:fill="F4ECDD" w:val="clear"/>
            <w:tcMar>
              <w:top w:type="dxa" w:w="100"/>
              <w:left w:type="dxa" w:w="140"/>
              <w:bottom w:type="dxa" w:w="100"/>
              <w:right w:type="dxa" w:w="140"/>
            </w:tcMar>
          </w:tcPr>
          <w:p>
            <w:r>
              <w:rPr>
                <w:rFonts w:ascii="Arial" w:cs="Arial" w:eastAsia="Arial" w:hAnsi="Arial"/>
                <w:b/>
                <w:bCs/>
                <w:color w:val="1B1F1A"/>
                <w:sz w:val="20"/>
                <w:szCs w:val="20"/>
              </w:rPr>
              <w:t xml:space="preserve">Week 3</w:t>
            </w:r>
          </w:p>
        </w:tc>
        <w:tc>
          <w:tcPr>
            <w:tcW w:type="dxa" w:w="7606"/>
            <w:tcBorders>
              <w:top w:val="single" w:color="D7CFC0" w:sz="4"/>
              <w:left w:val="single" w:color="D7CFC0" w:sz="4"/>
              <w:bottom w:val="single" w:color="D7CFC0" w:sz="4"/>
              <w:right w:val="single" w:color="D7CFC0" w:sz="4"/>
            </w:tcBorders>
            <w:shd w:fill="F4ECDD" w:val="clear"/>
            <w:tcMar>
              <w:top w:type="dxa" w:w="100"/>
              <w:left w:type="dxa" w:w="140"/>
              <w:bottom w:type="dxa" w:w="100"/>
              <w:right w:type="dxa" w:w="140"/>
            </w:tcMar>
          </w:tcPr>
          <w:p>
            <w:r>
              <w:rPr>
                <w:rFonts w:ascii="Arial" w:cs="Arial" w:eastAsia="Arial" w:hAnsi="Arial"/>
                <w:b w:val="false"/>
                <w:bCs w:val="false"/>
                <w:color w:val="1B1F1A"/>
                <w:sz w:val="20"/>
                <w:szCs w:val="20"/>
              </w:rPr>
              <w:t xml:space="preserve">Supabase project, schema (ratings + facets), email magic-link auth, rating widget on the detail panel.</w:t>
            </w:r>
          </w:p>
        </w:tc>
      </w:tr>
      <w:tr>
        <w:tc>
          <w:tcPr>
            <w:tcW w:type="dxa" w:w="1700"/>
            <w:tcBorders>
              <w:top w:val="single" w:color="D7CFC0" w:sz="4"/>
              <w:left w:val="single" w:color="D7CFC0" w:sz="4"/>
              <w:bottom w:val="single" w:color="D7CFC0" w:sz="4"/>
              <w:right w:val="single" w:color="D7CFC0" w:sz="4"/>
            </w:tcBorders>
            <w:tcMar>
              <w:top w:type="dxa" w:w="100"/>
              <w:left w:type="dxa" w:w="140"/>
              <w:bottom w:type="dxa" w:w="100"/>
              <w:right w:type="dxa" w:w="140"/>
            </w:tcMar>
          </w:tcPr>
          <w:p>
            <w:r>
              <w:rPr>
                <w:rFonts w:ascii="Arial" w:cs="Arial" w:eastAsia="Arial" w:hAnsi="Arial"/>
                <w:b/>
                <w:bCs/>
                <w:color w:val="1B1F1A"/>
                <w:sz w:val="20"/>
                <w:szCs w:val="20"/>
              </w:rPr>
              <w:t xml:space="preserve">Week 4</w:t>
            </w:r>
          </w:p>
        </w:tc>
        <w:tc>
          <w:tcPr>
            <w:tcW w:type="dxa" w:w="7606"/>
            <w:tcBorders>
              <w:top w:val="single" w:color="D7CFC0" w:sz="4"/>
              <w:left w:val="single" w:color="D7CFC0" w:sz="4"/>
              <w:bottom w:val="single" w:color="D7CFC0" w:sz="4"/>
              <w:right w:val="single" w:color="D7CFC0" w:sz="4"/>
            </w:tcBorders>
            <w:tcMar>
              <w:top w:type="dxa" w:w="100"/>
              <w:left w:type="dxa" w:w="140"/>
              <w:bottom w:type="dxa" w:w="100"/>
              <w:right w:type="dxa" w:w="140"/>
            </w:tcMar>
          </w:tcPr>
          <w:p>
            <w:r>
              <w:rPr>
                <w:rFonts w:ascii="Arial" w:cs="Arial" w:eastAsia="Arial" w:hAnsi="Arial"/>
                <w:b w:val="false"/>
                <w:bCs w:val="false"/>
                <w:color w:val="1B1F1A"/>
                <w:sz w:val="20"/>
                <w:szCs w:val="20"/>
              </w:rPr>
              <w:t xml:space="preserve">Analytics (Plausible, privacy-first). Sprinkle affiliate links. Launch post on r/UKHiking, r/walesonline, Bluesky.</w:t>
            </w:r>
          </w:p>
        </w:tc>
      </w:tr>
      <w:tr>
        <w:tc>
          <w:tcPr>
            <w:tcW w:type="dxa" w:w="1700"/>
            <w:tcBorders>
              <w:top w:val="single" w:color="D7CFC0" w:sz="4"/>
              <w:left w:val="single" w:color="D7CFC0" w:sz="4"/>
              <w:bottom w:val="single" w:color="D7CFC0" w:sz="4"/>
              <w:right w:val="single" w:color="D7CFC0" w:sz="4"/>
            </w:tcBorders>
            <w:shd w:fill="F4ECDD" w:val="clear"/>
            <w:tcMar>
              <w:top w:type="dxa" w:w="100"/>
              <w:left w:type="dxa" w:w="140"/>
              <w:bottom w:type="dxa" w:w="100"/>
              <w:right w:type="dxa" w:w="140"/>
            </w:tcMar>
          </w:tcPr>
          <w:p>
            <w:r>
              <w:rPr>
                <w:rFonts w:ascii="Arial" w:cs="Arial" w:eastAsia="Arial" w:hAnsi="Arial"/>
                <w:b/>
                <w:bCs/>
                <w:color w:val="1B1F1A"/>
                <w:sz w:val="20"/>
                <w:szCs w:val="20"/>
              </w:rPr>
              <w:t xml:space="preserve">Month 2</w:t>
            </w:r>
          </w:p>
        </w:tc>
        <w:tc>
          <w:tcPr>
            <w:tcW w:type="dxa" w:w="7606"/>
            <w:tcBorders>
              <w:top w:val="single" w:color="D7CFC0" w:sz="4"/>
              <w:left w:val="single" w:color="D7CFC0" w:sz="4"/>
              <w:bottom w:val="single" w:color="D7CFC0" w:sz="4"/>
              <w:right w:val="single" w:color="D7CFC0" w:sz="4"/>
            </w:tcBorders>
            <w:shd w:fill="F4ECDD" w:val="clear"/>
            <w:tcMar>
              <w:top w:type="dxa" w:w="100"/>
              <w:left w:type="dxa" w:w="140"/>
              <w:bottom w:type="dxa" w:w="100"/>
              <w:right w:type="dxa" w:w="140"/>
            </w:tcMar>
          </w:tcPr>
          <w:p>
            <w:r>
              <w:rPr>
                <w:rFonts w:ascii="Arial" w:cs="Arial" w:eastAsia="Arial" w:hAnsi="Arial"/>
                <w:b w:val="false"/>
                <w:bCs w:val="false"/>
                <w:color w:val="1B1F1A"/>
                <w:sz w:val="20"/>
                <w:szCs w:val="20"/>
              </w:rPr>
              <w:t xml:space="preserve">Your own photos replacing Geograph on 20 most-viewed walks. GPX downloads. User-submitted photo queue (moderated).</w:t>
            </w:r>
          </w:p>
        </w:tc>
      </w:tr>
      <w:tr>
        <w:tc>
          <w:tcPr>
            <w:tcW w:type="dxa" w:w="1700"/>
            <w:tcBorders>
              <w:top w:val="single" w:color="D7CFC0" w:sz="4"/>
              <w:left w:val="single" w:color="D7CFC0" w:sz="4"/>
              <w:bottom w:val="single" w:color="D7CFC0" w:sz="4"/>
              <w:right w:val="single" w:color="D7CFC0" w:sz="4"/>
            </w:tcBorders>
            <w:tcMar>
              <w:top w:type="dxa" w:w="100"/>
              <w:left w:type="dxa" w:w="140"/>
              <w:bottom w:type="dxa" w:w="100"/>
              <w:right w:type="dxa" w:w="140"/>
            </w:tcMar>
          </w:tcPr>
          <w:p>
            <w:r>
              <w:rPr>
                <w:rFonts w:ascii="Arial" w:cs="Arial" w:eastAsia="Arial" w:hAnsi="Arial"/>
                <w:b/>
                <w:bCs/>
                <w:color w:val="1B1F1A"/>
                <w:sz w:val="20"/>
                <w:szCs w:val="20"/>
              </w:rPr>
              <w:t xml:space="preserve">Month 3</w:t>
            </w:r>
          </w:p>
        </w:tc>
        <w:tc>
          <w:tcPr>
            <w:tcW w:type="dxa" w:w="7606"/>
            <w:tcBorders>
              <w:top w:val="single" w:color="D7CFC0" w:sz="4"/>
              <w:left w:val="single" w:color="D7CFC0" w:sz="4"/>
              <w:bottom w:val="single" w:color="D7CFC0" w:sz="4"/>
              <w:right w:val="single" w:color="D7CFC0" w:sz="4"/>
            </w:tcBorders>
            <w:tcMar>
              <w:top w:type="dxa" w:w="100"/>
              <w:left w:type="dxa" w:w="140"/>
              <w:bottom w:type="dxa" w:w="100"/>
              <w:right w:type="dxa" w:w="140"/>
            </w:tcMar>
          </w:tcPr>
          <w:p>
            <w:r>
              <w:rPr>
                <w:rFonts w:ascii="Arial" w:cs="Arial" w:eastAsia="Arial" w:hAnsi="Arial"/>
                <w:b w:val="false"/>
                <w:bCs w:val="false"/>
                <w:color w:val="1B1F1A"/>
                <w:sz w:val="20"/>
                <w:szCs w:val="20"/>
              </w:rPr>
              <w:t xml:space="preserve">Premium tier soft-launch: £3/mo for offline PDFs, GPX, synced favourites. Newsletter from collected emails.</w:t>
            </w:r>
          </w:p>
        </w:tc>
      </w:tr>
    </w:tbl>
    <w:p>
      <w:pPr>
        <w:pStyle w:val="Heading1"/>
        <w:spacing w:after="180" w:before="360"/>
      </w:pPr>
      <w:r>
        <w:rPr>
          <w:rFonts w:ascii="Georgia" w:cs="Georgia" w:eastAsia="Georgia" w:hAnsi="Georgia"/>
          <w:b/>
          <w:bCs/>
          <w:color w:val="1B1F1A"/>
          <w:sz w:val="36"/>
          <w:szCs w:val="36"/>
        </w:rPr>
        <w:t xml:space="preserve">6. Risks and open questions</w:t>
      </w:r>
    </w:p>
    <w:p>
      <w:pPr>
        <w:pStyle w:val="ListParagraph"/>
        <w:numPr>
          <w:ilvl w:val="0"/>
          <w:numId w:val="2"/>
        </w:numPr>
        <w:spacing w:after="80"/>
      </w:pPr>
      <w:r>
        <w:rPr>
          <w:rFonts w:ascii="Arial" w:cs="Arial" w:eastAsia="Arial" w:hAnsi="Arial"/>
          <w:b/>
          <w:bCs/>
          <w:sz w:val="22"/>
          <w:szCs w:val="22"/>
        </w:rPr>
        <w:t xml:space="preserve">Content liability. </w:t>
      </w:r>
      <w:r>
        <w:rPr>
          <w:rFonts w:ascii="Arial" w:cs="Arial" w:eastAsia="Arial" w:hAnsi="Arial"/>
          <w:sz w:val="22"/>
          <w:szCs w:val="22"/>
        </w:rPr>
        <w:t xml:space="preserve">Bad route advice causes injury. Mitigate with a visible disclaimer, verify before setting out copy on every card, and liability insurance before running paid features (≈£100–200/year).</w:t>
      </w:r>
    </w:p>
    <w:p>
      <w:pPr>
        <w:pStyle w:val="ListParagraph"/>
        <w:numPr>
          <w:ilvl w:val="0"/>
          <w:numId w:val="2"/>
        </w:numPr>
        <w:spacing w:after="80"/>
      </w:pPr>
      <w:r>
        <w:rPr>
          <w:rFonts w:ascii="Arial" w:cs="Arial" w:eastAsia="Arial" w:hAnsi="Arial"/>
          <w:b/>
          <w:bCs/>
          <w:sz w:val="22"/>
          <w:szCs w:val="22"/>
        </w:rPr>
        <w:t xml:space="preserve">Copyright. </w:t>
      </w:r>
      <w:r>
        <w:rPr>
          <w:rFonts w:ascii="Arial" w:cs="Arial" w:eastAsia="Arial" w:hAnsi="Arial"/>
          <w:sz w:val="22"/>
          <w:szCs w:val="22"/>
        </w:rPr>
        <w:t xml:space="preserve">Geograph is CC-BY-SA 2.0 — attribution required, and our adaptations inherit the licence. This is fine for a free site; revisit if we publish the book.</w:t>
      </w:r>
    </w:p>
    <w:p>
      <w:pPr>
        <w:pStyle w:val="ListParagraph"/>
        <w:numPr>
          <w:ilvl w:val="0"/>
          <w:numId w:val="2"/>
        </w:numPr>
        <w:spacing w:after="80"/>
      </w:pPr>
      <w:r>
        <w:rPr>
          <w:rFonts w:ascii="Arial" w:cs="Arial" w:eastAsia="Arial" w:hAnsi="Arial"/>
          <w:b/>
          <w:bCs/>
          <w:sz w:val="22"/>
          <w:szCs w:val="22"/>
        </w:rPr>
        <w:t xml:space="preserve">Supabase cost curve. </w:t>
      </w:r>
      <w:r>
        <w:rPr>
          <w:rFonts w:ascii="Arial" w:cs="Arial" w:eastAsia="Arial" w:hAnsi="Arial"/>
          <w:sz w:val="22"/>
          <w:szCs w:val="22"/>
        </w:rPr>
        <w:t xml:space="preserve">Free tier covers us until ~50k MAU or 500MB of ratings. At that point £20/mo is trivial relative to any revenue.</w:t>
      </w:r>
    </w:p>
    <w:p>
      <w:pPr>
        <w:pStyle w:val="ListParagraph"/>
        <w:numPr>
          <w:ilvl w:val="0"/>
          <w:numId w:val="2"/>
        </w:numPr>
        <w:spacing w:after="80"/>
      </w:pPr>
      <w:r>
        <w:rPr>
          <w:rFonts w:ascii="Arial" w:cs="Arial" w:eastAsia="Arial" w:hAnsi="Arial"/>
          <w:b/>
          <w:bCs/>
          <w:sz w:val="22"/>
          <w:szCs w:val="22"/>
        </w:rPr>
        <w:t xml:space="preserve">Moderation. </w:t>
      </w:r>
      <w:r>
        <w:rPr>
          <w:rFonts w:ascii="Arial" w:cs="Arial" w:eastAsia="Arial" w:hAnsi="Arial"/>
          <w:sz w:val="22"/>
          <w:szCs w:val="22"/>
        </w:rPr>
        <w:t xml:space="preserve">User-submitted content needs a queue. Ratings scale without humans; photos and comments don’t. Defer comments until month 6+.</w:t>
      </w:r>
    </w:p>
    <w:p>
      <w:pPr>
        <w:pStyle w:val="ListParagraph"/>
        <w:numPr>
          <w:ilvl w:val="0"/>
          <w:numId w:val="2"/>
        </w:numPr>
        <w:spacing w:after="80"/>
      </w:pPr>
      <w:r>
        <w:rPr>
          <w:rFonts w:ascii="Arial" w:cs="Arial" w:eastAsia="Arial" w:hAnsi="Arial"/>
          <w:b/>
          <w:bCs/>
          <w:sz w:val="22"/>
          <w:szCs w:val="22"/>
        </w:rPr>
        <w:t xml:space="preserve">Single point of failure (you). </w:t>
      </w:r>
      <w:r>
        <w:rPr>
          <w:rFonts w:ascii="Arial" w:cs="Arial" w:eastAsia="Arial" w:hAnsi="Arial"/>
          <w:sz w:val="22"/>
          <w:szCs w:val="22"/>
        </w:rPr>
        <w:t xml:space="preserve">Document editorial voice, house style, and the deployment process — so a second editor can be onboarded in a day.</w:t>
      </w:r>
    </w:p>
    <w:p>
      <w:pPr>
        <w:pStyle w:val="Heading1"/>
        <w:spacing w:after="180" w:before="360"/>
      </w:pPr>
      <w:r>
        <w:rPr>
          <w:rFonts w:ascii="Georgia" w:cs="Georgia" w:eastAsia="Georgia" w:hAnsi="Georgia"/>
          <w:b/>
          <w:bCs/>
          <w:color w:val="1B1F1A"/>
          <w:sz w:val="36"/>
          <w:szCs w:val="36"/>
        </w:rPr>
        <w:t xml:space="preserve">7. Decisions for Jason</w:t>
      </w:r>
    </w:p>
    <w:p>
      <w:pPr>
        <w:pStyle w:val="ListParagraph"/>
        <w:numPr>
          <w:ilvl w:val="0"/>
          <w:numId w:val="2"/>
        </w:numPr>
        <w:spacing w:after="80"/>
      </w:pPr>
      <w:r>
        <w:rPr>
          <w:rFonts w:ascii="Arial" w:cs="Arial" w:eastAsia="Arial" w:hAnsi="Arial"/>
          <w:b/>
          <w:bCs/>
          <w:sz w:val="22"/>
          <w:szCs w:val="22"/>
        </w:rPr>
        <w:t xml:space="preserve">Go/no-go on the 90-day plan. </w:t>
      </w:r>
      <w:r>
        <w:rPr>
          <w:rFonts w:ascii="Arial" w:cs="Arial" w:eastAsia="Arial" w:hAnsi="Arial"/>
          <w:sz w:val="22"/>
          <w:szCs w:val="22"/>
        </w:rPr>
        <w:t xml:space="preserve">If yes, I start on Geograph photo integration immediately.</w:t>
      </w:r>
    </w:p>
    <w:p>
      <w:pPr>
        <w:pStyle w:val="ListParagraph"/>
        <w:numPr>
          <w:ilvl w:val="0"/>
          <w:numId w:val="2"/>
        </w:numPr>
        <w:spacing w:after="80"/>
      </w:pPr>
      <w:r>
        <w:rPr>
          <w:rFonts w:ascii="Arial" w:cs="Arial" w:eastAsia="Arial" w:hAnsi="Arial"/>
          <w:b/>
          <w:bCs/>
          <w:sz w:val="22"/>
          <w:szCs w:val="22"/>
        </w:rPr>
        <w:t xml:space="preserve">Premium tier pricing. </w:t>
      </w:r>
      <w:r>
        <w:rPr>
          <w:rFonts w:ascii="Arial" w:cs="Arial" w:eastAsia="Arial" w:hAnsi="Arial"/>
          <w:sz w:val="22"/>
          <w:szCs w:val="22"/>
        </w:rPr>
        <w:t xml:space="preserve">£3/month or £25/year? A single annual plan is simpler; a monthly plan converts better.</w:t>
      </w:r>
    </w:p>
    <w:p>
      <w:pPr>
        <w:pStyle w:val="ListParagraph"/>
        <w:numPr>
          <w:ilvl w:val="0"/>
          <w:numId w:val="2"/>
        </w:numPr>
        <w:spacing w:after="80"/>
      </w:pPr>
      <w:r>
        <w:rPr>
          <w:rFonts w:ascii="Arial" w:cs="Arial" w:eastAsia="Arial" w:hAnsi="Arial"/>
          <w:b/>
          <w:bCs/>
          <w:sz w:val="22"/>
          <w:szCs w:val="22"/>
        </w:rPr>
        <w:t xml:space="preserve">Brand name. </w:t>
      </w:r>
      <w:r>
        <w:rPr>
          <w:rFonts w:ascii="Arial" w:cs="Arial" w:eastAsia="Arial" w:hAnsi="Arial"/>
          <w:sz w:val="22"/>
          <w:szCs w:val="22"/>
        </w:rPr>
        <w:t xml:space="preserve">Keep “South Wales Walks” or plan a rename as we expand beyond South Wales (e.g. “Cerddwr”)? This decision is cheap today and expensive later.</w:t>
      </w:r>
    </w:p>
    <w:p>
      <w:pPr>
        <w:pStyle w:val="ListParagraph"/>
        <w:numPr>
          <w:ilvl w:val="0"/>
          <w:numId w:val="2"/>
        </w:numPr>
        <w:spacing w:after="80"/>
      </w:pPr>
      <w:r>
        <w:rPr>
          <w:rFonts w:ascii="Arial" w:cs="Arial" w:eastAsia="Arial" w:hAnsi="Arial"/>
          <w:b/>
          <w:bCs/>
          <w:sz w:val="22"/>
          <w:szCs w:val="22"/>
        </w:rPr>
        <w:t xml:space="preserve">Photo submission rights. </w:t>
      </w:r>
      <w:r>
        <w:rPr>
          <w:rFonts w:ascii="Arial" w:cs="Arial" w:eastAsia="Arial" w:hAnsi="Arial"/>
          <w:sz w:val="22"/>
          <w:szCs w:val="22"/>
        </w:rPr>
        <w:t xml:space="preserve">When users submit photos, do we require CC-BY-SA or all-rights-reserved with a use licence to us? CC-BY-SA preserves the spirit of the project; all-rights-reserved gives us the book option.</w:t>
      </w:r>
    </w:p>
    <w:p>
      <w:pPr>
        <w:spacing w:after="0" w:before="360"/>
      </w:pPr>
      <w:r>
        <w:rPr>
          <w:rFonts w:ascii="Arial" w:cs="Arial" w:eastAsia="Arial" w:hAnsi="Arial"/>
          <w:i/>
          <w:iCs/>
          <w:color w:val="76745F"/>
          <w:sz w:val="18"/>
          <w:szCs w:val="18"/>
        </w:rPr>
        <w:t xml:space="preserve">End of brief. Comments welcome; this is v1 and meant to be marked up.</w:t>
      </w:r>
    </w:p>
    <w:sectPr>
      <w:headerReference w:type="default" r:id="rId7"/>
      <w:footerReference w:type="default" r:id="rId8"/>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76745F"/>
        <w:sz w:val="16"/>
        <w:szCs w:val="16"/>
      </w:rPr>
      <w:t xml:space="preserve">Page </w:t>
    </w:r>
    <w:r>
      <w:rPr>
        <w:rFonts w:ascii="Arial" w:cs="Arial" w:eastAsia="Arial" w:hAnsi="Arial"/>
        <w:color w:val="76745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6745F"/>
        <w:sz w:val="16"/>
        <w:szCs w:val="16"/>
      </w:rPr>
      <w:t xml:space="preserve">South Wales Walks · Founder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South Wales Walks — Founder Brief</dc:title>
  <dc:creator>Jason</dc:creator>
  <cp:lastModifiedBy>Un-named</cp:lastModifiedBy>
  <cp:revision>1</cp:revision>
  <dcterms:created xsi:type="dcterms:W3CDTF">2026-04-23T07:19:50.189Z</dcterms:created>
  <dcterms:modified xsi:type="dcterms:W3CDTF">2026-04-23T07:19:50.190Z</dcterms:modified>
</cp:coreProperties>
</file>

<file path=docProps/custom.xml><?xml version="1.0" encoding="utf-8"?>
<Properties xmlns="http://schemas.openxmlformats.org/officeDocument/2006/custom-properties" xmlns:vt="http://schemas.openxmlformats.org/officeDocument/2006/docPropsVTypes"/>
</file>