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xml" ContentType="application/vnd.openxmlformats-officedocument.wordprocessingml.header+xml"/>
  <Override PartName="/word/fontTable.xml" ContentType="application/vnd.openxmlformats-officedocument.wordprocessingml.fontTable+xml"/>
  <Override PartName="/word/header6.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0" w:type="dxa"/>
          <w:bottom w:w="0" w:type="dxa"/>
          <w:end w:w="0" w:type="dxa"/>
        </w:tblCellMar>
      </w:tblPr>
      <w:tblGrid>
        <w:gridCol w:w="11906"/>
      </w:tblGrid>
      <w:tr>
        <w:trPr>
          <w:trHeight w:val="16838" w:hRule="exact"/>
        </w:trPr>
        <w:tc>
          <w:tcPr>
            <w:tcW w:w="11906" w:type="dxa"/>
            <w:tcBorders/>
            <w:shd w:fill="0C1F1A" w:val="clear"/>
          </w:tcPr>
          <w:p>
            <w:pPr>
              <w:pStyle w:val="Normal"/>
              <w:spacing w:before="4000" w:after="0"/>
              <w:rPr/>
            </w:pPr>
            <w:r>
              <w:rPr/>
            </w:r>
          </w:p>
          <w:p>
            <w:pPr>
              <w:pStyle w:val="Normal"/>
              <w:pBdr>
                <w:bottom w:val="single" w:sz="6" w:space="12" w:color="3DDBB5"/>
              </w:pBdr>
              <w:spacing w:before="0" w:after="600"/>
              <w:ind w:start="1200" w:end="1200"/>
              <w:rPr/>
            </w:pPr>
            <w:r>
              <w:rPr/>
            </w:r>
          </w:p>
          <w:p>
            <w:pPr>
              <w:pStyle w:val="Normal"/>
              <w:spacing w:lineRule="atLeast" w:line="828" w:before="0" w:after="100"/>
              <w:ind w:start="1200"/>
              <w:jc w:val="start"/>
              <w:rPr/>
            </w:pPr>
            <w:r>
              <w:rPr>
                <w:b/>
                <w:bCs/>
                <w:color w:val="FFFFFF"/>
                <w:sz w:val="72"/>
                <w:szCs w:val="72"/>
              </w:rPr>
              <w:t>LuxTalent</w:t>
            </w:r>
          </w:p>
          <w:p>
            <w:pPr>
              <w:pStyle w:val="Normal"/>
              <w:spacing w:lineRule="atLeast" w:line="828" w:before="0" w:after="100"/>
              <w:ind w:start="1200"/>
              <w:jc w:val="start"/>
              <w:rPr/>
            </w:pPr>
            <w:r>
              <w:rPr>
                <w:b/>
                <w:bCs/>
                <w:color w:val="FFFFFF"/>
                <w:sz w:val="72"/>
                <w:szCs w:val="72"/>
              </w:rPr>
              <w:t>Advisory</w:t>
            </w:r>
          </w:p>
          <w:p>
            <w:pPr>
              <w:pStyle w:val="Normal"/>
              <w:spacing w:lineRule="atLeast" w:line="828" w:before="0" w:after="100"/>
              <w:ind w:start="1200"/>
              <w:jc w:val="start"/>
              <w:rPr/>
            </w:pPr>
            <w:r>
              <w:rPr>
                <w:b/>
                <w:bCs/>
                <w:color w:val="FFFFFF"/>
                <w:sz w:val="72"/>
                <w:szCs w:val="72"/>
              </w:rPr>
              <w:t>Group S.A.</w:t>
            </w:r>
          </w:p>
          <w:p>
            <w:pPr>
              <w:pStyle w:val="Normal"/>
              <w:spacing w:lineRule="atLeast" w:line="800" w:before="300" w:after="80"/>
              <w:ind w:start="1200"/>
              <w:jc w:val="start"/>
              <w:rPr/>
            </w:pPr>
            <w:r>
              <w:rPr>
                <w:color w:val="3DDBB5"/>
                <w:sz w:val="56"/>
                <w:szCs w:val="56"/>
              </w:rPr>
              <w:t>Documentation Technique</w:t>
            </w:r>
          </w:p>
          <w:p>
            <w:pPr>
              <w:pStyle w:val="Normal"/>
              <w:spacing w:lineRule="atLeast" w:line="600" w:before="200" w:after="100"/>
              <w:ind w:start="1200"/>
              <w:jc w:val="start"/>
              <w:rPr/>
            </w:pPr>
            <w:r>
              <w:rPr>
                <w:color w:val="B0B8C0"/>
                <w:sz w:val="44"/>
                <w:szCs w:val="44"/>
              </w:rPr>
              <w:t>Système de Pré-Sélection Automatisée de CV</w:t>
            </w:r>
          </w:p>
          <w:p>
            <w:pPr>
              <w:pStyle w:val="Normal"/>
              <w:pBdr>
                <w:bottom w:val="single" w:sz="6" w:space="12" w:color="3DDBB5"/>
              </w:pBdr>
              <w:spacing w:before="400" w:after="0"/>
              <w:ind w:start="1200" w:end="1200"/>
              <w:rPr/>
            </w:pPr>
            <w:r>
              <w:rPr/>
            </w:r>
          </w:p>
          <w:p>
            <w:pPr>
              <w:pStyle w:val="Normal"/>
              <w:spacing w:before="400" w:after="0"/>
              <w:ind w:start="1200"/>
              <w:jc w:val="start"/>
              <w:rPr/>
            </w:pPr>
            <w:r>
              <w:rPr>
                <w:color w:val="B0B8C0"/>
                <w:sz w:val="24"/>
                <w:szCs w:val="24"/>
              </w:rPr>
              <w:t>Ediz et Nicolas</w:t>
            </w:r>
          </w:p>
          <w:p>
            <w:pPr>
              <w:pStyle w:val="Normal"/>
              <w:spacing w:before="80" w:after="0"/>
              <w:ind w:start="1200"/>
              <w:jc w:val="start"/>
              <w:rPr/>
            </w:pPr>
            <w:r>
              <w:rPr>
                <w:color w:val="90989F"/>
                <w:sz w:val="22"/>
                <w:szCs w:val="22"/>
              </w:rPr>
              <w:t>Juin 2026</w:t>
            </w:r>
          </w:p>
        </w:tc>
      </w:tr>
    </w:tbl>
    <w:p>
      <w:pPr>
        <w:sectPr>
          <w:type w:val="nextPage"/>
          <w:pgSz w:w="11906" w:h="16838"/>
          <w:pgMar w:left="0" w:right="0" w:gutter="0" w:header="0" w:top="0" w:footer="0" w:bottom="0"/>
          <w:pgNumType w:fmt="decimal"/>
          <w:formProt w:val="false"/>
          <w:textDirection w:val="lrTb"/>
          <w:docGrid w:type="default" w:linePitch="360" w:charSpace="0"/>
        </w:sectPr>
      </w:pPr>
    </w:p>
    <w:p>
      <w:pPr>
        <w:pStyle w:val="Normal"/>
        <w:spacing w:before="480" w:after="360"/>
        <w:jc w:val="center"/>
        <w:rPr/>
      </w:pPr>
      <w:r>
        <w:rPr>
          <w:b/>
          <w:bCs/>
          <w:color w:val="0C1F1A"/>
          <w:sz w:val="32"/>
          <w:szCs w:val="32"/>
        </w:rPr>
        <w:t>Table des matières</w:t>
      </w:r>
    </w:p>
    <w:sdt>
      <w:sdtPr>
        <w:docPartObj>
          <w:docPartGallery w:val="Table of Contents"/>
          <w:docPartUnique w:val="true"/>
        </w:docPartObj>
      </w:sdtPr>
      <w:sdtContent>
        <w:p>
          <w:pPr>
            <w:pStyle w:val="Normal"/>
            <w:rPr/>
          </w:pPr>
          <w:r>
            <w:fldChar w:fldCharType="begin"/>
          </w:r>
          <w:r>
            <w:rPr/>
            <w:instrText xml:space="preserve"> TOC \o "1-2" \h</w:instrText>
          </w:r>
          <w:r>
            <w:rPr/>
            <w:fldChar w:fldCharType="separate"/>
          </w:r>
          <w:sdt>
            <w:sdtPr>
              <w:alias w:val="Table des matières"/>
              <w:text/>
            </w:sdtPr>
            <w:sdtContent>
              <w:r>
                <w:rPr/>
              </w:r>
              <w:r>
                <w:rPr/>
              </w:r>
            </w:sdtContent>
          </w:sdt>
        </w:p>
      </w:sdtContent>
    </w:sdt>
    <w:p>
      <w:pPr>
        <w:pStyle w:val="TOC1"/>
        <w:spacing w:before="120" w:after="60"/>
        <w:rPr/>
      </w:pPr>
      <w:hyperlink w:anchor="_Toc100000">
        <w:r>
          <w:rPr>
            <w:webHidden/>
          </w:rPr>
          <w:fldChar w:fldCharType="begin"/>
        </w:r>
        <w:r>
          <w:rPr>
            <w:webHidden/>
          </w:rPr>
          <w:instrText xml:space="preserve">PAGEREF _Toc100000 \h</w:instrText>
        </w:r>
        <w:r>
          <w:rPr>
            <w:webHidden/>
          </w:rPr>
          <w:fldChar w:fldCharType="separate"/>
        </w:r>
        <w:r>
          <w:rPr>
            <w:rStyle w:val="Sautdindex"/>
          </w:rPr>
          <w:t>1. Présentation du système</w:t>
          <w:tab/>
          <w:t>1</w:t>
        </w:r>
        <w:r>
          <w:rPr>
            <w:webHidden/>
          </w:rPr>
          <w:fldChar w:fldCharType="end"/>
        </w:r>
      </w:hyperlink>
    </w:p>
    <w:p>
      <w:pPr>
        <w:pStyle w:val="TOC2"/>
        <w:spacing w:before="120" w:after="60"/>
        <w:ind w:start="360"/>
        <w:rPr/>
      </w:pPr>
      <w:hyperlink w:anchor="_Toc100001">
        <w:r>
          <w:rPr>
            <w:webHidden/>
          </w:rPr>
          <w:fldChar w:fldCharType="begin"/>
        </w:r>
        <w:r>
          <w:rPr>
            <w:webHidden/>
          </w:rPr>
          <w:instrText xml:space="preserve">PAGEREF _Toc100001 \h</w:instrText>
        </w:r>
        <w:r>
          <w:rPr>
            <w:webHidden/>
          </w:rPr>
          <w:fldChar w:fldCharType="separate"/>
        </w:r>
        <w:r>
          <w:rPr>
            <w:rStyle w:val="Sautdindex"/>
          </w:rPr>
          <w:t>1.1 Objectifs</w:t>
          <w:tab/>
          <w:t>1</w:t>
        </w:r>
        <w:r>
          <w:rPr>
            <w:webHidden/>
          </w:rPr>
          <w:fldChar w:fldCharType="end"/>
        </w:r>
      </w:hyperlink>
    </w:p>
    <w:p>
      <w:pPr>
        <w:pStyle w:val="TOC2"/>
        <w:spacing w:before="120" w:after="60"/>
        <w:ind w:start="360"/>
        <w:rPr/>
      </w:pPr>
      <w:hyperlink w:anchor="_Toc100002">
        <w:r>
          <w:rPr>
            <w:webHidden/>
          </w:rPr>
          <w:fldChar w:fldCharType="begin"/>
        </w:r>
        <w:r>
          <w:rPr>
            <w:webHidden/>
          </w:rPr>
          <w:instrText xml:space="preserve">PAGEREF _Toc100002 \h</w:instrText>
        </w:r>
        <w:r>
          <w:rPr>
            <w:webHidden/>
          </w:rPr>
          <w:fldChar w:fldCharType="separate"/>
        </w:r>
        <w:r>
          <w:rPr>
            <w:rStyle w:val="Sautdindex"/>
          </w:rPr>
          <w:t>1.2 Cadre réglementaire</w:t>
          <w:tab/>
          <w:t>3</w:t>
        </w:r>
        <w:r>
          <w:rPr>
            <w:webHidden/>
          </w:rPr>
          <w:fldChar w:fldCharType="end"/>
        </w:r>
      </w:hyperlink>
    </w:p>
    <w:p>
      <w:pPr>
        <w:pStyle w:val="TOC2"/>
        <w:spacing w:before="120" w:after="60"/>
        <w:ind w:start="360"/>
        <w:rPr/>
      </w:pPr>
      <w:hyperlink w:anchor="_Toc100003">
        <w:r>
          <w:rPr>
            <w:webHidden/>
          </w:rPr>
          <w:fldChar w:fldCharType="begin"/>
        </w:r>
        <w:r>
          <w:rPr>
            <w:webHidden/>
          </w:rPr>
          <w:instrText xml:space="preserve">PAGEREF _Toc100003 \h</w:instrText>
        </w:r>
        <w:r>
          <w:rPr>
            <w:webHidden/>
          </w:rPr>
          <w:fldChar w:fldCharType="separate"/>
        </w:r>
        <w:r>
          <w:rPr>
            <w:rStyle w:val="Sautdindex"/>
          </w:rPr>
          <w:t>1.3 Principes éthiques AI4People</w:t>
          <w:tab/>
          <w:t>3</w:t>
        </w:r>
        <w:r>
          <w:rPr>
            <w:webHidden/>
          </w:rPr>
          <w:fldChar w:fldCharType="end"/>
        </w:r>
      </w:hyperlink>
    </w:p>
    <w:p>
      <w:pPr>
        <w:pStyle w:val="TOC1"/>
        <w:spacing w:before="120" w:after="60"/>
        <w:rPr/>
      </w:pPr>
      <w:hyperlink w:anchor="_Toc100004">
        <w:r>
          <w:rPr>
            <w:webHidden/>
          </w:rPr>
          <w:fldChar w:fldCharType="begin"/>
        </w:r>
        <w:r>
          <w:rPr>
            <w:webHidden/>
          </w:rPr>
          <w:instrText xml:space="preserve">PAGEREF _Toc100004 \h</w:instrText>
        </w:r>
        <w:r>
          <w:rPr>
            <w:webHidden/>
          </w:rPr>
          <w:fldChar w:fldCharType="separate"/>
        </w:r>
        <w:r>
          <w:rPr>
            <w:rStyle w:val="Sautdindex"/>
          </w:rPr>
          <w:t>2. Architecture globale</w:t>
          <w:tab/>
          <w:t>3</w:t>
        </w:r>
        <w:r>
          <w:rPr>
            <w:webHidden/>
          </w:rPr>
          <w:fldChar w:fldCharType="end"/>
        </w:r>
      </w:hyperlink>
    </w:p>
    <w:p>
      <w:pPr>
        <w:pStyle w:val="TOC2"/>
        <w:spacing w:before="120" w:after="60"/>
        <w:ind w:start="360"/>
        <w:rPr/>
      </w:pPr>
      <w:hyperlink w:anchor="_Toc100005">
        <w:r>
          <w:rPr>
            <w:webHidden/>
          </w:rPr>
          <w:fldChar w:fldCharType="begin"/>
        </w:r>
        <w:r>
          <w:rPr>
            <w:webHidden/>
          </w:rPr>
          <w:instrText xml:space="preserve">PAGEREF _Toc100005 \h</w:instrText>
        </w:r>
        <w:r>
          <w:rPr>
            <w:webHidden/>
          </w:rPr>
          <w:fldChar w:fldCharType="separate"/>
        </w:r>
        <w:r>
          <w:rPr>
            <w:rStyle w:val="Sautdindex"/>
          </w:rPr>
          <w:t>2.1 Services et infrastructure</w:t>
          <w:tab/>
          <w:t>3</w:t>
        </w:r>
        <w:r>
          <w:rPr>
            <w:webHidden/>
          </w:rPr>
          <w:fldChar w:fldCharType="end"/>
        </w:r>
      </w:hyperlink>
    </w:p>
    <w:p>
      <w:pPr>
        <w:pStyle w:val="TOC2"/>
        <w:spacing w:before="120" w:after="60"/>
        <w:ind w:start="360"/>
        <w:rPr/>
      </w:pPr>
      <w:hyperlink w:anchor="_Toc100006">
        <w:r>
          <w:rPr>
            <w:webHidden/>
          </w:rPr>
          <w:fldChar w:fldCharType="begin"/>
        </w:r>
        <w:r>
          <w:rPr>
            <w:webHidden/>
          </w:rPr>
          <w:instrText xml:space="preserve">PAGEREF _Toc100006 \h</w:instrText>
        </w:r>
        <w:r>
          <w:rPr>
            <w:webHidden/>
          </w:rPr>
          <w:fldChar w:fldCharType="separate"/>
        </w:r>
        <w:r>
          <w:rPr>
            <w:rStyle w:val="Sautdindex"/>
          </w:rPr>
          <w:t>2.2 Pipeline de traitement d’un CV</w:t>
          <w:tab/>
          <w:t>4</w:t>
        </w:r>
        <w:r>
          <w:rPr>
            <w:webHidden/>
          </w:rPr>
          <w:fldChar w:fldCharType="end"/>
        </w:r>
      </w:hyperlink>
    </w:p>
    <w:p>
      <w:pPr>
        <w:pStyle w:val="TOC2"/>
        <w:spacing w:before="120" w:after="60"/>
        <w:ind w:start="360"/>
        <w:rPr/>
      </w:pPr>
      <w:hyperlink w:anchor="_Toc100007">
        <w:r>
          <w:rPr>
            <w:webHidden/>
          </w:rPr>
          <w:fldChar w:fldCharType="begin"/>
        </w:r>
        <w:r>
          <w:rPr>
            <w:webHidden/>
          </w:rPr>
          <w:instrText xml:space="preserve">PAGEREF _Toc100007 \h</w:instrText>
        </w:r>
        <w:r>
          <w:rPr>
            <w:webHidden/>
          </w:rPr>
          <w:fldChar w:fldCharType="separate"/>
        </w:r>
        <w:r>
          <w:rPr>
            <w:rStyle w:val="Sautdindex"/>
          </w:rPr>
          <w:t>2.3 Communication entre services</w:t>
          <w:tab/>
          <w:t>4</w:t>
        </w:r>
        <w:r>
          <w:rPr>
            <w:webHidden/>
          </w:rPr>
          <w:fldChar w:fldCharType="end"/>
        </w:r>
      </w:hyperlink>
    </w:p>
    <w:p>
      <w:pPr>
        <w:pStyle w:val="TOC1"/>
        <w:spacing w:before="120" w:after="60"/>
        <w:rPr/>
      </w:pPr>
      <w:hyperlink w:anchor="_Toc100008">
        <w:r>
          <w:rPr>
            <w:webHidden/>
          </w:rPr>
          <w:fldChar w:fldCharType="begin"/>
        </w:r>
        <w:r>
          <w:rPr>
            <w:webHidden/>
          </w:rPr>
          <w:instrText xml:space="preserve">PAGEREF _Toc100008 \h</w:instrText>
        </w:r>
        <w:r>
          <w:rPr>
            <w:webHidden/>
          </w:rPr>
          <w:fldChar w:fldCharType="separate"/>
        </w:r>
        <w:r>
          <w:rPr>
            <w:rStyle w:val="Sautdindex"/>
          </w:rPr>
          <w:t>3. Structure du projet</w:t>
          <w:tab/>
          <w:t>4</w:t>
        </w:r>
        <w:r>
          <w:rPr>
            <w:webHidden/>
          </w:rPr>
          <w:fldChar w:fldCharType="end"/>
        </w:r>
      </w:hyperlink>
    </w:p>
    <w:p>
      <w:pPr>
        <w:pStyle w:val="TOC1"/>
        <w:spacing w:before="120" w:after="60"/>
        <w:rPr/>
      </w:pPr>
      <w:hyperlink w:anchor="_Toc100009">
        <w:r>
          <w:rPr>
            <w:webHidden/>
          </w:rPr>
          <w:fldChar w:fldCharType="begin"/>
        </w:r>
        <w:r>
          <w:rPr>
            <w:webHidden/>
          </w:rPr>
          <w:instrText xml:space="preserve">PAGEREF _Toc100009 \h</w:instrText>
        </w:r>
        <w:r>
          <w:rPr>
            <w:webHidden/>
          </w:rPr>
          <w:fldChar w:fldCharType="separate"/>
        </w:r>
        <w:r>
          <w:rPr>
            <w:rStyle w:val="Sautdindex"/>
          </w:rPr>
          <w:t>4. Extraction de features</w:t>
          <w:tab/>
          <w:t>4</w:t>
        </w:r>
        <w:r>
          <w:rPr>
            <w:webHidden/>
          </w:rPr>
          <w:fldChar w:fldCharType="end"/>
        </w:r>
      </w:hyperlink>
    </w:p>
    <w:p>
      <w:pPr>
        <w:pStyle w:val="TOC2"/>
        <w:spacing w:before="120" w:after="60"/>
        <w:ind w:start="360"/>
        <w:rPr/>
      </w:pPr>
      <w:hyperlink w:anchor="_Toc100010">
        <w:r>
          <w:rPr>
            <w:webHidden/>
          </w:rPr>
          <w:fldChar w:fldCharType="begin"/>
        </w:r>
        <w:r>
          <w:rPr>
            <w:webHidden/>
          </w:rPr>
          <w:instrText xml:space="preserve">PAGEREF _Toc100010 \h</w:instrText>
        </w:r>
        <w:r>
          <w:rPr>
            <w:webHidden/>
          </w:rPr>
          <w:fldChar w:fldCharType="separate"/>
        </w:r>
        <w:r>
          <w:rPr>
            <w:rStyle w:val="Sautdindex"/>
          </w:rPr>
          <w:t>4.1 Features ML</w:t>
          <w:tab/>
          <w:t>4</w:t>
        </w:r>
        <w:r>
          <w:rPr>
            <w:webHidden/>
          </w:rPr>
          <w:fldChar w:fldCharType="end"/>
        </w:r>
      </w:hyperlink>
    </w:p>
    <w:p>
      <w:pPr>
        <w:pStyle w:val="TOC2"/>
        <w:spacing w:before="120" w:after="60"/>
        <w:ind w:start="360"/>
        <w:rPr/>
      </w:pPr>
      <w:hyperlink w:anchor="_Toc100011">
        <w:r>
          <w:rPr>
            <w:webHidden/>
          </w:rPr>
          <w:fldChar w:fldCharType="begin"/>
        </w:r>
        <w:r>
          <w:rPr>
            <w:webHidden/>
          </w:rPr>
          <w:instrText xml:space="preserve">PAGEREF _Toc100011 \h</w:instrText>
        </w:r>
        <w:r>
          <w:rPr>
            <w:webHidden/>
          </w:rPr>
          <w:fldChar w:fldCharType="separate"/>
        </w:r>
        <w:r>
          <w:rPr>
            <w:rStyle w:val="Sautdindex"/>
          </w:rPr>
          <w:t>4.2 Métadonnées (hors modèle ML)</w:t>
          <w:tab/>
          <w:t>5</w:t>
        </w:r>
        <w:r>
          <w:rPr>
            <w:webHidden/>
          </w:rPr>
          <w:fldChar w:fldCharType="end"/>
        </w:r>
      </w:hyperlink>
    </w:p>
    <w:p>
      <w:pPr>
        <w:pStyle w:val="TOC1"/>
        <w:spacing w:before="120" w:after="60"/>
        <w:rPr/>
      </w:pPr>
      <w:hyperlink w:anchor="_Toc100012">
        <w:r>
          <w:rPr>
            <w:webHidden/>
          </w:rPr>
          <w:fldChar w:fldCharType="begin"/>
        </w:r>
        <w:r>
          <w:rPr>
            <w:webHidden/>
          </w:rPr>
          <w:instrText xml:space="preserve">PAGEREF _Toc100012 \h</w:instrText>
        </w:r>
        <w:r>
          <w:rPr>
            <w:webHidden/>
          </w:rPr>
          <w:fldChar w:fldCharType="separate"/>
        </w:r>
        <w:r>
          <w:rPr>
            <w:rStyle w:val="Sautdindex"/>
          </w:rPr>
          <w:t>5. Pipeline Machine Learning</w:t>
          <w:tab/>
          <w:t>5</w:t>
        </w:r>
        <w:r>
          <w:rPr>
            <w:webHidden/>
          </w:rPr>
          <w:fldChar w:fldCharType="end"/>
        </w:r>
      </w:hyperlink>
    </w:p>
    <w:p>
      <w:pPr>
        <w:pStyle w:val="TOC2"/>
        <w:spacing w:before="120" w:after="60"/>
        <w:ind w:start="360"/>
        <w:rPr/>
      </w:pPr>
      <w:hyperlink w:anchor="_Toc100013">
        <w:r>
          <w:rPr>
            <w:webHidden/>
          </w:rPr>
          <w:fldChar w:fldCharType="begin"/>
        </w:r>
        <w:r>
          <w:rPr>
            <w:webHidden/>
          </w:rPr>
          <w:instrText xml:space="preserve">PAGEREF _Toc100013 \h</w:instrText>
        </w:r>
        <w:r>
          <w:rPr>
            <w:webHidden/>
          </w:rPr>
          <w:fldChar w:fldCharType="separate"/>
        </w:r>
        <w:r>
          <w:rPr>
            <w:rStyle w:val="Sautdindex"/>
          </w:rPr>
          <w:t>5.1 Modèle de base — Logistic Regression</w:t>
          <w:tab/>
          <w:t>5</w:t>
        </w:r>
        <w:r>
          <w:rPr>
            <w:webHidden/>
          </w:rPr>
          <w:fldChar w:fldCharType="end"/>
        </w:r>
      </w:hyperlink>
    </w:p>
    <w:p>
      <w:pPr>
        <w:pStyle w:val="TOC1"/>
        <w:spacing w:before="120" w:after="60"/>
        <w:rPr/>
      </w:pPr>
      <w:hyperlink w:anchor="_Toc100014">
        <w:r>
          <w:rPr>
            <w:webHidden/>
          </w:rPr>
          <w:fldChar w:fldCharType="begin"/>
        </w:r>
        <w:r>
          <w:rPr>
            <w:webHidden/>
          </w:rPr>
          <w:instrText xml:space="preserve">PAGEREF _Toc100014 \h</w:instrText>
        </w:r>
        <w:r>
          <w:rPr>
            <w:webHidden/>
          </w:rPr>
          <w:fldChar w:fldCharType="separate"/>
        </w:r>
        <w:r>
          <w:rPr>
            <w:rStyle w:val="Sautdindex"/>
          </w:rPr>
          <w:t>6. Audit de fairness et explicabilité</w:t>
          <w:tab/>
          <w:t>5</w:t>
        </w:r>
        <w:r>
          <w:rPr>
            <w:webHidden/>
          </w:rPr>
          <w:fldChar w:fldCharType="end"/>
        </w:r>
      </w:hyperlink>
    </w:p>
    <w:p>
      <w:pPr>
        <w:pStyle w:val="TOC2"/>
        <w:spacing w:before="120" w:after="60"/>
        <w:ind w:start="360"/>
        <w:rPr/>
      </w:pPr>
      <w:hyperlink w:anchor="_Toc100015">
        <w:r>
          <w:rPr>
            <w:webHidden/>
          </w:rPr>
          <w:fldChar w:fldCharType="begin"/>
        </w:r>
        <w:r>
          <w:rPr>
            <w:webHidden/>
          </w:rPr>
          <w:instrText xml:space="preserve">PAGEREF _Toc100015 \h</w:instrText>
        </w:r>
        <w:r>
          <w:rPr>
            <w:webHidden/>
          </w:rPr>
          <w:fldChar w:fldCharType="separate"/>
        </w:r>
        <w:r>
          <w:rPr>
            <w:rStyle w:val="Sautdindex"/>
          </w:rPr>
          <w:t>6.1 Résultats du modèle de base</w:t>
          <w:tab/>
          <w:t>6</w:t>
        </w:r>
        <w:r>
          <w:rPr>
            <w:webHidden/>
          </w:rPr>
          <w:fldChar w:fldCharType="end"/>
        </w:r>
      </w:hyperlink>
    </w:p>
    <w:p>
      <w:pPr>
        <w:pStyle w:val="TOC2"/>
        <w:spacing w:before="120" w:after="60"/>
        <w:ind w:start="360"/>
        <w:rPr/>
      </w:pPr>
      <w:hyperlink w:anchor="_Toc100016">
        <w:r>
          <w:rPr>
            <w:webHidden/>
          </w:rPr>
          <w:fldChar w:fldCharType="begin"/>
        </w:r>
        <w:r>
          <w:rPr>
            <w:webHidden/>
          </w:rPr>
          <w:instrText xml:space="preserve">PAGEREF _Toc100016 \h</w:instrText>
        </w:r>
        <w:r>
          <w:rPr>
            <w:webHidden/>
          </w:rPr>
          <w:fldChar w:fldCharType="separate"/>
        </w:r>
        <w:r>
          <w:rPr>
            <w:rStyle w:val="Sautdindex"/>
          </w:rPr>
          <w:t>6.2 Analyse de proxies</w:t>
          <w:tab/>
          <w:t>6</w:t>
        </w:r>
        <w:r>
          <w:rPr>
            <w:webHidden/>
          </w:rPr>
          <w:fldChar w:fldCharType="end"/>
        </w:r>
      </w:hyperlink>
    </w:p>
    <w:p>
      <w:pPr>
        <w:pStyle w:val="TOC2"/>
        <w:spacing w:before="120" w:after="60"/>
        <w:ind w:start="360"/>
        <w:rPr/>
      </w:pPr>
      <w:hyperlink w:anchor="_Toc100017">
        <w:r>
          <w:rPr>
            <w:webHidden/>
          </w:rPr>
          <w:fldChar w:fldCharType="begin"/>
        </w:r>
        <w:r>
          <w:rPr>
            <w:webHidden/>
          </w:rPr>
          <w:instrText xml:space="preserve">PAGEREF _Toc100017 \h</w:instrText>
        </w:r>
        <w:r>
          <w:rPr>
            <w:webHidden/>
          </w:rPr>
          <w:fldChar w:fldCharType="separate"/>
        </w:r>
        <w:r>
          <w:rPr>
            <w:rStyle w:val="Sautdindex"/>
          </w:rPr>
          <w:t>6.3 Explicabilité SHAP</w:t>
          <w:tab/>
          <w:t>6</w:t>
        </w:r>
        <w:r>
          <w:rPr>
            <w:webHidden/>
          </w:rPr>
          <w:fldChar w:fldCharType="end"/>
        </w:r>
      </w:hyperlink>
    </w:p>
    <w:p>
      <w:pPr>
        <w:pStyle w:val="TOC1"/>
        <w:spacing w:before="120" w:after="60"/>
        <w:rPr/>
      </w:pPr>
      <w:hyperlink w:anchor="_Toc100018">
        <w:r>
          <w:rPr>
            <w:webHidden/>
          </w:rPr>
          <w:fldChar w:fldCharType="begin"/>
        </w:r>
        <w:r>
          <w:rPr>
            <w:webHidden/>
          </w:rPr>
          <w:instrText xml:space="preserve">PAGEREF _Toc100018 \h</w:instrText>
        </w:r>
        <w:r>
          <w:rPr>
            <w:webHidden/>
          </w:rPr>
          <w:fldChar w:fldCharType="separate"/>
        </w:r>
        <w:r>
          <w:rPr>
            <w:rStyle w:val="Sautdindex"/>
          </w:rPr>
          <w:t>7. Base de données et authentification</w:t>
          <w:tab/>
          <w:t>6</w:t>
        </w:r>
        <w:r>
          <w:rPr>
            <w:webHidden/>
          </w:rPr>
          <w:fldChar w:fldCharType="end"/>
        </w:r>
      </w:hyperlink>
    </w:p>
    <w:p>
      <w:pPr>
        <w:pStyle w:val="TOC1"/>
        <w:spacing w:before="120" w:after="60"/>
        <w:rPr/>
      </w:pPr>
      <w:hyperlink w:anchor="_Toc100019">
        <w:r>
          <w:rPr>
            <w:webHidden/>
          </w:rPr>
          <w:fldChar w:fldCharType="begin"/>
        </w:r>
        <w:r>
          <w:rPr>
            <w:webHidden/>
          </w:rPr>
          <w:instrText xml:space="preserve">PAGEREF _Toc100019 \h</w:instrText>
        </w:r>
        <w:r>
          <w:rPr>
            <w:webHidden/>
          </w:rPr>
          <w:fldChar w:fldCharType="separate"/>
        </w:r>
        <w:r>
          <w:rPr>
            <w:rStyle w:val="Sautdindex"/>
          </w:rPr>
          <w:t>8. API REST</w:t>
          <w:tab/>
          <w:t>7</w:t>
        </w:r>
        <w:r>
          <w:rPr>
            <w:webHidden/>
          </w:rPr>
          <w:fldChar w:fldCharType="end"/>
        </w:r>
      </w:hyperlink>
    </w:p>
    <w:p>
      <w:pPr>
        <w:pStyle w:val="TOC1"/>
        <w:spacing w:before="120" w:after="60"/>
        <w:rPr/>
      </w:pPr>
      <w:hyperlink w:anchor="_Toc100020">
        <w:r>
          <w:rPr>
            <w:webHidden/>
          </w:rPr>
          <w:fldChar w:fldCharType="begin"/>
        </w:r>
        <w:r>
          <w:rPr>
            <w:webHidden/>
          </w:rPr>
          <w:instrText xml:space="preserve">PAGEREF _Toc100020 \h</w:instrText>
        </w:r>
        <w:r>
          <w:rPr>
            <w:webHidden/>
          </w:rPr>
          <w:fldChar w:fldCharType="separate"/>
        </w:r>
        <w:r>
          <w:rPr>
            <w:rStyle w:val="Sautdindex"/>
          </w:rPr>
          <w:t>9. Frontend</w:t>
          <w:tab/>
          <w:t>7</w:t>
        </w:r>
        <w:r>
          <w:rPr>
            <w:webHidden/>
          </w:rPr>
          <w:fldChar w:fldCharType="end"/>
        </w:r>
      </w:hyperlink>
    </w:p>
    <w:p>
      <w:pPr>
        <w:pStyle w:val="TOC1"/>
        <w:spacing w:before="120" w:after="60"/>
        <w:rPr/>
      </w:pPr>
      <w:hyperlink w:anchor="_Toc100021">
        <w:r>
          <w:rPr>
            <w:webHidden/>
          </w:rPr>
          <w:fldChar w:fldCharType="begin"/>
        </w:r>
        <w:r>
          <w:rPr>
            <w:webHidden/>
          </w:rPr>
          <w:instrText xml:space="preserve">PAGEREF _Toc100021 \h</w:instrText>
        </w:r>
        <w:r>
          <w:rPr>
            <w:webHidden/>
          </w:rPr>
          <w:fldChar w:fldCharType="separate"/>
        </w:r>
        <w:r>
          <w:rPr>
            <w:rStyle w:val="Sautdindex"/>
          </w:rPr>
          <w:t>10. Déploiement</w:t>
          <w:tab/>
          <w:t>7</w:t>
        </w:r>
        <w:r>
          <w:rPr>
            <w:webHidden/>
          </w:rPr>
          <w:fldChar w:fldCharType="end"/>
        </w:r>
      </w:hyperlink>
    </w:p>
    <w:p>
      <w:pPr>
        <w:pStyle w:val="TOC1"/>
        <w:spacing w:before="120" w:after="60"/>
        <w:rPr/>
      </w:pPr>
      <w:hyperlink w:anchor="_Toc100022">
        <w:r>
          <w:rPr>
            <w:webHidden/>
          </w:rPr>
          <w:fldChar w:fldCharType="begin"/>
        </w:r>
        <w:r>
          <w:rPr>
            <w:webHidden/>
          </w:rPr>
          <w:instrText xml:space="preserve">PAGEREF _Toc100022 \h</w:instrText>
        </w:r>
        <w:r>
          <w:rPr>
            <w:webHidden/>
          </w:rPr>
          <w:fldChar w:fldCharType="separate"/>
        </w:r>
        <w:r>
          <w:rPr>
            <w:rStyle w:val="Sautdindex"/>
          </w:rPr>
          <w:t>11. Tests et qualité du code</w:t>
          <w:tab/>
          <w:t>7</w:t>
        </w:r>
        <w:r>
          <w:rPr>
            <w:webHidden/>
          </w:rPr>
          <w:fldChar w:fldCharType="end"/>
        </w:r>
      </w:hyperlink>
      <w:r>
        <w:rPr>
          <w:rStyle w:val="Sautdindex"/>
        </w:rPr>
        <w:fldChar w:fldCharType="end"/>
      </w:r>
    </w:p>
    <w:p>
      <w:pPr>
        <w:pStyle w:val="Normal"/>
        <w:spacing w:before="0" w:after="0"/>
        <w:rPr/>
        <w:sectPr>
          <w:headerReference w:type="even" r:id="rId2"/>
          <w:headerReference w:type="default" r:id="rId3"/>
          <w:headerReference w:type="first" r:id="rId4"/>
          <w:footerReference w:type="even" r:id="rId5"/>
          <w:footerReference w:type="first" r:id="rId6"/>
          <w:type w:val="nextPage"/>
          <w:pgSz w:w="11906" w:h="16838"/>
          <w:pgMar w:left="1701" w:right="1417" w:gutter="0" w:header="708" w:top="1440" w:footer="0" w:bottom="708"/>
          <w:pgNumType w:start="1" w:fmt="upperRoman"/>
          <w:formProt w:val="false"/>
          <w:textDirection w:val="lrTb"/>
          <w:docGrid w:type="default" w:linePitch="360" w:charSpace="0"/>
        </w:sectPr>
      </w:pPr>
      <w:r>
        <w:rPr/>
      </w:r>
      <w:r>
        <w:br w:type="page"/>
      </w:r>
    </w:p>
    <w:p>
      <w:pPr>
        <w:pStyle w:val="Heading1"/>
        <w:spacing w:lineRule="auto" w:line="312" w:before="0" w:after="160"/>
        <w:rPr/>
      </w:pPr>
      <w:bookmarkStart w:id="0" w:name="_Toc100000"/>
      <w:r>
        <w:rPr>
          <w:rFonts w:eastAsia="SimHei"/>
          <w:b/>
          <w:bCs/>
          <w:color w:val="0C1F1A"/>
          <w:sz w:val="32"/>
          <w:szCs w:val="32"/>
        </w:rPr>
        <w:t>1. Présentation du système</w:t>
      </w:r>
      <w:bookmarkEnd w:id="0"/>
    </w:p>
    <w:p>
      <w:pPr>
        <w:pStyle w:val="Normal"/>
        <w:spacing w:lineRule="auto" w:line="312" w:before="0" w:after="80"/>
        <w:jc w:val="both"/>
        <w:rPr/>
      </w:pPr>
      <w:r>
        <w:rPr>
          <w:rFonts w:eastAsia="Microsoft YaHei"/>
          <w:color w:val="000000"/>
          <w:sz w:val="24"/>
          <w:szCs w:val="24"/>
        </w:rPr>
        <w:t>Notre projet est un système automatisé de pré-sélection de CV développé dans le cadre de la société LuxTalent Advisory. Cette architecture intègre des mécanismes de fairness, d’explicabilité et de transparence conformément au Work Package 2 et aux cadres réglementaires européens (AI Act, RGPD). Le système analyse des fichiers texte de CV, extrait des caractéristiques structurées, applique un filtre dur, exécute un modèle ML et fournit une explicabilité SHAP pour chaque décision.</w:t>
      </w:r>
    </w:p>
    <w:p>
      <w:pPr>
        <w:pStyle w:val="Heading2"/>
        <w:spacing w:lineRule="auto" w:line="312" w:before="240" w:after="120"/>
        <w:rPr/>
      </w:pPr>
      <w:bookmarkStart w:id="1" w:name="_Toc100001"/>
      <w:r>
        <w:rPr>
          <w:rFonts w:eastAsia="SimHei"/>
          <w:b/>
          <w:bCs/>
          <w:color w:val="0C1F1A"/>
          <w:sz w:val="28"/>
          <w:szCs w:val="28"/>
        </w:rPr>
        <w:t>1.1 Objectifs</w:t>
      </w:r>
      <w:bookmarkEnd w:id="1"/>
    </w:p>
    <w:p>
      <w:pPr>
        <w:pStyle w:val="ListParagraph"/>
        <w:numPr>
          <w:ilvl w:val="0"/>
          <w:numId w:val="4"/>
        </w:numPr>
        <w:spacing w:lineRule="auto" w:line="312" w:before="0" w:after="40"/>
        <w:rPr/>
      </w:pPr>
      <w:r>
        <w:rPr>
          <w:rFonts w:eastAsia="Microsoft YaHei"/>
          <w:color w:val="000000"/>
          <w:sz w:val="24"/>
          <w:szCs w:val="24"/>
        </w:rPr>
        <w:t>Automatiser la pré-sélection des CV pour réduire la charge de travail des équipes RH tout en améliorant la cohérence des décisions</w:t>
      </w:r>
    </w:p>
    <w:p>
      <w:pPr>
        <w:pStyle w:val="ListParagraph"/>
        <w:numPr>
          <w:ilvl w:val="0"/>
          <w:numId w:val="2"/>
        </w:numPr>
        <w:spacing w:lineRule="auto" w:line="312" w:before="0" w:after="40"/>
        <w:rPr/>
      </w:pPr>
      <w:r>
        <w:rPr>
          <w:rFonts w:eastAsia="Microsoft YaHei"/>
          <w:color w:val="000000"/>
          <w:sz w:val="24"/>
          <w:szCs w:val="24"/>
        </w:rPr>
        <w:t>Fournir aux recruteurs une interface claire et intuitive pour configurer les critères de filtrage et visualiser les résultats</w:t>
      </w:r>
    </w:p>
    <w:p>
      <w:pPr>
        <w:pStyle w:val="ListParagraph"/>
        <w:numPr>
          <w:ilvl w:val="0"/>
          <w:numId w:val="2"/>
        </w:numPr>
        <w:spacing w:lineRule="auto" w:line="312" w:before="0" w:after="40"/>
        <w:rPr/>
      </w:pPr>
      <w:r>
        <w:rPr>
          <w:rFonts w:eastAsia="Microsoft YaHei"/>
          <w:color w:val="000000"/>
          <w:sz w:val="24"/>
          <w:szCs w:val="24"/>
        </w:rPr>
        <w:t>Offrir une transparence totale sur les décisions via l’explicabilité SHAP, permettant aux recruteurs de comprendre et de contester chaque recommandation</w:t>
      </w:r>
    </w:p>
    <w:p>
      <w:pPr>
        <w:pStyle w:val="ListParagraph"/>
        <w:numPr>
          <w:ilvl w:val="0"/>
          <w:numId w:val="2"/>
        </w:numPr>
        <w:spacing w:lineRule="auto" w:line="312" w:before="0" w:after="40"/>
        <w:rPr/>
      </w:pPr>
      <w:r>
        <w:rPr>
          <w:rFonts w:eastAsia="Microsoft YaHei"/>
          <w:color w:val="000000"/>
          <w:sz w:val="24"/>
          <w:szCs w:val="24"/>
        </w:rPr>
        <w:t>Éliminer la discrimination directe en retirant le genre du modèle ML</w:t>
      </w:r>
    </w:p>
    <w:p>
      <w:pPr>
        <w:pStyle w:val="ListParagraph"/>
        <w:numPr>
          <w:ilvl w:val="0"/>
          <w:numId w:val="2"/>
        </w:numPr>
        <w:spacing w:lineRule="auto" w:line="312" w:before="0" w:after="40"/>
        <w:rPr/>
      </w:pPr>
      <w:r>
        <w:rPr>
          <w:rFonts w:eastAsia="Microsoft YaHei"/>
          <w:color w:val="000000"/>
          <w:sz w:val="24"/>
          <w:szCs w:val="24"/>
        </w:rPr>
        <w:t>Éliminer la discrimination indirecte en retirant l’âge des features</w:t>
      </w:r>
    </w:p>
    <w:p>
      <w:pPr>
        <w:pStyle w:val="ListParagraph"/>
        <w:numPr>
          <w:ilvl w:val="0"/>
          <w:numId w:val="2"/>
        </w:numPr>
        <w:spacing w:lineRule="auto" w:line="312" w:before="0" w:after="40"/>
        <w:rPr/>
      </w:pPr>
      <w:r>
        <w:rPr>
          <w:rFonts w:eastAsia="Microsoft YaHei"/>
          <w:color w:val="000000"/>
          <w:sz w:val="24"/>
          <w:szCs w:val="24"/>
        </w:rPr>
        <w:t>Détecter et surveiller les biais résiduels via un audit des métriques de fairness</w:t>
      </w:r>
    </w:p>
    <w:p>
      <w:pPr>
        <w:pStyle w:val="ListParagraph"/>
        <w:numPr>
          <w:ilvl w:val="0"/>
          <w:numId w:val="2"/>
        </w:numPr>
        <w:spacing w:lineRule="auto" w:line="312" w:before="0" w:after="40"/>
        <w:rPr/>
      </w:pPr>
      <w:r>
        <w:rPr>
          <w:rFonts w:eastAsia="Microsoft YaHei"/>
          <w:color w:val="000000"/>
          <w:sz w:val="24"/>
          <w:szCs w:val="24"/>
        </w:rPr>
        <w:t>Détecter les proxies (corrélations entre le genre et les features du modèle)</w:t>
      </w:r>
    </w:p>
    <w:p>
      <w:pPr>
        <w:pStyle w:val="ListParagraph"/>
        <w:numPr>
          <w:ilvl w:val="0"/>
          <w:numId w:val="2"/>
        </w:numPr>
        <w:spacing w:lineRule="auto" w:line="312" w:before="0" w:after="40"/>
        <w:rPr/>
      </w:pPr>
      <w:r>
        <w:rPr>
          <w:rFonts w:eastAsia="Microsoft YaHei"/>
          <w:color w:val="000000"/>
          <w:sz w:val="24"/>
          <w:szCs w:val="24"/>
        </w:rPr>
        <w:t>Persister l’historique des décisions</w:t>
      </w:r>
    </w:p>
    <w:p>
      <w:pPr>
        <w:pStyle w:val="ListParagraph"/>
        <w:numPr>
          <w:ilvl w:val="0"/>
          <w:numId w:val="2"/>
        </w:numPr>
        <w:spacing w:lineRule="auto" w:line="312" w:before="0" w:after="40"/>
        <w:rPr/>
      </w:pPr>
      <w:r>
        <w:rPr>
          <w:rFonts w:eastAsia="Microsoft YaHei"/>
          <w:color w:val="000000"/>
          <w:sz w:val="24"/>
          <w:szCs w:val="24"/>
        </w:rPr>
        <w:t xml:space="preserve">Sécuriser l’accès </w:t>
      </w:r>
      <w:r>
        <w:rPr>
          <w:rFonts w:eastAsia="Microsoft YaHei"/>
          <w:color w:val="000000"/>
          <w:sz w:val="24"/>
          <w:szCs w:val="24"/>
        </w:rPr>
        <w:t>au système</w:t>
      </w:r>
    </w:p>
    <w:p>
      <w:pPr>
        <w:pStyle w:val="ListParagraph"/>
        <w:numPr>
          <w:ilvl w:val="0"/>
          <w:numId w:val="2"/>
        </w:numPr>
        <w:spacing w:lineRule="auto" w:line="312" w:before="0" w:after="40"/>
        <w:rPr/>
      </w:pPr>
      <w:r>
        <w:rPr>
          <w:rFonts w:eastAsia="Microsoft YaHei"/>
          <w:color w:val="000000"/>
          <w:sz w:val="24"/>
          <w:szCs w:val="24"/>
        </w:rPr>
        <w:t>Satisfaire le cadre réglementaire (AI Act, RGPD)</w:t>
      </w:r>
    </w:p>
    <w:p>
      <w:pPr>
        <w:pStyle w:val="Heading2"/>
        <w:spacing w:lineRule="auto" w:line="312" w:before="240" w:after="120"/>
        <w:rPr/>
      </w:pPr>
      <w:bookmarkStart w:id="2" w:name="_Toc100002"/>
      <w:r>
        <w:rPr>
          <w:rFonts w:eastAsia="SimHei"/>
          <w:b/>
          <w:bCs/>
          <w:color w:val="0C1F1A"/>
          <w:sz w:val="28"/>
          <w:szCs w:val="28"/>
        </w:rPr>
        <w:t>1.2 Cadre réglementaire</w:t>
      </w:r>
      <w:bookmarkEnd w:id="2"/>
    </w:p>
    <w:p>
      <w:pPr>
        <w:pStyle w:val="Normal"/>
        <w:spacing w:lineRule="auto" w:line="312" w:before="0" w:after="80"/>
        <w:jc w:val="both"/>
        <w:rPr/>
      </w:pPr>
      <w:r>
        <w:rPr>
          <w:rFonts w:eastAsia="Microsoft YaHei"/>
          <w:color w:val="000000"/>
          <w:sz w:val="24"/>
          <w:szCs w:val="24"/>
        </w:rPr>
        <w:t>Le système est conçu pour répondre aux exigences de plusieurs cadres réglementaires européens et nationaux. Le tableau ci-dessous détaille les correspondances entre les textes légaux et les implémentations concrètes dans le système.</w:t>
      </w:r>
    </w:p>
    <w:tbl>
      <w:tblPr>
        <w:tblW w:w="5000" w:type="pct"/>
        <w:jc w:val="start"/>
        <w:tblInd w:w="0" w:type="dxa"/>
        <w:tblLayout w:type="fixed"/>
        <w:tblCellMar>
          <w:top w:w="60" w:type="dxa"/>
          <w:start w:w="120" w:type="dxa"/>
          <w:bottom w:w="60" w:type="dxa"/>
          <w:end w:w="120" w:type="dxa"/>
        </w:tblCellMar>
      </w:tblPr>
      <w:tblGrid>
        <w:gridCol w:w="2929"/>
        <w:gridCol w:w="2929"/>
        <w:gridCol w:w="2930"/>
      </w:tblGrid>
      <w:tr>
        <w:trPr>
          <w:tblHeader w:val="true"/>
          <w:cantSplit w:val="true"/>
        </w:trPr>
        <w:tc>
          <w:tcPr>
            <w:tcW w:w="2929" w:type="dxa"/>
            <w:tcBorders>
              <w:top w:val="single" w:sz="2" w:space="0" w:color="2A7A65"/>
              <w:bottom w:val="single" w:sz="2" w:space="0" w:color="C5D8D0"/>
            </w:tcBorders>
            <w:shd w:fill="2A7A65" w:val="clear"/>
          </w:tcPr>
          <w:p>
            <w:pPr>
              <w:pStyle w:val="Normal"/>
              <w:rPr/>
            </w:pPr>
            <w:r>
              <w:rPr>
                <w:b/>
                <w:bCs/>
                <w:color w:val="FFFFFF"/>
                <w:sz w:val="21"/>
                <w:szCs w:val="21"/>
              </w:rPr>
              <w:t>Réglementation</w:t>
            </w:r>
          </w:p>
        </w:tc>
        <w:tc>
          <w:tcPr>
            <w:tcW w:w="2929" w:type="dxa"/>
            <w:tcBorders>
              <w:top w:val="single" w:sz="2" w:space="0" w:color="2A7A65"/>
              <w:bottom w:val="single" w:sz="2" w:space="0" w:color="C5D8D0"/>
            </w:tcBorders>
            <w:shd w:fill="2A7A65" w:val="clear"/>
          </w:tcPr>
          <w:p>
            <w:pPr>
              <w:pStyle w:val="Normal"/>
              <w:rPr/>
            </w:pPr>
            <w:r>
              <w:rPr>
                <w:b/>
                <w:bCs/>
                <w:color w:val="FFFFFF"/>
                <w:sz w:val="21"/>
                <w:szCs w:val="21"/>
              </w:rPr>
              <w:t>Article</w:t>
            </w:r>
          </w:p>
        </w:tc>
        <w:tc>
          <w:tcPr>
            <w:tcW w:w="2930" w:type="dxa"/>
            <w:tcBorders>
              <w:top w:val="single" w:sz="2" w:space="0" w:color="2A7A65"/>
              <w:bottom w:val="single" w:sz="2" w:space="0" w:color="C5D8D0"/>
            </w:tcBorders>
            <w:shd w:fill="2A7A65" w:val="clear"/>
          </w:tcPr>
          <w:p>
            <w:pPr>
              <w:pStyle w:val="Normal"/>
              <w:rPr/>
            </w:pPr>
            <w:r>
              <w:rPr>
                <w:b/>
                <w:bCs/>
                <w:color w:val="FFFFFF"/>
                <w:sz w:val="21"/>
                <w:szCs w:val="21"/>
              </w:rPr>
              <w:t>Implémentation</w:t>
            </w:r>
          </w:p>
        </w:tc>
      </w:tr>
      <w:tr>
        <w:trPr>
          <w:cantSplit w:val="true"/>
        </w:trPr>
        <w:tc>
          <w:tcPr>
            <w:tcW w:w="2929" w:type="dxa"/>
            <w:tcBorders>
              <w:top w:val="single" w:sz="2" w:space="0" w:color="C5D8D0"/>
              <w:bottom w:val="single" w:sz="2" w:space="0" w:color="C5D8D0"/>
            </w:tcBorders>
            <w:shd w:fill="EDF5F2" w:val="clear"/>
          </w:tcPr>
          <w:p>
            <w:pPr>
              <w:pStyle w:val="Normal"/>
              <w:rPr/>
            </w:pPr>
            <w:r>
              <w:rPr>
                <w:color w:val="000000"/>
                <w:sz w:val="21"/>
                <w:szCs w:val="21"/>
              </w:rPr>
              <w:t>EU AI Act</w:t>
            </w:r>
          </w:p>
        </w:tc>
        <w:tc>
          <w:tcPr>
            <w:tcW w:w="2929" w:type="dxa"/>
            <w:tcBorders>
              <w:top w:val="single" w:sz="2" w:space="0" w:color="C5D8D0"/>
              <w:bottom w:val="single" w:sz="2" w:space="0" w:color="C5D8D0"/>
            </w:tcBorders>
            <w:shd w:fill="EDF5F2" w:val="clear"/>
          </w:tcPr>
          <w:p>
            <w:pPr>
              <w:pStyle w:val="Normal"/>
              <w:rPr/>
            </w:pPr>
            <w:r>
              <w:rPr>
                <w:color w:val="000000"/>
                <w:sz w:val="21"/>
                <w:szCs w:val="21"/>
              </w:rPr>
              <w:t>Art. 9 — Gestion des risques</w:t>
            </w:r>
          </w:p>
        </w:tc>
        <w:tc>
          <w:tcPr>
            <w:tcW w:w="2930" w:type="dxa"/>
            <w:tcBorders>
              <w:top w:val="single" w:sz="2" w:space="0" w:color="C5D8D0"/>
              <w:bottom w:val="single" w:sz="2" w:space="0" w:color="C5D8D0"/>
            </w:tcBorders>
            <w:shd w:fill="EDF5F2" w:val="clear"/>
          </w:tcPr>
          <w:p>
            <w:pPr>
              <w:pStyle w:val="Normal"/>
              <w:rPr/>
            </w:pPr>
            <w:r>
              <w:rPr>
                <w:color w:val="000000"/>
                <w:sz w:val="21"/>
                <w:szCs w:val="21"/>
              </w:rPr>
              <w:t>Pipeline en deux étapes (hard filter + ML) avec audit de fairness systématique</w:t>
            </w:r>
          </w:p>
        </w:tc>
      </w:tr>
      <w:tr>
        <w:trPr>
          <w:cantSplit w:val="true"/>
        </w:trPr>
        <w:tc>
          <w:tcPr>
            <w:tcW w:w="2929" w:type="dxa"/>
            <w:tcBorders>
              <w:top w:val="single" w:sz="2" w:space="0" w:color="C5D8D0"/>
              <w:bottom w:val="single" w:sz="2" w:space="0" w:color="C5D8D0"/>
            </w:tcBorders>
          </w:tcPr>
          <w:p>
            <w:pPr>
              <w:pStyle w:val="Normal"/>
              <w:rPr/>
            </w:pPr>
            <w:r>
              <w:rPr>
                <w:color w:val="000000"/>
                <w:sz w:val="21"/>
                <w:szCs w:val="21"/>
              </w:rPr>
              <w:t>EU AI Act</w:t>
            </w:r>
          </w:p>
        </w:tc>
        <w:tc>
          <w:tcPr>
            <w:tcW w:w="2929" w:type="dxa"/>
            <w:tcBorders>
              <w:top w:val="single" w:sz="2" w:space="0" w:color="C5D8D0"/>
              <w:bottom w:val="single" w:sz="2" w:space="0" w:color="C5D8D0"/>
            </w:tcBorders>
          </w:tcPr>
          <w:p>
            <w:pPr>
              <w:pStyle w:val="Normal"/>
              <w:rPr/>
            </w:pPr>
            <w:r>
              <w:rPr>
                <w:color w:val="000000"/>
                <w:sz w:val="21"/>
                <w:szCs w:val="21"/>
              </w:rPr>
              <w:t>Art. 10 — Gouvernance des données</w:t>
            </w:r>
          </w:p>
        </w:tc>
        <w:tc>
          <w:tcPr>
            <w:tcW w:w="2930" w:type="dxa"/>
            <w:tcBorders>
              <w:top w:val="single" w:sz="2" w:space="0" w:color="C5D8D0"/>
              <w:bottom w:val="single" w:sz="2" w:space="0" w:color="C5D8D0"/>
            </w:tcBorders>
          </w:tcPr>
          <w:p>
            <w:pPr>
              <w:pStyle w:val="Normal"/>
              <w:rPr/>
            </w:pPr>
            <w:r>
              <w:rPr>
                <w:color w:val="000000"/>
                <w:sz w:val="21"/>
                <w:szCs w:val="21"/>
              </w:rPr>
              <w:t>Données synthétiques balisées, exclusion des attributs protégés du modèle</w:t>
            </w:r>
          </w:p>
        </w:tc>
      </w:tr>
      <w:tr>
        <w:trPr>
          <w:cantSplit w:val="true"/>
        </w:trPr>
        <w:tc>
          <w:tcPr>
            <w:tcW w:w="2929" w:type="dxa"/>
            <w:tcBorders>
              <w:top w:val="single" w:sz="2" w:space="0" w:color="C5D8D0"/>
              <w:bottom w:val="single" w:sz="2" w:space="0" w:color="C5D8D0"/>
            </w:tcBorders>
            <w:shd w:fill="EDF5F2" w:val="clear"/>
          </w:tcPr>
          <w:p>
            <w:pPr>
              <w:pStyle w:val="Normal"/>
              <w:rPr/>
            </w:pPr>
            <w:r>
              <w:rPr>
                <w:color w:val="000000"/>
                <w:sz w:val="21"/>
                <w:szCs w:val="21"/>
              </w:rPr>
              <w:t>EU AI Act</w:t>
            </w:r>
          </w:p>
        </w:tc>
        <w:tc>
          <w:tcPr>
            <w:tcW w:w="2929" w:type="dxa"/>
            <w:tcBorders>
              <w:top w:val="single" w:sz="2" w:space="0" w:color="C5D8D0"/>
              <w:bottom w:val="single" w:sz="2" w:space="0" w:color="C5D8D0"/>
            </w:tcBorders>
            <w:shd w:fill="EDF5F2" w:val="clear"/>
          </w:tcPr>
          <w:p>
            <w:pPr>
              <w:pStyle w:val="Normal"/>
              <w:rPr/>
            </w:pPr>
            <w:r>
              <w:rPr>
                <w:color w:val="000000"/>
                <w:sz w:val="21"/>
                <w:szCs w:val="21"/>
              </w:rPr>
              <w:t>Art. 12 — Traçabilité</w:t>
            </w:r>
          </w:p>
        </w:tc>
        <w:tc>
          <w:tcPr>
            <w:tcW w:w="2930" w:type="dxa"/>
            <w:tcBorders>
              <w:top w:val="single" w:sz="2" w:space="0" w:color="C5D8D0"/>
              <w:bottom w:val="single" w:sz="2" w:space="0" w:color="C5D8D0"/>
            </w:tcBorders>
            <w:shd w:fill="EDF5F2" w:val="clear"/>
          </w:tcPr>
          <w:p>
            <w:pPr>
              <w:pStyle w:val="Normal"/>
              <w:rPr/>
            </w:pPr>
            <w:r>
              <w:rPr>
                <w:color w:val="000000"/>
                <w:sz w:val="21"/>
                <w:szCs w:val="21"/>
              </w:rPr>
              <w:t>Journal CSV + persistance Supabase avec horodatage de chaque décision</w:t>
            </w:r>
          </w:p>
        </w:tc>
      </w:tr>
      <w:tr>
        <w:trPr>
          <w:cantSplit w:val="true"/>
        </w:trPr>
        <w:tc>
          <w:tcPr>
            <w:tcW w:w="2929" w:type="dxa"/>
            <w:tcBorders>
              <w:top w:val="single" w:sz="2" w:space="0" w:color="C5D8D0"/>
              <w:bottom w:val="single" w:sz="2" w:space="0" w:color="C5D8D0"/>
            </w:tcBorders>
          </w:tcPr>
          <w:p>
            <w:pPr>
              <w:pStyle w:val="Normal"/>
              <w:rPr/>
            </w:pPr>
            <w:r>
              <w:rPr>
                <w:color w:val="000000"/>
                <w:sz w:val="21"/>
                <w:szCs w:val="21"/>
              </w:rPr>
              <w:t>EU AI Act</w:t>
            </w:r>
          </w:p>
        </w:tc>
        <w:tc>
          <w:tcPr>
            <w:tcW w:w="2929" w:type="dxa"/>
            <w:tcBorders>
              <w:top w:val="single" w:sz="2" w:space="0" w:color="C5D8D0"/>
              <w:bottom w:val="single" w:sz="2" w:space="0" w:color="C5D8D0"/>
            </w:tcBorders>
          </w:tcPr>
          <w:p>
            <w:pPr>
              <w:pStyle w:val="Normal"/>
              <w:rPr/>
            </w:pPr>
            <w:r>
              <w:rPr>
                <w:color w:val="000000"/>
                <w:sz w:val="21"/>
                <w:szCs w:val="21"/>
              </w:rPr>
              <w:t>Art. 13 — Transparence</w:t>
            </w:r>
          </w:p>
        </w:tc>
        <w:tc>
          <w:tcPr>
            <w:tcW w:w="2930" w:type="dxa"/>
            <w:tcBorders>
              <w:top w:val="single" w:sz="2" w:space="0" w:color="C5D8D0"/>
              <w:bottom w:val="single" w:sz="2" w:space="0" w:color="C5D8D0"/>
            </w:tcBorders>
          </w:tcPr>
          <w:p>
            <w:pPr>
              <w:pStyle w:val="Normal"/>
              <w:rPr/>
            </w:pPr>
            <w:r>
              <w:rPr>
                <w:color w:val="000000"/>
                <w:sz w:val="21"/>
                <w:szCs w:val="21"/>
              </w:rPr>
              <w:t>Explicabilité SHAP, affichage des facteurs décisionnels dans l’interface</w:t>
            </w:r>
          </w:p>
        </w:tc>
      </w:tr>
      <w:tr>
        <w:trPr>
          <w:cantSplit w:val="true"/>
        </w:trPr>
        <w:tc>
          <w:tcPr>
            <w:tcW w:w="2929" w:type="dxa"/>
            <w:tcBorders>
              <w:top w:val="single" w:sz="2" w:space="0" w:color="C5D8D0"/>
              <w:bottom w:val="single" w:sz="2" w:space="0" w:color="C5D8D0"/>
            </w:tcBorders>
            <w:shd w:fill="EDF5F2" w:val="clear"/>
          </w:tcPr>
          <w:p>
            <w:pPr>
              <w:pStyle w:val="Normal"/>
              <w:rPr/>
            </w:pPr>
            <w:r>
              <w:rPr>
                <w:color w:val="000000"/>
                <w:sz w:val="21"/>
                <w:szCs w:val="21"/>
              </w:rPr>
              <w:t>EU AI Act</w:t>
            </w:r>
          </w:p>
        </w:tc>
        <w:tc>
          <w:tcPr>
            <w:tcW w:w="2929" w:type="dxa"/>
            <w:tcBorders>
              <w:top w:val="single" w:sz="2" w:space="0" w:color="C5D8D0"/>
              <w:bottom w:val="single" w:sz="2" w:space="0" w:color="C5D8D0"/>
            </w:tcBorders>
            <w:shd w:fill="EDF5F2" w:val="clear"/>
          </w:tcPr>
          <w:p>
            <w:pPr>
              <w:pStyle w:val="Normal"/>
              <w:rPr/>
            </w:pPr>
            <w:r>
              <w:rPr>
                <w:color w:val="000000"/>
                <w:sz w:val="21"/>
                <w:szCs w:val="21"/>
              </w:rPr>
              <w:t>Art. 43 — Surveillance humaine</w:t>
            </w:r>
          </w:p>
        </w:tc>
        <w:tc>
          <w:tcPr>
            <w:tcW w:w="2930" w:type="dxa"/>
            <w:tcBorders>
              <w:top w:val="single" w:sz="2" w:space="0" w:color="C5D8D0"/>
              <w:bottom w:val="single" w:sz="2" w:space="0" w:color="C5D8D0"/>
            </w:tcBorders>
            <w:shd w:fill="EDF5F2" w:val="clear"/>
          </w:tcPr>
          <w:p>
            <w:pPr>
              <w:pStyle w:val="Normal"/>
              <w:rPr/>
            </w:pPr>
            <w:r>
              <w:rPr>
                <w:color w:val="000000"/>
                <w:sz w:val="21"/>
                <w:szCs w:val="21"/>
              </w:rPr>
              <w:t>Indicateur de confiance, visualisation des métriques de fairness, décisions présentées comme recommandations</w:t>
            </w:r>
          </w:p>
        </w:tc>
      </w:tr>
      <w:tr>
        <w:trPr>
          <w:cantSplit w:val="true"/>
        </w:trPr>
        <w:tc>
          <w:tcPr>
            <w:tcW w:w="2929" w:type="dxa"/>
            <w:tcBorders>
              <w:top w:val="single" w:sz="2" w:space="0" w:color="C5D8D0"/>
              <w:bottom w:val="single" w:sz="2" w:space="0" w:color="C5D8D0"/>
            </w:tcBorders>
          </w:tcPr>
          <w:p>
            <w:pPr>
              <w:pStyle w:val="Normal"/>
              <w:rPr/>
            </w:pPr>
            <w:r>
              <w:rPr>
                <w:color w:val="000000"/>
                <w:sz w:val="21"/>
                <w:szCs w:val="21"/>
              </w:rPr>
              <w:t>RGPD</w:t>
            </w:r>
          </w:p>
        </w:tc>
        <w:tc>
          <w:tcPr>
            <w:tcW w:w="2929" w:type="dxa"/>
            <w:tcBorders>
              <w:top w:val="single" w:sz="2" w:space="0" w:color="C5D8D0"/>
              <w:bottom w:val="single" w:sz="2" w:space="0" w:color="C5D8D0"/>
            </w:tcBorders>
          </w:tcPr>
          <w:p>
            <w:pPr>
              <w:pStyle w:val="Normal"/>
              <w:rPr/>
            </w:pPr>
            <w:r>
              <w:rPr>
                <w:color w:val="000000"/>
                <w:sz w:val="21"/>
                <w:szCs w:val="21"/>
              </w:rPr>
              <w:t>Art. 9 — Données sensibles</w:t>
            </w:r>
          </w:p>
        </w:tc>
        <w:tc>
          <w:tcPr>
            <w:tcW w:w="2930" w:type="dxa"/>
            <w:tcBorders>
              <w:top w:val="single" w:sz="2" w:space="0" w:color="C5D8D0"/>
              <w:bottom w:val="single" w:sz="2" w:space="0" w:color="C5D8D0"/>
            </w:tcBorders>
          </w:tcPr>
          <w:p>
            <w:pPr>
              <w:pStyle w:val="Normal"/>
              <w:rPr/>
            </w:pPr>
            <w:r>
              <w:rPr>
                <w:color w:val="000000"/>
                <w:sz w:val="21"/>
                <w:szCs w:val="21"/>
              </w:rPr>
              <w:t>Genre et âge exclus du modèle ML, conservés uniquement pour l’audit</w:t>
            </w:r>
          </w:p>
        </w:tc>
      </w:tr>
      <w:tr>
        <w:trPr>
          <w:cantSplit w:val="true"/>
        </w:trPr>
        <w:tc>
          <w:tcPr>
            <w:tcW w:w="2929" w:type="dxa"/>
            <w:tcBorders>
              <w:top w:val="single" w:sz="2" w:space="0" w:color="C5D8D0"/>
              <w:bottom w:val="single" w:sz="2" w:space="0" w:color="C5D8D0"/>
            </w:tcBorders>
            <w:shd w:fill="EDF5F2" w:val="clear"/>
          </w:tcPr>
          <w:p>
            <w:pPr>
              <w:pStyle w:val="Normal"/>
              <w:rPr/>
            </w:pPr>
            <w:r>
              <w:rPr>
                <w:color w:val="000000"/>
                <w:sz w:val="21"/>
                <w:szCs w:val="21"/>
              </w:rPr>
              <w:t>Directive 2006/54/CE</w:t>
            </w:r>
          </w:p>
        </w:tc>
        <w:tc>
          <w:tcPr>
            <w:tcW w:w="2929" w:type="dxa"/>
            <w:tcBorders>
              <w:top w:val="single" w:sz="2" w:space="0" w:color="C5D8D0"/>
              <w:bottom w:val="single" w:sz="2" w:space="0" w:color="C5D8D0"/>
            </w:tcBorders>
            <w:shd w:fill="EDF5F2" w:val="clear"/>
          </w:tcPr>
          <w:p>
            <w:pPr>
              <w:pStyle w:val="Normal"/>
              <w:rPr/>
            </w:pPr>
            <w:r>
              <w:rPr>
                <w:color w:val="000000"/>
                <w:sz w:val="21"/>
                <w:szCs w:val="21"/>
              </w:rPr>
              <w:t>Art. 2 — Discrimination indirecte</w:t>
            </w:r>
          </w:p>
        </w:tc>
        <w:tc>
          <w:tcPr>
            <w:tcW w:w="2930" w:type="dxa"/>
            <w:tcBorders>
              <w:top w:val="single" w:sz="2" w:space="0" w:color="C5D8D0"/>
              <w:bottom w:val="single" w:sz="2" w:space="0" w:color="C5D8D0"/>
            </w:tcBorders>
            <w:shd w:fill="EDF5F2" w:val="clear"/>
          </w:tcPr>
          <w:p>
            <w:pPr>
              <w:pStyle w:val="Normal"/>
              <w:rPr/>
            </w:pPr>
            <w:r>
              <w:rPr>
                <w:color w:val="000000"/>
                <w:sz w:val="21"/>
                <w:szCs w:val="21"/>
              </w:rPr>
              <w:t>Mesure du RID (Disparate Impact Ratio) avec seuils d’alerte définis</w:t>
            </w:r>
          </w:p>
        </w:tc>
      </w:tr>
      <w:tr>
        <w:trPr>
          <w:cantSplit w:val="true"/>
        </w:trPr>
        <w:tc>
          <w:tcPr>
            <w:tcW w:w="2929" w:type="dxa"/>
            <w:tcBorders>
              <w:top w:val="single" w:sz="2" w:space="0" w:color="C5D8D0"/>
              <w:bottom w:val="single" w:sz="2" w:space="0" w:color="C5D8D0"/>
            </w:tcBorders>
          </w:tcPr>
          <w:p>
            <w:pPr>
              <w:pStyle w:val="Normal"/>
              <w:rPr/>
            </w:pPr>
            <w:r>
              <w:rPr>
                <w:color w:val="000000"/>
                <w:sz w:val="21"/>
                <w:szCs w:val="21"/>
              </w:rPr>
              <w:t>Directive 2000/78/CE</w:t>
            </w:r>
          </w:p>
        </w:tc>
        <w:tc>
          <w:tcPr>
            <w:tcW w:w="2929" w:type="dxa"/>
            <w:tcBorders>
              <w:top w:val="single" w:sz="2" w:space="0" w:color="C5D8D0"/>
              <w:bottom w:val="single" w:sz="2" w:space="0" w:color="C5D8D0"/>
            </w:tcBorders>
          </w:tcPr>
          <w:p>
            <w:pPr>
              <w:pStyle w:val="Normal"/>
              <w:rPr/>
            </w:pPr>
            <w:r>
              <w:rPr>
                <w:color w:val="000000"/>
                <w:sz w:val="21"/>
                <w:szCs w:val="21"/>
              </w:rPr>
              <w:t>Biais lié à l’âge</w:t>
            </w:r>
          </w:p>
        </w:tc>
        <w:tc>
          <w:tcPr>
            <w:tcW w:w="2930" w:type="dxa"/>
            <w:tcBorders>
              <w:top w:val="single" w:sz="2" w:space="0" w:color="C5D8D0"/>
              <w:bottom w:val="single" w:sz="2" w:space="0" w:color="C5D8D0"/>
            </w:tcBorders>
          </w:tcPr>
          <w:p>
            <w:pPr>
              <w:pStyle w:val="Normal"/>
              <w:rPr/>
            </w:pPr>
            <w:r>
              <w:rPr>
                <w:color w:val="000000"/>
                <w:sz w:val="21"/>
                <w:szCs w:val="21"/>
              </w:rPr>
              <w:t>Calcul de métriques de fairness par tranche d’âge dans le module d’audit</w:t>
            </w:r>
          </w:p>
        </w:tc>
      </w:tr>
      <w:tr>
        <w:trPr>
          <w:cantSplit w:val="true"/>
        </w:trPr>
        <w:tc>
          <w:tcPr>
            <w:tcW w:w="2929" w:type="dxa"/>
            <w:tcBorders>
              <w:top w:val="single" w:sz="2" w:space="0" w:color="C5D8D0"/>
              <w:bottom w:val="single" w:sz="2" w:space="0" w:color="2A7A65"/>
            </w:tcBorders>
            <w:shd w:fill="EDF5F2" w:val="clear"/>
          </w:tcPr>
          <w:p>
            <w:pPr>
              <w:pStyle w:val="Normal"/>
              <w:rPr/>
            </w:pPr>
            <w:r>
              <w:rPr>
                <w:color w:val="000000"/>
                <w:sz w:val="21"/>
                <w:szCs w:val="21"/>
              </w:rPr>
              <w:t>Loi belge 10/05/2007</w:t>
            </w:r>
          </w:p>
        </w:tc>
        <w:tc>
          <w:tcPr>
            <w:tcW w:w="2929" w:type="dxa"/>
            <w:tcBorders>
              <w:top w:val="single" w:sz="2" w:space="0" w:color="C5D8D0"/>
              <w:bottom w:val="single" w:sz="2" w:space="0" w:color="2A7A65"/>
            </w:tcBorders>
            <w:shd w:fill="EDF5F2" w:val="clear"/>
          </w:tcPr>
          <w:p>
            <w:pPr>
              <w:pStyle w:val="Normal"/>
              <w:rPr/>
            </w:pPr>
            <w:r>
              <w:rPr>
                <w:color w:val="000000"/>
                <w:sz w:val="21"/>
                <w:szCs w:val="21"/>
              </w:rPr>
              <w:t>Arts. 3-4</w:t>
            </w:r>
          </w:p>
        </w:tc>
        <w:tc>
          <w:tcPr>
            <w:tcW w:w="2930" w:type="dxa"/>
            <w:tcBorders>
              <w:top w:val="single" w:sz="2" w:space="0" w:color="C5D8D0"/>
              <w:bottom w:val="single" w:sz="2" w:space="0" w:color="2A7A65"/>
            </w:tcBorders>
            <w:shd w:fill="EDF5F2" w:val="clear"/>
          </w:tcPr>
          <w:p>
            <w:pPr>
              <w:pStyle w:val="Normal"/>
              <w:rPr/>
            </w:pPr>
            <w:r>
              <w:rPr>
                <w:color w:val="000000"/>
                <w:sz w:val="21"/>
                <w:szCs w:val="21"/>
              </w:rPr>
              <w:t>Surveillance des discriminations âge et genre dans le recrutement</w:t>
            </w:r>
          </w:p>
        </w:tc>
      </w:tr>
    </w:tbl>
    <w:p>
      <w:pPr>
        <w:pStyle w:val="Heading2"/>
        <w:spacing w:lineRule="auto" w:line="312" w:before="240" w:after="120"/>
        <w:rPr/>
      </w:pPr>
      <w:bookmarkStart w:id="3" w:name="_Toc100003"/>
      <w:r>
        <w:rPr>
          <w:rFonts w:eastAsia="SimHei"/>
          <w:b/>
          <w:bCs/>
          <w:color w:val="0C1F1A"/>
          <w:sz w:val="28"/>
          <w:szCs w:val="28"/>
        </w:rPr>
        <w:t>1.3 Principes éthiques AI4People</w:t>
      </w:r>
      <w:bookmarkEnd w:id="3"/>
    </w:p>
    <w:p>
      <w:pPr>
        <w:pStyle w:val="Normal"/>
        <w:spacing w:lineRule="auto" w:line="312" w:before="0" w:after="80"/>
        <w:jc w:val="both"/>
        <w:rPr/>
      </w:pPr>
      <w:r>
        <w:rPr>
          <w:rFonts w:eastAsia="Microsoft YaHei"/>
          <w:color w:val="000000"/>
          <w:sz w:val="24"/>
          <w:szCs w:val="24"/>
        </w:rPr>
        <w:t>Le système adhère aux cinq principes éthiques du framework AI4People, qui fournit un cadre de référence pour le développement responsable de l’intelligence artificielle. Chaque principe est concrètement implémenté dans le système.</w:t>
      </w:r>
    </w:p>
    <w:tbl>
      <w:tblPr>
        <w:tblW w:w="5000" w:type="pct"/>
        <w:jc w:val="start"/>
        <w:tblInd w:w="0" w:type="dxa"/>
        <w:tblLayout w:type="fixed"/>
        <w:tblCellMar>
          <w:top w:w="60" w:type="dxa"/>
          <w:start w:w="120" w:type="dxa"/>
          <w:bottom w:w="60" w:type="dxa"/>
          <w:end w:w="120" w:type="dxa"/>
        </w:tblCellMar>
      </w:tblPr>
      <w:tblGrid>
        <w:gridCol w:w="4393"/>
        <w:gridCol w:w="4395"/>
      </w:tblGrid>
      <w:tr>
        <w:trPr>
          <w:tblHeader w:val="true"/>
          <w:cantSplit w:val="true"/>
        </w:trPr>
        <w:tc>
          <w:tcPr>
            <w:tcW w:w="4393" w:type="dxa"/>
            <w:tcBorders>
              <w:top w:val="single" w:sz="2" w:space="0" w:color="2A7A65"/>
              <w:bottom w:val="single" w:sz="2" w:space="0" w:color="C5D8D0"/>
            </w:tcBorders>
            <w:shd w:fill="2A7A65" w:val="clear"/>
          </w:tcPr>
          <w:p>
            <w:pPr>
              <w:pStyle w:val="Normal"/>
              <w:rPr/>
            </w:pPr>
            <w:r>
              <w:rPr>
                <w:b/>
                <w:bCs/>
                <w:color w:val="FFFFFF"/>
                <w:sz w:val="21"/>
                <w:szCs w:val="21"/>
              </w:rPr>
              <w:t>Principe</w:t>
            </w:r>
          </w:p>
        </w:tc>
        <w:tc>
          <w:tcPr>
            <w:tcW w:w="4395" w:type="dxa"/>
            <w:tcBorders>
              <w:top w:val="single" w:sz="2" w:space="0" w:color="2A7A65"/>
              <w:bottom w:val="single" w:sz="2" w:space="0" w:color="C5D8D0"/>
            </w:tcBorders>
            <w:shd w:fill="2A7A65" w:val="clear"/>
          </w:tcPr>
          <w:p>
            <w:pPr>
              <w:pStyle w:val="Normal"/>
              <w:rPr/>
            </w:pPr>
            <w:r>
              <w:rPr>
                <w:b/>
                <w:bCs/>
                <w:color w:val="FFFFFF"/>
                <w:sz w:val="21"/>
                <w:szCs w:val="21"/>
              </w:rPr>
              <w:t>Implémentation</w:t>
            </w:r>
          </w:p>
        </w:tc>
      </w:tr>
      <w:tr>
        <w:trPr>
          <w:cantSplit w:val="true"/>
        </w:trPr>
        <w:tc>
          <w:tcPr>
            <w:tcW w:w="4393" w:type="dxa"/>
            <w:tcBorders>
              <w:top w:val="single" w:sz="2" w:space="0" w:color="C5D8D0"/>
              <w:bottom w:val="single" w:sz="2" w:space="0" w:color="C5D8D0"/>
            </w:tcBorders>
            <w:shd w:fill="EDF5F2" w:val="clear"/>
          </w:tcPr>
          <w:p>
            <w:pPr>
              <w:pStyle w:val="Normal"/>
              <w:rPr/>
            </w:pPr>
            <w:r>
              <w:rPr>
                <w:color w:val="000000"/>
                <w:sz w:val="21"/>
                <w:szCs w:val="21"/>
              </w:rPr>
              <w:t>Bienfaisance</w:t>
            </w:r>
          </w:p>
        </w:tc>
        <w:tc>
          <w:tcPr>
            <w:tcW w:w="4395" w:type="dxa"/>
            <w:tcBorders>
              <w:top w:val="single" w:sz="2" w:space="0" w:color="C5D8D0"/>
              <w:bottom w:val="single" w:sz="2" w:space="0" w:color="C5D8D0"/>
            </w:tcBorders>
            <w:shd w:fill="EDF5F2" w:val="clear"/>
          </w:tcPr>
          <w:p>
            <w:pPr>
              <w:pStyle w:val="Normal"/>
              <w:rPr/>
            </w:pPr>
            <w:r>
              <w:rPr>
                <w:color w:val="000000"/>
                <w:sz w:val="21"/>
                <w:szCs w:val="21"/>
              </w:rPr>
              <w:t>Automatisation de la pré-sélection pour réduire la charge de travail des recruteurs tout en améliorant la cohérence</w:t>
            </w:r>
          </w:p>
        </w:tc>
      </w:tr>
      <w:tr>
        <w:trPr>
          <w:cantSplit w:val="true"/>
        </w:trPr>
        <w:tc>
          <w:tcPr>
            <w:tcW w:w="4393" w:type="dxa"/>
            <w:tcBorders>
              <w:top w:val="single" w:sz="2" w:space="0" w:color="C5D8D0"/>
              <w:bottom w:val="single" w:sz="2" w:space="0" w:color="C5D8D0"/>
            </w:tcBorders>
          </w:tcPr>
          <w:p>
            <w:pPr>
              <w:pStyle w:val="Normal"/>
              <w:rPr/>
            </w:pPr>
            <w:r>
              <w:rPr>
                <w:color w:val="000000"/>
                <w:sz w:val="21"/>
                <w:szCs w:val="21"/>
              </w:rPr>
              <w:t>Non-malfaisance</w:t>
            </w:r>
          </w:p>
        </w:tc>
        <w:tc>
          <w:tcPr>
            <w:tcW w:w="4395" w:type="dxa"/>
            <w:tcBorders>
              <w:top w:val="single" w:sz="2" w:space="0" w:color="C5D8D0"/>
              <w:bottom w:val="single" w:sz="2" w:space="0" w:color="C5D8D0"/>
            </w:tcBorders>
          </w:tcPr>
          <w:p>
            <w:pPr>
              <w:pStyle w:val="Normal"/>
              <w:rPr/>
            </w:pPr>
            <w:r>
              <w:rPr>
                <w:color w:val="000000"/>
                <w:sz w:val="21"/>
                <w:szCs w:val="21"/>
              </w:rPr>
              <w:t>Exclusion des attributs protégés (genre, âge) du modèle ML, analyse de proxies, audit de fairness systématique</w:t>
            </w:r>
          </w:p>
        </w:tc>
      </w:tr>
      <w:tr>
        <w:trPr>
          <w:cantSplit w:val="true"/>
        </w:trPr>
        <w:tc>
          <w:tcPr>
            <w:tcW w:w="4393" w:type="dxa"/>
            <w:tcBorders>
              <w:top w:val="single" w:sz="2" w:space="0" w:color="C5D8D0"/>
              <w:bottom w:val="single" w:sz="2" w:space="0" w:color="C5D8D0"/>
            </w:tcBorders>
            <w:shd w:fill="EDF5F2" w:val="clear"/>
          </w:tcPr>
          <w:p>
            <w:pPr>
              <w:pStyle w:val="Normal"/>
              <w:rPr/>
            </w:pPr>
            <w:r>
              <w:rPr>
                <w:color w:val="000000"/>
                <w:sz w:val="21"/>
                <w:szCs w:val="21"/>
              </w:rPr>
              <w:t>Autonomie</w:t>
            </w:r>
          </w:p>
        </w:tc>
        <w:tc>
          <w:tcPr>
            <w:tcW w:w="4395" w:type="dxa"/>
            <w:tcBorders>
              <w:top w:val="single" w:sz="2" w:space="0" w:color="C5D8D0"/>
              <w:bottom w:val="single" w:sz="2" w:space="0" w:color="C5D8D0"/>
            </w:tcBorders>
            <w:shd w:fill="EDF5F2" w:val="clear"/>
          </w:tcPr>
          <w:p>
            <w:pPr>
              <w:pStyle w:val="Normal"/>
              <w:rPr/>
            </w:pPr>
            <w:r>
              <w:rPr>
                <w:color w:val="000000"/>
                <w:sz w:val="21"/>
                <w:szCs w:val="21"/>
              </w:rPr>
              <w:t>Décisions toujours présentées comme des recommandations, avec explicabilité SHAP permettant au recruteur de comprendre et de contester</w:t>
            </w:r>
          </w:p>
        </w:tc>
      </w:tr>
      <w:tr>
        <w:trPr>
          <w:cantSplit w:val="true"/>
        </w:trPr>
        <w:tc>
          <w:tcPr>
            <w:tcW w:w="4393" w:type="dxa"/>
            <w:tcBorders>
              <w:top w:val="single" w:sz="2" w:space="0" w:color="C5D8D0"/>
              <w:bottom w:val="single" w:sz="2" w:space="0" w:color="C5D8D0"/>
            </w:tcBorders>
          </w:tcPr>
          <w:p>
            <w:pPr>
              <w:pStyle w:val="Normal"/>
              <w:rPr/>
            </w:pPr>
            <w:r>
              <w:rPr>
                <w:color w:val="000000"/>
                <w:sz w:val="21"/>
                <w:szCs w:val="21"/>
              </w:rPr>
              <w:t>Justice</w:t>
            </w:r>
          </w:p>
        </w:tc>
        <w:tc>
          <w:tcPr>
            <w:tcW w:w="4395" w:type="dxa"/>
            <w:tcBorders>
              <w:top w:val="single" w:sz="2" w:space="0" w:color="C5D8D0"/>
              <w:bottom w:val="single" w:sz="2" w:space="0" w:color="C5D8D0"/>
            </w:tcBorders>
          </w:tcPr>
          <w:p>
            <w:pPr>
              <w:pStyle w:val="Normal"/>
              <w:rPr/>
            </w:pPr>
            <w:r>
              <w:rPr>
                <w:color w:val="000000"/>
                <w:sz w:val="21"/>
                <w:szCs w:val="21"/>
              </w:rPr>
              <w:t>Métriques EPD, RID et Delta-TPR calculées par genre, avec seuils d’alerte définis</w:t>
            </w:r>
          </w:p>
        </w:tc>
      </w:tr>
      <w:tr>
        <w:trPr>
          <w:cantSplit w:val="true"/>
        </w:trPr>
        <w:tc>
          <w:tcPr>
            <w:tcW w:w="4393" w:type="dxa"/>
            <w:tcBorders>
              <w:top w:val="single" w:sz="2" w:space="0" w:color="C5D8D0"/>
              <w:bottom w:val="single" w:sz="2" w:space="0" w:color="2A7A65"/>
            </w:tcBorders>
            <w:shd w:fill="EDF5F2" w:val="clear"/>
          </w:tcPr>
          <w:p>
            <w:pPr>
              <w:pStyle w:val="Normal"/>
              <w:rPr/>
            </w:pPr>
            <w:r>
              <w:rPr>
                <w:color w:val="000000"/>
                <w:sz w:val="21"/>
                <w:szCs w:val="21"/>
              </w:rPr>
              <w:t>Explicabilité</w:t>
            </w:r>
          </w:p>
        </w:tc>
        <w:tc>
          <w:tcPr>
            <w:tcW w:w="4395" w:type="dxa"/>
            <w:tcBorders>
              <w:top w:val="single" w:sz="2" w:space="0" w:color="C5D8D0"/>
              <w:bottom w:val="single" w:sz="2" w:space="0" w:color="2A7A65"/>
            </w:tcBorders>
            <w:shd w:fill="EDF5F2" w:val="clear"/>
          </w:tcPr>
          <w:p>
            <w:pPr>
              <w:pStyle w:val="Normal"/>
              <w:rPr/>
            </w:pPr>
            <w:r>
              <w:rPr>
                <w:color w:val="000000"/>
                <w:sz w:val="21"/>
                <w:szCs w:val="21"/>
              </w:rPr>
              <w:t>SHAP LinearExplainer fournissant la contribution de chaque feature, waterfall chart et résumé textuel des drivers de décision</w:t>
            </w:r>
          </w:p>
        </w:tc>
      </w:tr>
    </w:tbl>
    <w:p>
      <w:pPr>
        <w:pStyle w:val="Heading1"/>
        <w:spacing w:lineRule="auto" w:line="312" w:before="360" w:after="160"/>
        <w:rPr/>
      </w:pPr>
      <w:bookmarkStart w:id="4" w:name="_Toc100004"/>
      <w:r>
        <w:rPr>
          <w:rFonts w:eastAsia="SimHei"/>
          <w:b/>
          <w:bCs/>
          <w:color w:val="0C1F1A"/>
          <w:sz w:val="32"/>
          <w:szCs w:val="32"/>
        </w:rPr>
        <w:t>2. Architecture globale</w:t>
      </w:r>
      <w:bookmarkEnd w:id="4"/>
    </w:p>
    <w:p>
      <w:pPr>
        <w:pStyle w:val="Heading2"/>
        <w:spacing w:lineRule="auto" w:line="312" w:before="240" w:after="120"/>
        <w:rPr/>
      </w:pPr>
      <w:bookmarkStart w:id="5" w:name="_Toc100005"/>
      <w:r>
        <w:rPr>
          <w:rFonts w:eastAsia="SimHei"/>
          <w:b/>
          <w:bCs/>
          <w:color w:val="0C1F1A"/>
          <w:sz w:val="28"/>
          <w:szCs w:val="28"/>
        </w:rPr>
        <w:t>2.1 Services et infrastructure</w:t>
      </w:r>
      <w:bookmarkEnd w:id="5"/>
    </w:p>
    <w:p>
      <w:pPr>
        <w:pStyle w:val="Normal"/>
        <w:spacing w:lineRule="auto" w:line="312" w:before="0" w:after="80"/>
        <w:jc w:val="both"/>
        <w:rPr/>
      </w:pPr>
      <w:r>
        <w:rPr>
          <w:rFonts w:eastAsia="Microsoft YaHei"/>
          <w:color w:val="000000"/>
          <w:sz w:val="24"/>
          <w:szCs w:val="24"/>
        </w:rPr>
        <w:t>Le système repose sur une architecture trois tiers composée d’une API Flask, d’un frontend Next.js et d’une base de données Supabase PostgreSQL. L’API Flask (Python, Gunicorn) expose les endpoints de prédiction et d’audit sur le port 8000. Le frontend Next.js (React, TypeScript) offre une interface utilisateur sur le port 8080. La base de données Supabase PostgreSQL hébergée dans le cloud assure la persistance des analyses et des configurations.</w:t>
      </w:r>
    </w:p>
    <w:tbl>
      <w:tblPr>
        <w:tblW w:w="5000" w:type="pct"/>
        <w:jc w:val="start"/>
        <w:tblInd w:w="0" w:type="dxa"/>
        <w:tblLayout w:type="fixed"/>
        <w:tblCellMar>
          <w:top w:w="60" w:type="dxa"/>
          <w:start w:w="120" w:type="dxa"/>
          <w:bottom w:w="60" w:type="dxa"/>
          <w:end w:w="120" w:type="dxa"/>
        </w:tblCellMar>
      </w:tblPr>
      <w:tblGrid>
        <w:gridCol w:w="1756"/>
        <w:gridCol w:w="1759"/>
        <w:gridCol w:w="1756"/>
        <w:gridCol w:w="1759"/>
        <w:gridCol w:w="1758"/>
      </w:tblGrid>
      <w:tr>
        <w:trPr>
          <w:tblHeader w:val="true"/>
          <w:cantSplit w:val="true"/>
        </w:trPr>
        <w:tc>
          <w:tcPr>
            <w:tcW w:w="1756" w:type="dxa"/>
            <w:tcBorders>
              <w:top w:val="single" w:sz="2" w:space="0" w:color="2A7A65"/>
              <w:bottom w:val="single" w:sz="2" w:space="0" w:color="C5D8D0"/>
            </w:tcBorders>
            <w:shd w:fill="2A7A65" w:val="clear"/>
          </w:tcPr>
          <w:p>
            <w:pPr>
              <w:pStyle w:val="Normal"/>
              <w:rPr/>
            </w:pPr>
            <w:r>
              <w:rPr>
                <w:b/>
                <w:bCs/>
                <w:color w:val="FFFFFF"/>
                <w:sz w:val="21"/>
                <w:szCs w:val="21"/>
              </w:rPr>
              <w:t>Service</w:t>
            </w:r>
          </w:p>
        </w:tc>
        <w:tc>
          <w:tcPr>
            <w:tcW w:w="1759" w:type="dxa"/>
            <w:tcBorders>
              <w:top w:val="single" w:sz="2" w:space="0" w:color="2A7A65"/>
              <w:bottom w:val="single" w:sz="2" w:space="0" w:color="C5D8D0"/>
            </w:tcBorders>
            <w:shd w:fill="2A7A65" w:val="clear"/>
          </w:tcPr>
          <w:p>
            <w:pPr>
              <w:pStyle w:val="Normal"/>
              <w:rPr/>
            </w:pPr>
            <w:r>
              <w:rPr>
                <w:b/>
                <w:bCs/>
                <w:color w:val="FFFFFF"/>
                <w:sz w:val="21"/>
                <w:szCs w:val="21"/>
              </w:rPr>
              <w:t>Technologie</w:t>
            </w:r>
          </w:p>
        </w:tc>
        <w:tc>
          <w:tcPr>
            <w:tcW w:w="1756" w:type="dxa"/>
            <w:tcBorders>
              <w:top w:val="single" w:sz="2" w:space="0" w:color="2A7A65"/>
              <w:bottom w:val="single" w:sz="2" w:space="0" w:color="C5D8D0"/>
            </w:tcBorders>
            <w:shd w:fill="2A7A65" w:val="clear"/>
          </w:tcPr>
          <w:p>
            <w:pPr>
              <w:pStyle w:val="Normal"/>
              <w:rPr/>
            </w:pPr>
            <w:r>
              <w:rPr>
                <w:b/>
                <w:bCs/>
                <w:color w:val="FFFFFF"/>
                <w:sz w:val="21"/>
                <w:szCs w:val="21"/>
              </w:rPr>
              <w:t>Port</w:t>
            </w:r>
          </w:p>
        </w:tc>
        <w:tc>
          <w:tcPr>
            <w:tcW w:w="1759" w:type="dxa"/>
            <w:tcBorders>
              <w:top w:val="single" w:sz="2" w:space="0" w:color="2A7A65"/>
              <w:bottom w:val="single" w:sz="2" w:space="0" w:color="C5D8D0"/>
            </w:tcBorders>
            <w:shd w:fill="2A7A65" w:val="clear"/>
          </w:tcPr>
          <w:p>
            <w:pPr>
              <w:pStyle w:val="Normal"/>
              <w:rPr/>
            </w:pPr>
            <w:r>
              <w:rPr>
                <w:b/>
                <w:bCs/>
                <w:color w:val="FFFFFF"/>
                <w:sz w:val="21"/>
                <w:szCs w:val="21"/>
              </w:rPr>
              <w:t>Hébergement</w:t>
            </w:r>
          </w:p>
        </w:tc>
        <w:tc>
          <w:tcPr>
            <w:tcW w:w="1758" w:type="dxa"/>
            <w:tcBorders>
              <w:top w:val="single" w:sz="2" w:space="0" w:color="2A7A65"/>
              <w:bottom w:val="single" w:sz="2" w:space="0" w:color="C5D8D0"/>
            </w:tcBorders>
            <w:shd w:fill="2A7A65" w:val="clear"/>
          </w:tcPr>
          <w:p>
            <w:pPr>
              <w:pStyle w:val="Normal"/>
              <w:rPr/>
            </w:pPr>
            <w:r>
              <w:rPr>
                <w:b/>
                <w:bCs/>
                <w:color w:val="FFFFFF"/>
                <w:sz w:val="21"/>
                <w:szCs w:val="21"/>
              </w:rPr>
              <w:t>Rôle</w:t>
            </w:r>
          </w:p>
        </w:tc>
      </w:tr>
      <w:tr>
        <w:trPr>
          <w:cantSplit w:val="true"/>
        </w:trPr>
        <w:tc>
          <w:tcPr>
            <w:tcW w:w="1756" w:type="dxa"/>
            <w:tcBorders>
              <w:top w:val="single" w:sz="2" w:space="0" w:color="C5D8D0"/>
              <w:bottom w:val="single" w:sz="2" w:space="0" w:color="C5D8D0"/>
            </w:tcBorders>
            <w:shd w:fill="EDF5F2" w:val="clear"/>
          </w:tcPr>
          <w:p>
            <w:pPr>
              <w:pStyle w:val="Normal"/>
              <w:rPr/>
            </w:pPr>
            <w:r>
              <w:rPr>
                <w:color w:val="000000"/>
                <w:sz w:val="21"/>
                <w:szCs w:val="21"/>
              </w:rPr>
              <w:t>API Flask</w:t>
            </w:r>
          </w:p>
        </w:tc>
        <w:tc>
          <w:tcPr>
            <w:tcW w:w="1759" w:type="dxa"/>
            <w:tcBorders>
              <w:top w:val="single" w:sz="2" w:space="0" w:color="C5D8D0"/>
              <w:bottom w:val="single" w:sz="2" w:space="0" w:color="C5D8D0"/>
            </w:tcBorders>
            <w:shd w:fill="EDF5F2" w:val="clear"/>
          </w:tcPr>
          <w:p>
            <w:pPr>
              <w:pStyle w:val="Normal"/>
              <w:rPr/>
            </w:pPr>
            <w:r>
              <w:rPr>
                <w:color w:val="000000"/>
                <w:sz w:val="21"/>
                <w:szCs w:val="21"/>
              </w:rPr>
              <w:t>Python, Flask, Gunicorn</w:t>
            </w:r>
          </w:p>
        </w:tc>
        <w:tc>
          <w:tcPr>
            <w:tcW w:w="1756" w:type="dxa"/>
            <w:tcBorders>
              <w:top w:val="single" w:sz="2" w:space="0" w:color="C5D8D0"/>
              <w:bottom w:val="single" w:sz="2" w:space="0" w:color="C5D8D0"/>
            </w:tcBorders>
            <w:shd w:fill="EDF5F2" w:val="clear"/>
          </w:tcPr>
          <w:p>
            <w:pPr>
              <w:pStyle w:val="Normal"/>
              <w:rPr/>
            </w:pPr>
            <w:r>
              <w:rPr>
                <w:color w:val="000000"/>
                <w:sz w:val="21"/>
                <w:szCs w:val="21"/>
              </w:rPr>
              <w:t>8000</w:t>
            </w:r>
          </w:p>
        </w:tc>
        <w:tc>
          <w:tcPr>
            <w:tcW w:w="1759" w:type="dxa"/>
            <w:tcBorders>
              <w:top w:val="single" w:sz="2" w:space="0" w:color="C5D8D0"/>
              <w:bottom w:val="single" w:sz="2" w:space="0" w:color="C5D8D0"/>
            </w:tcBorders>
            <w:shd w:fill="EDF5F2" w:val="clear"/>
          </w:tcPr>
          <w:p>
            <w:pPr>
              <w:pStyle w:val="Normal"/>
              <w:rPr/>
            </w:pPr>
            <w:r>
              <w:rPr>
                <w:color w:val="000000"/>
                <w:sz w:val="21"/>
                <w:szCs w:val="21"/>
              </w:rPr>
              <w:t>Railway (interne)</w:t>
            </w:r>
          </w:p>
        </w:tc>
        <w:tc>
          <w:tcPr>
            <w:tcW w:w="1758" w:type="dxa"/>
            <w:tcBorders>
              <w:top w:val="single" w:sz="2" w:space="0" w:color="C5D8D0"/>
              <w:bottom w:val="single" w:sz="2" w:space="0" w:color="C5D8D0"/>
            </w:tcBorders>
            <w:shd w:fill="EDF5F2" w:val="clear"/>
          </w:tcPr>
          <w:p>
            <w:pPr>
              <w:pStyle w:val="Normal"/>
              <w:rPr/>
            </w:pPr>
            <w:r>
              <w:rPr>
                <w:color w:val="000000"/>
                <w:sz w:val="21"/>
                <w:szCs w:val="21"/>
              </w:rPr>
              <w:t>Prédiction ML, audit, SHAP</w:t>
            </w:r>
          </w:p>
        </w:tc>
      </w:tr>
      <w:tr>
        <w:trPr>
          <w:cantSplit w:val="true"/>
        </w:trPr>
        <w:tc>
          <w:tcPr>
            <w:tcW w:w="1756" w:type="dxa"/>
            <w:tcBorders>
              <w:top w:val="single" w:sz="2" w:space="0" w:color="C5D8D0"/>
              <w:bottom w:val="single" w:sz="2" w:space="0" w:color="C5D8D0"/>
            </w:tcBorders>
          </w:tcPr>
          <w:p>
            <w:pPr>
              <w:pStyle w:val="Normal"/>
              <w:rPr/>
            </w:pPr>
            <w:r>
              <w:rPr>
                <w:color w:val="000000"/>
                <w:sz w:val="21"/>
                <w:szCs w:val="21"/>
              </w:rPr>
              <w:t>Frontend</w:t>
            </w:r>
          </w:p>
        </w:tc>
        <w:tc>
          <w:tcPr>
            <w:tcW w:w="1759" w:type="dxa"/>
            <w:tcBorders>
              <w:top w:val="single" w:sz="2" w:space="0" w:color="C5D8D0"/>
              <w:bottom w:val="single" w:sz="2" w:space="0" w:color="C5D8D0"/>
            </w:tcBorders>
          </w:tcPr>
          <w:p>
            <w:pPr>
              <w:pStyle w:val="Normal"/>
              <w:rPr/>
            </w:pPr>
            <w:r>
              <w:rPr>
                <w:color w:val="000000"/>
                <w:sz w:val="21"/>
                <w:szCs w:val="21"/>
              </w:rPr>
              <w:t>Next.js, React, TypeScript</w:t>
            </w:r>
          </w:p>
        </w:tc>
        <w:tc>
          <w:tcPr>
            <w:tcW w:w="1756" w:type="dxa"/>
            <w:tcBorders>
              <w:top w:val="single" w:sz="2" w:space="0" w:color="C5D8D0"/>
              <w:bottom w:val="single" w:sz="2" w:space="0" w:color="C5D8D0"/>
            </w:tcBorders>
          </w:tcPr>
          <w:p>
            <w:pPr>
              <w:pStyle w:val="Normal"/>
              <w:rPr/>
            </w:pPr>
            <w:r>
              <w:rPr>
                <w:color w:val="000000"/>
                <w:sz w:val="21"/>
                <w:szCs w:val="21"/>
              </w:rPr>
              <w:t>8080</w:t>
            </w:r>
          </w:p>
        </w:tc>
        <w:tc>
          <w:tcPr>
            <w:tcW w:w="1759" w:type="dxa"/>
            <w:tcBorders>
              <w:top w:val="single" w:sz="2" w:space="0" w:color="C5D8D0"/>
              <w:bottom w:val="single" w:sz="2" w:space="0" w:color="C5D8D0"/>
            </w:tcBorders>
          </w:tcPr>
          <w:p>
            <w:pPr>
              <w:pStyle w:val="Normal"/>
              <w:rPr/>
            </w:pPr>
            <w:r>
              <w:rPr>
                <w:color w:val="000000"/>
                <w:sz w:val="21"/>
                <w:szCs w:val="21"/>
              </w:rPr>
              <w:t>Railway (public)</w:t>
            </w:r>
          </w:p>
        </w:tc>
        <w:tc>
          <w:tcPr>
            <w:tcW w:w="1758" w:type="dxa"/>
            <w:tcBorders>
              <w:top w:val="single" w:sz="2" w:space="0" w:color="C5D8D0"/>
              <w:bottom w:val="single" w:sz="2" w:space="0" w:color="C5D8D0"/>
            </w:tcBorders>
          </w:tcPr>
          <w:p>
            <w:pPr>
              <w:pStyle w:val="Normal"/>
              <w:rPr/>
            </w:pPr>
            <w:r>
              <w:rPr>
                <w:color w:val="000000"/>
                <w:sz w:val="21"/>
                <w:szCs w:val="21"/>
              </w:rPr>
              <w:t>Interface utilisateur, auth, proxy</w:t>
            </w:r>
          </w:p>
        </w:tc>
      </w:tr>
      <w:tr>
        <w:trPr>
          <w:cantSplit w:val="true"/>
        </w:trPr>
        <w:tc>
          <w:tcPr>
            <w:tcW w:w="1756" w:type="dxa"/>
            <w:tcBorders>
              <w:top w:val="single" w:sz="2" w:space="0" w:color="C5D8D0"/>
              <w:bottom w:val="single" w:sz="2" w:space="0" w:color="2A7A65"/>
            </w:tcBorders>
            <w:shd w:fill="EDF5F2" w:val="clear"/>
          </w:tcPr>
          <w:p>
            <w:pPr>
              <w:pStyle w:val="Normal"/>
              <w:rPr/>
            </w:pPr>
            <w:r>
              <w:rPr>
                <w:color w:val="000000"/>
                <w:sz w:val="21"/>
                <w:szCs w:val="21"/>
              </w:rPr>
              <w:t>Base de données</w:t>
            </w:r>
          </w:p>
        </w:tc>
        <w:tc>
          <w:tcPr>
            <w:tcW w:w="1759" w:type="dxa"/>
            <w:tcBorders>
              <w:top w:val="single" w:sz="2" w:space="0" w:color="C5D8D0"/>
              <w:bottom w:val="single" w:sz="2" w:space="0" w:color="2A7A65"/>
            </w:tcBorders>
            <w:shd w:fill="EDF5F2" w:val="clear"/>
          </w:tcPr>
          <w:p>
            <w:pPr>
              <w:pStyle w:val="Normal"/>
              <w:rPr/>
            </w:pPr>
            <w:r>
              <w:rPr>
                <w:color w:val="000000"/>
                <w:sz w:val="21"/>
                <w:szCs w:val="21"/>
              </w:rPr>
              <w:t>Supabase PostgreSQL</w:t>
            </w:r>
          </w:p>
        </w:tc>
        <w:tc>
          <w:tcPr>
            <w:tcW w:w="1756" w:type="dxa"/>
            <w:tcBorders>
              <w:top w:val="single" w:sz="2" w:space="0" w:color="C5D8D0"/>
              <w:bottom w:val="single" w:sz="2" w:space="0" w:color="2A7A65"/>
            </w:tcBorders>
            <w:shd w:fill="EDF5F2" w:val="clear"/>
          </w:tcPr>
          <w:p>
            <w:pPr>
              <w:pStyle w:val="Normal"/>
              <w:rPr/>
            </w:pPr>
            <w:r>
              <w:rPr>
                <w:color w:val="000000"/>
                <w:sz w:val="21"/>
                <w:szCs w:val="21"/>
              </w:rPr>
              <w:t>5432</w:t>
            </w:r>
          </w:p>
        </w:tc>
        <w:tc>
          <w:tcPr>
            <w:tcW w:w="1759" w:type="dxa"/>
            <w:tcBorders>
              <w:top w:val="single" w:sz="2" w:space="0" w:color="C5D8D0"/>
              <w:bottom w:val="single" w:sz="2" w:space="0" w:color="2A7A65"/>
            </w:tcBorders>
            <w:shd w:fill="EDF5F2" w:val="clear"/>
          </w:tcPr>
          <w:p>
            <w:pPr>
              <w:pStyle w:val="Normal"/>
              <w:rPr/>
            </w:pPr>
            <w:r>
              <w:rPr>
                <w:color w:val="000000"/>
                <w:sz w:val="21"/>
                <w:szCs w:val="21"/>
              </w:rPr>
              <w:t>Supabase Cloud</w:t>
            </w:r>
          </w:p>
        </w:tc>
        <w:tc>
          <w:tcPr>
            <w:tcW w:w="1758" w:type="dxa"/>
            <w:tcBorders>
              <w:top w:val="single" w:sz="2" w:space="0" w:color="C5D8D0"/>
              <w:bottom w:val="single" w:sz="2" w:space="0" w:color="2A7A65"/>
            </w:tcBorders>
            <w:shd w:fill="EDF5F2" w:val="clear"/>
          </w:tcPr>
          <w:p>
            <w:pPr>
              <w:pStyle w:val="Normal"/>
              <w:rPr/>
            </w:pPr>
            <w:r>
              <w:rPr>
                <w:color w:val="000000"/>
                <w:sz w:val="21"/>
                <w:szCs w:val="21"/>
              </w:rPr>
              <w:t>Persistance, historique, config</w:t>
            </w:r>
          </w:p>
        </w:tc>
      </w:tr>
    </w:tbl>
    <w:p>
      <w:pPr>
        <w:pStyle w:val="Heading2"/>
        <w:spacing w:lineRule="auto" w:line="312" w:before="240" w:after="120"/>
        <w:rPr/>
      </w:pPr>
      <w:bookmarkStart w:id="6" w:name="_Toc100006"/>
      <w:r>
        <w:rPr>
          <w:rFonts w:eastAsia="SimHei"/>
          <w:b/>
          <w:bCs/>
          <w:color w:val="0C1F1A"/>
          <w:sz w:val="28"/>
          <w:szCs w:val="28"/>
        </w:rPr>
        <w:t>2.2 Pipeline de traitement d’un CV</w:t>
      </w:r>
      <w:bookmarkEnd w:id="6"/>
    </w:p>
    <w:p>
      <w:pPr>
        <w:pStyle w:val="Normal"/>
        <w:spacing w:lineRule="auto" w:line="312" w:before="0" w:after="80"/>
        <w:jc w:val="both"/>
        <w:rPr/>
      </w:pPr>
      <w:r>
        <w:rPr>
          <w:rFonts w:eastAsia="Microsoft YaHei"/>
          <w:color w:val="000000"/>
          <w:sz w:val="24"/>
          <w:szCs w:val="24"/>
        </w:rPr>
        <w:t>Chaque CV soumis au système traverse un pipeline en quatre étapes. Premièrement, le module feature_extractor.py extrait les 7 features ML et les métadonnées (genre, âge, nom, rôle cible) à partir du texte brut du CV via des règles NLP basées sur des regex. Deuxièmement, le module hard_filter.py applique un filtrage déterministe basé sur cinq critères configurables : langues requises, compétences requises, niveau d’éducation minimum, années d’expérience minimum et nombre minimum de postes occupés. Les candidats ne satisfaisant pas ces critères sont immédiatement rejetés. Troisièmement, le module ml/predict.py applique le RobustScaler, exécute model.predict_proba() avec un seuil de 0.45, puis génère les valeurs SHAP via LinearExplainer. Quatrièmement, les résultats sont persistés dans le journal CSV (logger.py) et dans la table CvAnalysis de Supabase via le frontend.</w:t>
      </w:r>
    </w:p>
    <w:p>
      <w:pPr>
        <w:pStyle w:val="Heading2"/>
        <w:spacing w:lineRule="auto" w:line="312" w:before="240" w:after="120"/>
        <w:rPr/>
      </w:pPr>
      <w:bookmarkStart w:id="7" w:name="_Toc100007"/>
      <w:r>
        <w:rPr>
          <w:rFonts w:eastAsia="SimHei"/>
          <w:b/>
          <w:bCs/>
          <w:color w:val="0C1F1A"/>
          <w:sz w:val="28"/>
          <w:szCs w:val="28"/>
        </w:rPr>
        <w:t>2.3 Communication entre services</w:t>
      </w:r>
      <w:bookmarkEnd w:id="7"/>
    </w:p>
    <w:p>
      <w:pPr>
        <w:pStyle w:val="Normal"/>
        <w:spacing w:lineRule="auto" w:line="312" w:before="0" w:after="80"/>
        <w:jc w:val="both"/>
        <w:rPr/>
      </w:pPr>
      <w:r>
        <w:rPr>
          <w:rFonts w:eastAsia="Microsoft YaHei"/>
          <w:color w:val="000000"/>
          <w:sz w:val="24"/>
          <w:szCs w:val="24"/>
        </w:rPr>
        <w:t>Le navigateur accède au frontend Next.js, qui joue le rôle de proxy vers l’API Flask. Les requêtes vers /flask-api/* sont automatiquement redirigées vers l’API Flask interne via le middleware Next.js. Les routes API Next.js (/api/*) gèrent l’accès à Supabase pour la persistance des analyses et des configurations de filtres. L’authentification NextAuth gère les sessions JWT côté serveur, et le middleware protège les routes de l’application.</w:t>
      </w:r>
    </w:p>
    <w:p>
      <w:pPr>
        <w:pStyle w:val="Heading1"/>
        <w:spacing w:lineRule="auto" w:line="312" w:before="360" w:after="160"/>
        <w:rPr/>
      </w:pPr>
      <w:bookmarkStart w:id="8" w:name="_Toc100008"/>
      <w:r>
        <w:rPr>
          <w:rFonts w:eastAsia="SimHei"/>
          <w:b/>
          <w:bCs/>
          <w:color w:val="0C1F1A"/>
          <w:sz w:val="32"/>
          <w:szCs w:val="32"/>
        </w:rPr>
        <w:t>3. Structure du projet</w:t>
      </w:r>
      <w:bookmarkEnd w:id="8"/>
    </w:p>
    <w:p>
      <w:pPr>
        <w:pStyle w:val="Normal"/>
        <w:spacing w:lineRule="auto" w:line="312" w:before="0" w:after="80"/>
        <w:jc w:val="both"/>
        <w:rPr/>
      </w:pPr>
      <w:r>
        <w:rPr>
          <w:rFonts w:eastAsia="Microsoft YaHei"/>
          <w:color w:val="000000"/>
          <w:sz w:val="24"/>
          <w:szCs w:val="24"/>
        </w:rPr>
        <w:t>Le projet est organisé en trois répertoires principaux, détaillés dans le tableau ci-dessous. Pour le détail complet de chaque fichier, consulter le README du dépôt.</w:t>
      </w:r>
    </w:p>
    <w:tbl>
      <w:tblPr>
        <w:tblW w:w="5000" w:type="pct"/>
        <w:jc w:val="start"/>
        <w:tblInd w:w="0" w:type="dxa"/>
        <w:tblLayout w:type="fixed"/>
        <w:tblCellMar>
          <w:top w:w="60" w:type="dxa"/>
          <w:start w:w="120" w:type="dxa"/>
          <w:bottom w:w="60" w:type="dxa"/>
          <w:end w:w="120" w:type="dxa"/>
        </w:tblCellMar>
      </w:tblPr>
      <w:tblGrid>
        <w:gridCol w:w="4393"/>
        <w:gridCol w:w="4395"/>
      </w:tblGrid>
      <w:tr>
        <w:trPr>
          <w:tblHeader w:val="true"/>
          <w:cantSplit w:val="true"/>
        </w:trPr>
        <w:tc>
          <w:tcPr>
            <w:tcW w:w="4393" w:type="dxa"/>
            <w:tcBorders>
              <w:top w:val="single" w:sz="2" w:space="0" w:color="2A7A65"/>
              <w:bottom w:val="single" w:sz="2" w:space="0" w:color="C5D8D0"/>
            </w:tcBorders>
            <w:shd w:fill="2A7A65" w:val="clear"/>
          </w:tcPr>
          <w:p>
            <w:pPr>
              <w:pStyle w:val="Normal"/>
              <w:rPr/>
            </w:pPr>
            <w:r>
              <w:rPr>
                <w:b/>
                <w:bCs/>
                <w:color w:val="FFFFFF"/>
                <w:sz w:val="21"/>
                <w:szCs w:val="21"/>
              </w:rPr>
              <w:t>Répertoire</w:t>
            </w:r>
          </w:p>
        </w:tc>
        <w:tc>
          <w:tcPr>
            <w:tcW w:w="4395" w:type="dxa"/>
            <w:tcBorders>
              <w:top w:val="single" w:sz="2" w:space="0" w:color="2A7A65"/>
              <w:bottom w:val="single" w:sz="2" w:space="0" w:color="C5D8D0"/>
            </w:tcBorders>
            <w:shd w:fill="2A7A65" w:val="clear"/>
          </w:tcPr>
          <w:p>
            <w:pPr>
              <w:pStyle w:val="Normal"/>
              <w:rPr/>
            </w:pPr>
            <w:r>
              <w:rPr>
                <w:b/>
                <w:bCs/>
                <w:color w:val="FFFFFF"/>
                <w:sz w:val="21"/>
                <w:szCs w:val="21"/>
              </w:rPr>
              <w:t>Contenu</w:t>
            </w:r>
          </w:p>
        </w:tc>
      </w:tr>
      <w:tr>
        <w:trPr>
          <w:cantSplit w:val="true"/>
        </w:trPr>
        <w:tc>
          <w:tcPr>
            <w:tcW w:w="4393" w:type="dxa"/>
            <w:tcBorders>
              <w:top w:val="single" w:sz="2" w:space="0" w:color="C5D8D0"/>
              <w:bottom w:val="single" w:sz="2" w:space="0" w:color="C5D8D0"/>
            </w:tcBorders>
            <w:shd w:fill="EDF5F2" w:val="clear"/>
          </w:tcPr>
          <w:p>
            <w:pPr>
              <w:pStyle w:val="Normal"/>
              <w:rPr/>
            </w:pPr>
            <w:r>
              <w:rPr>
                <w:color w:val="000000"/>
                <w:sz w:val="21"/>
                <w:szCs w:val="21"/>
              </w:rPr>
              <w:t>src/python/</w:t>
            </w:r>
          </w:p>
        </w:tc>
        <w:tc>
          <w:tcPr>
            <w:tcW w:w="4395" w:type="dxa"/>
            <w:tcBorders>
              <w:top w:val="single" w:sz="2" w:space="0" w:color="C5D8D0"/>
              <w:bottom w:val="single" w:sz="2" w:space="0" w:color="C5D8D0"/>
            </w:tcBorders>
            <w:shd w:fill="EDF5F2" w:val="clear"/>
          </w:tcPr>
          <w:p>
            <w:pPr>
              <w:pStyle w:val="Normal"/>
              <w:rPr/>
            </w:pPr>
            <w:r>
              <w:rPr>
                <w:color w:val="000000"/>
                <w:sz w:val="21"/>
                <w:szCs w:val="21"/>
              </w:rPr>
              <w:t>API Flask (app.py), extraction de features (feature_extractor.py), filtre dur (hard_filter.py), logging (logger.py), registre SHA-256 (registry.py), pipeline ML (ml/train.py, ml/predict.py, ml/audit.py), artefacts du modèle (ml/model/), tests (tests/)</w:t>
            </w:r>
          </w:p>
        </w:tc>
      </w:tr>
      <w:tr>
        <w:trPr>
          <w:cantSplit w:val="true"/>
        </w:trPr>
        <w:tc>
          <w:tcPr>
            <w:tcW w:w="4393" w:type="dxa"/>
            <w:tcBorders>
              <w:top w:val="single" w:sz="2" w:space="0" w:color="C5D8D0"/>
              <w:bottom w:val="single" w:sz="2" w:space="0" w:color="C5D8D0"/>
            </w:tcBorders>
          </w:tcPr>
          <w:p>
            <w:pPr>
              <w:pStyle w:val="Normal"/>
              <w:rPr/>
            </w:pPr>
            <w:r>
              <w:rPr>
                <w:color w:val="000000"/>
                <w:sz w:val="21"/>
                <w:szCs w:val="21"/>
              </w:rPr>
              <w:t>frontend/</w:t>
            </w:r>
          </w:p>
        </w:tc>
        <w:tc>
          <w:tcPr>
            <w:tcW w:w="4395" w:type="dxa"/>
            <w:tcBorders>
              <w:top w:val="single" w:sz="2" w:space="0" w:color="C5D8D0"/>
              <w:bottom w:val="single" w:sz="2" w:space="0" w:color="C5D8D0"/>
            </w:tcBorders>
          </w:tcPr>
          <w:p>
            <w:pPr>
              <w:pStyle w:val="Normal"/>
              <w:rPr/>
            </w:pPr>
            <w:r>
              <w:rPr>
                <w:color w:val="000000"/>
                <w:sz w:val="21"/>
                <w:szCs w:val="21"/>
              </w:rPr>
              <w:t>Application Next.js 16 : pages, composants shadcn/ui, routes API, configuration Prisma, authentification NextAuth</w:t>
            </w:r>
          </w:p>
        </w:tc>
      </w:tr>
      <w:tr>
        <w:trPr>
          <w:cantSplit w:val="true"/>
        </w:trPr>
        <w:tc>
          <w:tcPr>
            <w:tcW w:w="4393" w:type="dxa"/>
            <w:tcBorders>
              <w:top w:val="single" w:sz="2" w:space="0" w:color="C5D8D0"/>
              <w:bottom w:val="single" w:sz="2" w:space="0" w:color="C5D8D0"/>
            </w:tcBorders>
            <w:shd w:fill="EDF5F2" w:val="clear"/>
          </w:tcPr>
          <w:p>
            <w:pPr>
              <w:pStyle w:val="Normal"/>
              <w:rPr/>
            </w:pPr>
            <w:r>
              <w:rPr>
                <w:color w:val="000000"/>
                <w:sz w:val="21"/>
                <w:szCs w:val="21"/>
              </w:rPr>
              <w:t>data/</w:t>
            </w:r>
          </w:p>
        </w:tc>
        <w:tc>
          <w:tcPr>
            <w:tcW w:w="4395" w:type="dxa"/>
            <w:tcBorders>
              <w:top w:val="single" w:sz="2" w:space="0" w:color="C5D8D0"/>
              <w:bottom w:val="single" w:sz="2" w:space="0" w:color="C5D8D0"/>
            </w:tcBorders>
            <w:shd w:fill="EDF5F2" w:val="clear"/>
          </w:tcPr>
          <w:p>
            <w:pPr>
              <w:pStyle w:val="Normal"/>
              <w:rPr/>
            </w:pPr>
            <w:r>
              <w:rPr>
                <w:color w:val="000000"/>
                <w:sz w:val="21"/>
                <w:szCs w:val="21"/>
              </w:rPr>
              <w:t>CVs d’entraînement (training_data/CVs/), features labellisées (training_data/cv_features_labeled.csv), CVs traités (processed_CVs/), journal de screening (screening_log.csv)</w:t>
            </w:r>
          </w:p>
        </w:tc>
      </w:tr>
      <w:tr>
        <w:trPr>
          <w:cantSplit w:val="true"/>
        </w:trPr>
        <w:tc>
          <w:tcPr>
            <w:tcW w:w="4393" w:type="dxa"/>
            <w:tcBorders>
              <w:top w:val="single" w:sz="2" w:space="0" w:color="C5D8D0"/>
              <w:bottom w:val="single" w:sz="2" w:space="0" w:color="2A7A65"/>
            </w:tcBorders>
          </w:tcPr>
          <w:p>
            <w:pPr>
              <w:pStyle w:val="Normal"/>
              <w:rPr/>
            </w:pPr>
            <w:r>
              <w:rPr>
                <w:color w:val="000000"/>
                <w:sz w:val="21"/>
                <w:szCs w:val="21"/>
              </w:rPr>
              <w:t>docs/</w:t>
            </w:r>
          </w:p>
        </w:tc>
        <w:tc>
          <w:tcPr>
            <w:tcW w:w="4395" w:type="dxa"/>
            <w:tcBorders>
              <w:top w:val="single" w:sz="2" w:space="0" w:color="C5D8D0"/>
              <w:bottom w:val="single" w:sz="2" w:space="0" w:color="2A7A65"/>
            </w:tcBorders>
          </w:tcPr>
          <w:p>
            <w:pPr>
              <w:pStyle w:val="Normal"/>
              <w:rPr/>
            </w:pPr>
            <w:r>
              <w:rPr>
                <w:color w:val="000000"/>
                <w:sz w:val="21"/>
                <w:szCs w:val="21"/>
              </w:rPr>
              <w:t>README technique, diagramme BPMN, Work Packages 1 et 2</w:t>
            </w:r>
          </w:p>
        </w:tc>
      </w:tr>
    </w:tbl>
    <w:p>
      <w:pPr>
        <w:pStyle w:val="Heading1"/>
        <w:spacing w:lineRule="auto" w:line="312" w:before="360" w:after="160"/>
        <w:rPr/>
      </w:pPr>
      <w:bookmarkStart w:id="9" w:name="_Toc100009"/>
      <w:r>
        <w:rPr>
          <w:rFonts w:eastAsia="SimHei"/>
          <w:b/>
          <w:bCs/>
          <w:color w:val="0C1F1A"/>
          <w:sz w:val="32"/>
          <w:szCs w:val="32"/>
        </w:rPr>
        <w:t>4. Extraction de features</w:t>
      </w:r>
      <w:bookmarkEnd w:id="9"/>
    </w:p>
    <w:p>
      <w:pPr>
        <w:pStyle w:val="Heading2"/>
        <w:spacing w:lineRule="auto" w:line="312" w:before="240" w:after="120"/>
        <w:rPr/>
      </w:pPr>
      <w:bookmarkStart w:id="10" w:name="_Toc100010"/>
      <w:r>
        <w:rPr>
          <w:rFonts w:eastAsia="SimHei"/>
          <w:b/>
          <w:bCs/>
          <w:color w:val="0C1F1A"/>
          <w:sz w:val="28"/>
          <w:szCs w:val="28"/>
        </w:rPr>
        <w:t>4.1 Features ML</w:t>
      </w:r>
      <w:bookmarkEnd w:id="10"/>
    </w:p>
    <w:p>
      <w:pPr>
        <w:pStyle w:val="Normal"/>
        <w:spacing w:lineRule="auto" w:line="312" w:before="0" w:after="80"/>
        <w:jc w:val="both"/>
        <w:rPr/>
      </w:pPr>
      <w:r>
        <w:rPr>
          <w:rFonts w:eastAsia="Microsoft YaHei"/>
          <w:color w:val="000000"/>
          <w:sz w:val="24"/>
          <w:szCs w:val="24"/>
        </w:rPr>
        <w:t>Le système utilise 7 features pour le modèle ML :</w:t>
      </w:r>
    </w:p>
    <w:tbl>
      <w:tblPr>
        <w:tblW w:w="5000" w:type="pct"/>
        <w:jc w:val="start"/>
        <w:tblInd w:w="0" w:type="dxa"/>
        <w:tblLayout w:type="fixed"/>
        <w:tblCellMar>
          <w:top w:w="60" w:type="dxa"/>
          <w:start w:w="120" w:type="dxa"/>
          <w:bottom w:w="60" w:type="dxa"/>
          <w:end w:w="120" w:type="dxa"/>
        </w:tblCellMar>
      </w:tblPr>
      <w:tblGrid>
        <w:gridCol w:w="2929"/>
        <w:gridCol w:w="2929"/>
        <w:gridCol w:w="2930"/>
      </w:tblGrid>
      <w:tr>
        <w:trPr>
          <w:tblHeader w:val="true"/>
          <w:cantSplit w:val="true"/>
        </w:trPr>
        <w:tc>
          <w:tcPr>
            <w:tcW w:w="2929" w:type="dxa"/>
            <w:tcBorders>
              <w:top w:val="single" w:sz="2" w:space="0" w:color="2A7A65"/>
              <w:bottom w:val="single" w:sz="2" w:space="0" w:color="C5D8D0"/>
            </w:tcBorders>
            <w:shd w:fill="2A7A65" w:val="clear"/>
          </w:tcPr>
          <w:p>
            <w:pPr>
              <w:pStyle w:val="Normal"/>
              <w:rPr/>
            </w:pPr>
            <w:r>
              <w:rPr>
                <w:b/>
                <w:bCs/>
                <w:color w:val="FFFFFF"/>
                <w:sz w:val="21"/>
                <w:szCs w:val="21"/>
              </w:rPr>
              <w:t>Feature</w:t>
            </w:r>
          </w:p>
        </w:tc>
        <w:tc>
          <w:tcPr>
            <w:tcW w:w="2929" w:type="dxa"/>
            <w:tcBorders>
              <w:top w:val="single" w:sz="2" w:space="0" w:color="2A7A65"/>
              <w:bottom w:val="single" w:sz="2" w:space="0" w:color="C5D8D0"/>
            </w:tcBorders>
            <w:shd w:fill="2A7A65" w:val="clear"/>
          </w:tcPr>
          <w:p>
            <w:pPr>
              <w:pStyle w:val="Normal"/>
              <w:rPr/>
            </w:pPr>
            <w:r>
              <w:rPr>
                <w:b/>
                <w:bCs/>
                <w:color w:val="FFFFFF"/>
                <w:sz w:val="21"/>
                <w:szCs w:val="21"/>
              </w:rPr>
              <w:t>Type</w:t>
            </w:r>
          </w:p>
        </w:tc>
        <w:tc>
          <w:tcPr>
            <w:tcW w:w="2930" w:type="dxa"/>
            <w:tcBorders>
              <w:top w:val="single" w:sz="2" w:space="0" w:color="2A7A65"/>
              <w:bottom w:val="single" w:sz="2" w:space="0" w:color="C5D8D0"/>
            </w:tcBorders>
            <w:shd w:fill="2A7A65" w:val="clear"/>
          </w:tcPr>
          <w:p>
            <w:pPr>
              <w:pStyle w:val="Normal"/>
              <w:rPr/>
            </w:pPr>
            <w:r>
              <w:rPr>
                <w:b/>
                <w:bCs/>
                <w:color w:val="FFFFFF"/>
                <w:sz w:val="21"/>
                <w:szCs w:val="21"/>
              </w:rPr>
              <w:t>Description</w:t>
            </w:r>
          </w:p>
        </w:tc>
      </w:tr>
      <w:tr>
        <w:trPr>
          <w:cantSplit w:val="true"/>
        </w:trPr>
        <w:tc>
          <w:tcPr>
            <w:tcW w:w="2929" w:type="dxa"/>
            <w:tcBorders>
              <w:top w:val="single" w:sz="2" w:space="0" w:color="C5D8D0"/>
              <w:bottom w:val="single" w:sz="2" w:space="0" w:color="C5D8D0"/>
            </w:tcBorders>
            <w:shd w:fill="EDF5F2" w:val="clear"/>
          </w:tcPr>
          <w:p>
            <w:pPr>
              <w:pStyle w:val="Normal"/>
              <w:rPr/>
            </w:pPr>
            <w:r>
              <w:rPr>
                <w:color w:val="000000"/>
                <w:sz w:val="21"/>
                <w:szCs w:val="21"/>
              </w:rPr>
              <w:t>years_experience</w:t>
            </w:r>
          </w:p>
        </w:tc>
        <w:tc>
          <w:tcPr>
            <w:tcW w:w="2929" w:type="dxa"/>
            <w:tcBorders>
              <w:top w:val="single" w:sz="2" w:space="0" w:color="C5D8D0"/>
              <w:bottom w:val="single" w:sz="2" w:space="0" w:color="C5D8D0"/>
            </w:tcBorders>
            <w:shd w:fill="EDF5F2" w:val="clear"/>
          </w:tcPr>
          <w:p>
            <w:pPr>
              <w:pStyle w:val="Normal"/>
              <w:rPr/>
            </w:pPr>
            <w:r>
              <w:rPr>
                <w:color w:val="000000"/>
                <w:sz w:val="21"/>
                <w:szCs w:val="21"/>
              </w:rPr>
              <w:t>float</w:t>
            </w:r>
          </w:p>
        </w:tc>
        <w:tc>
          <w:tcPr>
            <w:tcW w:w="2930" w:type="dxa"/>
            <w:tcBorders>
              <w:top w:val="single" w:sz="2" w:space="0" w:color="C5D8D0"/>
              <w:bottom w:val="single" w:sz="2" w:space="0" w:color="C5D8D0"/>
            </w:tcBorders>
            <w:shd w:fill="EDF5F2" w:val="clear"/>
          </w:tcPr>
          <w:p>
            <w:pPr>
              <w:pStyle w:val="Normal"/>
              <w:rPr/>
            </w:pPr>
            <w:r>
              <w:rPr>
                <w:color w:val="000000"/>
                <w:sz w:val="21"/>
                <w:szCs w:val="21"/>
              </w:rPr>
              <w:t>Nombre total d’années d’expérience professionnelle</w:t>
            </w:r>
          </w:p>
        </w:tc>
      </w:tr>
      <w:tr>
        <w:trPr>
          <w:cantSplit w:val="true"/>
        </w:trPr>
        <w:tc>
          <w:tcPr>
            <w:tcW w:w="2929" w:type="dxa"/>
            <w:tcBorders>
              <w:top w:val="single" w:sz="2" w:space="0" w:color="C5D8D0"/>
              <w:bottom w:val="single" w:sz="2" w:space="0" w:color="C5D8D0"/>
            </w:tcBorders>
          </w:tcPr>
          <w:p>
            <w:pPr>
              <w:pStyle w:val="Normal"/>
              <w:rPr/>
            </w:pPr>
            <w:r>
              <w:rPr>
                <w:color w:val="000000"/>
                <w:sz w:val="21"/>
                <w:szCs w:val="21"/>
              </w:rPr>
              <w:t>education_level</w:t>
            </w:r>
          </w:p>
        </w:tc>
        <w:tc>
          <w:tcPr>
            <w:tcW w:w="2929" w:type="dxa"/>
            <w:tcBorders>
              <w:top w:val="single" w:sz="2" w:space="0" w:color="C5D8D0"/>
              <w:bottom w:val="single" w:sz="2" w:space="0" w:color="C5D8D0"/>
            </w:tcBorders>
          </w:tcPr>
          <w:p>
            <w:pPr>
              <w:pStyle w:val="Normal"/>
              <w:rPr/>
            </w:pPr>
            <w:r>
              <w:rPr>
                <w:color w:val="000000"/>
                <w:sz w:val="21"/>
                <w:szCs w:val="21"/>
              </w:rPr>
              <w:t>int (1-5)</w:t>
            </w:r>
          </w:p>
        </w:tc>
        <w:tc>
          <w:tcPr>
            <w:tcW w:w="2930" w:type="dxa"/>
            <w:tcBorders>
              <w:top w:val="single" w:sz="2" w:space="0" w:color="C5D8D0"/>
              <w:bottom w:val="single" w:sz="2" w:space="0" w:color="C5D8D0"/>
            </w:tcBorders>
          </w:tcPr>
          <w:p>
            <w:pPr>
              <w:pStyle w:val="Normal"/>
              <w:rPr/>
            </w:pPr>
            <w:r>
              <w:rPr>
                <w:color w:val="000000"/>
                <w:sz w:val="21"/>
                <w:szCs w:val="21"/>
              </w:rPr>
              <w:t>Niveau de diplôme (1=Secondaire → 5=Doctorat)</w:t>
            </w:r>
          </w:p>
        </w:tc>
      </w:tr>
      <w:tr>
        <w:trPr>
          <w:cantSplit w:val="true"/>
        </w:trPr>
        <w:tc>
          <w:tcPr>
            <w:tcW w:w="2929" w:type="dxa"/>
            <w:tcBorders>
              <w:top w:val="single" w:sz="2" w:space="0" w:color="C5D8D0"/>
              <w:bottom w:val="single" w:sz="2" w:space="0" w:color="C5D8D0"/>
            </w:tcBorders>
            <w:shd w:fill="EDF5F2" w:val="clear"/>
          </w:tcPr>
          <w:p>
            <w:pPr>
              <w:pStyle w:val="Normal"/>
              <w:rPr/>
            </w:pPr>
            <w:r>
              <w:rPr>
                <w:color w:val="000000"/>
                <w:sz w:val="21"/>
                <w:szCs w:val="21"/>
              </w:rPr>
              <w:t>nb_certifications</w:t>
            </w:r>
          </w:p>
        </w:tc>
        <w:tc>
          <w:tcPr>
            <w:tcW w:w="2929" w:type="dxa"/>
            <w:tcBorders>
              <w:top w:val="single" w:sz="2" w:space="0" w:color="C5D8D0"/>
              <w:bottom w:val="single" w:sz="2" w:space="0" w:color="C5D8D0"/>
            </w:tcBorders>
            <w:shd w:fill="EDF5F2" w:val="clear"/>
          </w:tcPr>
          <w:p>
            <w:pPr>
              <w:pStyle w:val="Normal"/>
              <w:rPr/>
            </w:pPr>
            <w:r>
              <w:rPr>
                <w:color w:val="000000"/>
                <w:sz w:val="21"/>
                <w:szCs w:val="21"/>
              </w:rPr>
              <w:t>int</w:t>
            </w:r>
          </w:p>
        </w:tc>
        <w:tc>
          <w:tcPr>
            <w:tcW w:w="2930" w:type="dxa"/>
            <w:tcBorders>
              <w:top w:val="single" w:sz="2" w:space="0" w:color="C5D8D0"/>
              <w:bottom w:val="single" w:sz="2" w:space="0" w:color="C5D8D0"/>
            </w:tcBorders>
            <w:shd w:fill="EDF5F2" w:val="clear"/>
          </w:tcPr>
          <w:p>
            <w:pPr>
              <w:pStyle w:val="Normal"/>
              <w:rPr/>
            </w:pPr>
            <w:r>
              <w:rPr>
                <w:color w:val="000000"/>
                <w:sz w:val="21"/>
                <w:szCs w:val="21"/>
              </w:rPr>
              <w:t>Nombre de certifications professionnelles</w:t>
            </w:r>
          </w:p>
        </w:tc>
      </w:tr>
      <w:tr>
        <w:trPr>
          <w:cantSplit w:val="true"/>
        </w:trPr>
        <w:tc>
          <w:tcPr>
            <w:tcW w:w="2929" w:type="dxa"/>
            <w:tcBorders>
              <w:top w:val="single" w:sz="2" w:space="0" w:color="C5D8D0"/>
              <w:bottom w:val="single" w:sz="2" w:space="0" w:color="C5D8D0"/>
            </w:tcBorders>
          </w:tcPr>
          <w:p>
            <w:pPr>
              <w:pStyle w:val="Normal"/>
              <w:rPr/>
            </w:pPr>
            <w:r>
              <w:rPr>
                <w:color w:val="000000"/>
                <w:sz w:val="21"/>
                <w:szCs w:val="21"/>
              </w:rPr>
              <w:t>nb_extra_languages</w:t>
            </w:r>
          </w:p>
        </w:tc>
        <w:tc>
          <w:tcPr>
            <w:tcW w:w="2929" w:type="dxa"/>
            <w:tcBorders>
              <w:top w:val="single" w:sz="2" w:space="0" w:color="C5D8D0"/>
              <w:bottom w:val="single" w:sz="2" w:space="0" w:color="C5D8D0"/>
            </w:tcBorders>
          </w:tcPr>
          <w:p>
            <w:pPr>
              <w:pStyle w:val="Normal"/>
              <w:rPr/>
            </w:pPr>
            <w:r>
              <w:rPr>
                <w:color w:val="000000"/>
                <w:sz w:val="21"/>
                <w:szCs w:val="21"/>
              </w:rPr>
              <w:t>int</w:t>
            </w:r>
          </w:p>
        </w:tc>
        <w:tc>
          <w:tcPr>
            <w:tcW w:w="2930" w:type="dxa"/>
            <w:tcBorders>
              <w:top w:val="single" w:sz="2" w:space="0" w:color="C5D8D0"/>
              <w:bottom w:val="single" w:sz="2" w:space="0" w:color="C5D8D0"/>
            </w:tcBorders>
          </w:tcPr>
          <w:p>
            <w:pPr>
              <w:pStyle w:val="Normal"/>
              <w:rPr/>
            </w:pPr>
            <w:r>
              <w:rPr>
                <w:color w:val="000000"/>
                <w:sz w:val="21"/>
                <w:szCs w:val="21"/>
              </w:rPr>
              <w:t>Nombre de langues au-delà de l’anglais</w:t>
            </w:r>
          </w:p>
        </w:tc>
      </w:tr>
      <w:tr>
        <w:trPr>
          <w:cantSplit w:val="true"/>
        </w:trPr>
        <w:tc>
          <w:tcPr>
            <w:tcW w:w="2929" w:type="dxa"/>
            <w:tcBorders>
              <w:top w:val="single" w:sz="2" w:space="0" w:color="C5D8D0"/>
              <w:bottom w:val="single" w:sz="2" w:space="0" w:color="C5D8D0"/>
            </w:tcBorders>
            <w:shd w:fill="EDF5F2" w:val="clear"/>
          </w:tcPr>
          <w:p>
            <w:pPr>
              <w:pStyle w:val="Normal"/>
              <w:rPr/>
            </w:pPr>
            <w:r>
              <w:rPr>
                <w:color w:val="000000"/>
                <w:sz w:val="21"/>
                <w:szCs w:val="21"/>
              </w:rPr>
              <w:t>nb_extra_skills</w:t>
            </w:r>
          </w:p>
        </w:tc>
        <w:tc>
          <w:tcPr>
            <w:tcW w:w="2929" w:type="dxa"/>
            <w:tcBorders>
              <w:top w:val="single" w:sz="2" w:space="0" w:color="C5D8D0"/>
              <w:bottom w:val="single" w:sz="2" w:space="0" w:color="C5D8D0"/>
            </w:tcBorders>
            <w:shd w:fill="EDF5F2" w:val="clear"/>
          </w:tcPr>
          <w:p>
            <w:pPr>
              <w:pStyle w:val="Normal"/>
              <w:rPr/>
            </w:pPr>
            <w:r>
              <w:rPr>
                <w:color w:val="000000"/>
                <w:sz w:val="21"/>
                <w:szCs w:val="21"/>
              </w:rPr>
              <w:t>int</w:t>
            </w:r>
          </w:p>
        </w:tc>
        <w:tc>
          <w:tcPr>
            <w:tcW w:w="2930" w:type="dxa"/>
            <w:tcBorders>
              <w:top w:val="single" w:sz="2" w:space="0" w:color="C5D8D0"/>
              <w:bottom w:val="single" w:sz="2" w:space="0" w:color="C5D8D0"/>
            </w:tcBorders>
            <w:shd w:fill="EDF5F2" w:val="clear"/>
          </w:tcPr>
          <w:p>
            <w:pPr>
              <w:pStyle w:val="Normal"/>
              <w:rPr/>
            </w:pPr>
            <w:r>
              <w:rPr>
                <w:color w:val="000000"/>
                <w:sz w:val="21"/>
                <w:szCs w:val="21"/>
              </w:rPr>
              <w:t>Nombre total de compétences listées</w:t>
            </w:r>
          </w:p>
        </w:tc>
      </w:tr>
      <w:tr>
        <w:trPr>
          <w:cantSplit w:val="true"/>
        </w:trPr>
        <w:tc>
          <w:tcPr>
            <w:tcW w:w="2929" w:type="dxa"/>
            <w:tcBorders>
              <w:top w:val="single" w:sz="2" w:space="0" w:color="C5D8D0"/>
              <w:bottom w:val="single" w:sz="2" w:space="0" w:color="C5D8D0"/>
            </w:tcBorders>
          </w:tcPr>
          <w:p>
            <w:pPr>
              <w:pStyle w:val="Normal"/>
              <w:rPr/>
            </w:pPr>
            <w:r>
              <w:rPr>
                <w:color w:val="000000"/>
                <w:sz w:val="21"/>
                <w:szCs w:val="21"/>
              </w:rPr>
              <w:t>has_management_experience</w:t>
            </w:r>
          </w:p>
        </w:tc>
        <w:tc>
          <w:tcPr>
            <w:tcW w:w="2929" w:type="dxa"/>
            <w:tcBorders>
              <w:top w:val="single" w:sz="2" w:space="0" w:color="C5D8D0"/>
              <w:bottom w:val="single" w:sz="2" w:space="0" w:color="C5D8D0"/>
            </w:tcBorders>
          </w:tcPr>
          <w:p>
            <w:pPr>
              <w:pStyle w:val="Normal"/>
              <w:rPr/>
            </w:pPr>
            <w:r>
              <w:rPr>
                <w:color w:val="000000"/>
                <w:sz w:val="21"/>
                <w:szCs w:val="21"/>
              </w:rPr>
              <w:t>binaire</w:t>
            </w:r>
          </w:p>
        </w:tc>
        <w:tc>
          <w:tcPr>
            <w:tcW w:w="2930" w:type="dxa"/>
            <w:tcBorders>
              <w:top w:val="single" w:sz="2" w:space="0" w:color="C5D8D0"/>
              <w:bottom w:val="single" w:sz="2" w:space="0" w:color="C5D8D0"/>
            </w:tcBorders>
          </w:tcPr>
          <w:p>
            <w:pPr>
              <w:pStyle w:val="Normal"/>
              <w:rPr/>
            </w:pPr>
            <w:r>
              <w:rPr>
                <w:color w:val="000000"/>
                <w:sz w:val="21"/>
                <w:szCs w:val="21"/>
              </w:rPr>
              <w:t>Expérience de gestion d’équipe détectée</w:t>
            </w:r>
          </w:p>
        </w:tc>
      </w:tr>
      <w:tr>
        <w:trPr>
          <w:cantSplit w:val="true"/>
        </w:trPr>
        <w:tc>
          <w:tcPr>
            <w:tcW w:w="2929" w:type="dxa"/>
            <w:tcBorders>
              <w:top w:val="single" w:sz="2" w:space="0" w:color="C5D8D0"/>
              <w:bottom w:val="single" w:sz="2" w:space="0" w:color="2A7A65"/>
            </w:tcBorders>
            <w:shd w:fill="EDF5F2" w:val="clear"/>
          </w:tcPr>
          <w:p>
            <w:pPr>
              <w:pStyle w:val="Normal"/>
              <w:rPr/>
            </w:pPr>
            <w:r>
              <w:rPr>
                <w:color w:val="000000"/>
                <w:sz w:val="21"/>
                <w:szCs w:val="21"/>
              </w:rPr>
              <w:t>has_international_experience</w:t>
            </w:r>
          </w:p>
        </w:tc>
        <w:tc>
          <w:tcPr>
            <w:tcW w:w="2929" w:type="dxa"/>
            <w:tcBorders>
              <w:top w:val="single" w:sz="2" w:space="0" w:color="C5D8D0"/>
              <w:bottom w:val="single" w:sz="2" w:space="0" w:color="2A7A65"/>
            </w:tcBorders>
            <w:shd w:fill="EDF5F2" w:val="clear"/>
          </w:tcPr>
          <w:p>
            <w:pPr>
              <w:pStyle w:val="Normal"/>
              <w:rPr/>
            </w:pPr>
            <w:r>
              <w:rPr>
                <w:color w:val="000000"/>
                <w:sz w:val="21"/>
                <w:szCs w:val="21"/>
              </w:rPr>
              <w:t>binaire</w:t>
            </w:r>
          </w:p>
        </w:tc>
        <w:tc>
          <w:tcPr>
            <w:tcW w:w="2930" w:type="dxa"/>
            <w:tcBorders>
              <w:top w:val="single" w:sz="2" w:space="0" w:color="C5D8D0"/>
              <w:bottom w:val="single" w:sz="2" w:space="0" w:color="2A7A65"/>
            </w:tcBorders>
            <w:shd w:fill="EDF5F2" w:val="clear"/>
          </w:tcPr>
          <w:p>
            <w:pPr>
              <w:pStyle w:val="Normal"/>
              <w:rPr/>
            </w:pPr>
            <w:r>
              <w:rPr>
                <w:color w:val="000000"/>
                <w:sz w:val="21"/>
                <w:szCs w:val="21"/>
              </w:rPr>
              <w:t>Expérience internationale détectée (langue étrangère vs pays de travail)</w:t>
            </w:r>
          </w:p>
        </w:tc>
      </w:tr>
    </w:tbl>
    <w:p>
      <w:pPr>
        <w:pStyle w:val="Heading2"/>
        <w:spacing w:lineRule="auto" w:line="312" w:before="240" w:after="120"/>
        <w:rPr/>
      </w:pPr>
      <w:bookmarkStart w:id="11" w:name="_Toc100011"/>
      <w:r>
        <w:rPr>
          <w:rFonts w:eastAsia="SimHei"/>
          <w:b/>
          <w:bCs/>
          <w:color w:val="0C1F1A"/>
          <w:sz w:val="28"/>
          <w:szCs w:val="28"/>
        </w:rPr>
        <w:t>4.2 Métadonnées (hors modèle ML)</w:t>
      </w:r>
      <w:bookmarkEnd w:id="11"/>
    </w:p>
    <w:p>
      <w:pPr>
        <w:pStyle w:val="Normal"/>
        <w:spacing w:lineRule="auto" w:line="312" w:before="0" w:after="80"/>
        <w:jc w:val="both"/>
        <w:rPr/>
      </w:pPr>
      <w:r>
        <w:rPr>
          <w:rFonts w:eastAsia="Microsoft YaHei"/>
          <w:color w:val="000000"/>
          <w:sz w:val="24"/>
          <w:szCs w:val="24"/>
        </w:rPr>
        <w:t>Les métadonnées suivantes sont extraites mais ne sont pas utilisées comme features du modèle ML. Le genre est utilisé uniquement pour l’audit de fairness (calcul de l’EPD, du RID et du Delta-TPR). L’âge est extrait mais n’est pas utilisé dans le modèle. Le nom et le rôle cible servent uniquement à l’affichage et au filtrage dans l’interface.</w:t>
      </w:r>
    </w:p>
    <w:tbl>
      <w:tblPr>
        <w:tblW w:w="5000" w:type="pct"/>
        <w:jc w:val="start"/>
        <w:tblInd w:w="0" w:type="dxa"/>
        <w:tblLayout w:type="fixed"/>
        <w:tblCellMar>
          <w:top w:w="60" w:type="dxa"/>
          <w:start w:w="120" w:type="dxa"/>
          <w:bottom w:w="60" w:type="dxa"/>
          <w:end w:w="120" w:type="dxa"/>
        </w:tblCellMar>
      </w:tblPr>
      <w:tblGrid>
        <w:gridCol w:w="4393"/>
        <w:gridCol w:w="4395"/>
      </w:tblGrid>
      <w:tr>
        <w:trPr>
          <w:tblHeader w:val="true"/>
          <w:cantSplit w:val="true"/>
        </w:trPr>
        <w:tc>
          <w:tcPr>
            <w:tcW w:w="4393" w:type="dxa"/>
            <w:tcBorders>
              <w:top w:val="single" w:sz="2" w:space="0" w:color="2A7A65"/>
              <w:bottom w:val="single" w:sz="2" w:space="0" w:color="C5D8D0"/>
            </w:tcBorders>
            <w:shd w:fill="2A7A65" w:val="clear"/>
          </w:tcPr>
          <w:p>
            <w:pPr>
              <w:pStyle w:val="Normal"/>
              <w:rPr/>
            </w:pPr>
            <w:r>
              <w:rPr>
                <w:b/>
                <w:bCs/>
                <w:color w:val="FFFFFF"/>
                <w:sz w:val="21"/>
                <w:szCs w:val="21"/>
              </w:rPr>
              <w:t>Métadonnée</w:t>
            </w:r>
          </w:p>
        </w:tc>
        <w:tc>
          <w:tcPr>
            <w:tcW w:w="4395" w:type="dxa"/>
            <w:tcBorders>
              <w:top w:val="single" w:sz="2" w:space="0" w:color="2A7A65"/>
              <w:bottom w:val="single" w:sz="2" w:space="0" w:color="C5D8D0"/>
            </w:tcBorders>
            <w:shd w:fill="2A7A65" w:val="clear"/>
          </w:tcPr>
          <w:p>
            <w:pPr>
              <w:pStyle w:val="Normal"/>
              <w:rPr/>
            </w:pPr>
            <w:r>
              <w:rPr>
                <w:b/>
                <w:bCs/>
                <w:color w:val="FFFFFF"/>
                <w:sz w:val="21"/>
                <w:szCs w:val="21"/>
              </w:rPr>
              <w:t>Rôle</w:t>
            </w:r>
          </w:p>
        </w:tc>
      </w:tr>
      <w:tr>
        <w:trPr>
          <w:cantSplit w:val="true"/>
        </w:trPr>
        <w:tc>
          <w:tcPr>
            <w:tcW w:w="4393" w:type="dxa"/>
            <w:tcBorders>
              <w:top w:val="single" w:sz="2" w:space="0" w:color="C5D8D0"/>
              <w:bottom w:val="single" w:sz="2" w:space="0" w:color="C5D8D0"/>
            </w:tcBorders>
            <w:shd w:fill="EDF5F2" w:val="clear"/>
          </w:tcPr>
          <w:p>
            <w:pPr>
              <w:pStyle w:val="Normal"/>
              <w:rPr/>
            </w:pPr>
            <w:r>
              <w:rPr>
                <w:color w:val="000000"/>
                <w:sz w:val="21"/>
                <w:szCs w:val="21"/>
              </w:rPr>
              <w:t>gender</w:t>
            </w:r>
          </w:p>
        </w:tc>
        <w:tc>
          <w:tcPr>
            <w:tcW w:w="4395" w:type="dxa"/>
            <w:tcBorders>
              <w:top w:val="single" w:sz="2" w:space="0" w:color="C5D8D0"/>
              <w:bottom w:val="single" w:sz="2" w:space="0" w:color="C5D8D0"/>
            </w:tcBorders>
            <w:shd w:fill="EDF5F2" w:val="clear"/>
          </w:tcPr>
          <w:p>
            <w:pPr>
              <w:pStyle w:val="Normal"/>
              <w:rPr/>
            </w:pPr>
            <w:r>
              <w:rPr>
                <w:color w:val="000000"/>
                <w:sz w:val="21"/>
                <w:szCs w:val="21"/>
              </w:rPr>
              <w:t>Audit de fairness uniquement (jamais dans le modèle ML)</w:t>
            </w:r>
          </w:p>
        </w:tc>
      </w:tr>
      <w:tr>
        <w:trPr>
          <w:cantSplit w:val="true"/>
        </w:trPr>
        <w:tc>
          <w:tcPr>
            <w:tcW w:w="4393" w:type="dxa"/>
            <w:tcBorders>
              <w:top w:val="single" w:sz="2" w:space="0" w:color="C5D8D0"/>
              <w:bottom w:val="single" w:sz="2" w:space="0" w:color="C5D8D0"/>
            </w:tcBorders>
          </w:tcPr>
          <w:p>
            <w:pPr>
              <w:pStyle w:val="Normal"/>
              <w:rPr/>
            </w:pPr>
            <w:r>
              <w:rPr>
                <w:color w:val="000000"/>
                <w:sz w:val="21"/>
                <w:szCs w:val="21"/>
              </w:rPr>
              <w:t>age</w:t>
            </w:r>
          </w:p>
        </w:tc>
        <w:tc>
          <w:tcPr>
            <w:tcW w:w="4395" w:type="dxa"/>
            <w:tcBorders>
              <w:top w:val="single" w:sz="2" w:space="0" w:color="C5D8D0"/>
              <w:bottom w:val="single" w:sz="2" w:space="0" w:color="C5D8D0"/>
            </w:tcBorders>
          </w:tcPr>
          <w:p>
            <w:pPr>
              <w:pStyle w:val="Normal"/>
              <w:rPr/>
            </w:pPr>
            <w:r>
              <w:rPr>
                <w:color w:val="000000"/>
                <w:sz w:val="21"/>
                <w:szCs w:val="21"/>
              </w:rPr>
              <w:t>Extrait mais pas utilisé dans le modèle ML</w:t>
            </w:r>
          </w:p>
        </w:tc>
      </w:tr>
      <w:tr>
        <w:trPr>
          <w:cantSplit w:val="true"/>
        </w:trPr>
        <w:tc>
          <w:tcPr>
            <w:tcW w:w="4393" w:type="dxa"/>
            <w:tcBorders>
              <w:top w:val="single" w:sz="2" w:space="0" w:color="C5D8D0"/>
              <w:bottom w:val="single" w:sz="2" w:space="0" w:color="C5D8D0"/>
            </w:tcBorders>
            <w:shd w:fill="EDF5F2" w:val="clear"/>
          </w:tcPr>
          <w:p>
            <w:pPr>
              <w:pStyle w:val="Normal"/>
              <w:rPr/>
            </w:pPr>
            <w:r>
              <w:rPr>
                <w:color w:val="000000"/>
                <w:sz w:val="21"/>
                <w:szCs w:val="21"/>
              </w:rPr>
              <w:t>name</w:t>
            </w:r>
          </w:p>
        </w:tc>
        <w:tc>
          <w:tcPr>
            <w:tcW w:w="4395" w:type="dxa"/>
            <w:tcBorders>
              <w:top w:val="single" w:sz="2" w:space="0" w:color="C5D8D0"/>
              <w:bottom w:val="single" w:sz="2" w:space="0" w:color="C5D8D0"/>
            </w:tcBorders>
            <w:shd w:fill="EDF5F2" w:val="clear"/>
          </w:tcPr>
          <w:p>
            <w:pPr>
              <w:pStyle w:val="Normal"/>
              <w:rPr/>
            </w:pPr>
            <w:r>
              <w:rPr>
                <w:color w:val="000000"/>
                <w:sz w:val="21"/>
                <w:szCs w:val="21"/>
              </w:rPr>
              <w:t>Affichage dans l’interface</w:t>
            </w:r>
          </w:p>
        </w:tc>
      </w:tr>
      <w:tr>
        <w:trPr>
          <w:cantSplit w:val="true"/>
        </w:trPr>
        <w:tc>
          <w:tcPr>
            <w:tcW w:w="4393" w:type="dxa"/>
            <w:tcBorders>
              <w:top w:val="single" w:sz="2" w:space="0" w:color="C5D8D0"/>
              <w:bottom w:val="single" w:sz="2" w:space="0" w:color="2A7A65"/>
            </w:tcBorders>
          </w:tcPr>
          <w:p>
            <w:pPr>
              <w:pStyle w:val="Normal"/>
              <w:rPr/>
            </w:pPr>
            <w:r>
              <w:rPr>
                <w:color w:val="000000"/>
                <w:sz w:val="21"/>
                <w:szCs w:val="21"/>
              </w:rPr>
              <w:t>target_role</w:t>
            </w:r>
          </w:p>
        </w:tc>
        <w:tc>
          <w:tcPr>
            <w:tcW w:w="4395" w:type="dxa"/>
            <w:tcBorders>
              <w:top w:val="single" w:sz="2" w:space="0" w:color="C5D8D0"/>
              <w:bottom w:val="single" w:sz="2" w:space="0" w:color="2A7A65"/>
            </w:tcBorders>
          </w:tcPr>
          <w:p>
            <w:pPr>
              <w:pStyle w:val="Normal"/>
              <w:rPr/>
            </w:pPr>
            <w:r>
              <w:rPr>
                <w:color w:val="000000"/>
                <w:sz w:val="21"/>
                <w:szCs w:val="21"/>
              </w:rPr>
              <w:t>Affichage et filtrage</w:t>
            </w:r>
          </w:p>
        </w:tc>
      </w:tr>
    </w:tbl>
    <w:p>
      <w:pPr>
        <w:pStyle w:val="Heading1"/>
        <w:spacing w:lineRule="auto" w:line="312" w:before="360" w:after="160"/>
        <w:rPr/>
      </w:pPr>
      <w:bookmarkStart w:id="12" w:name="_Toc100012"/>
      <w:r>
        <w:rPr>
          <w:rFonts w:eastAsia="SimHei"/>
          <w:b/>
          <w:bCs/>
          <w:color w:val="0C1F1A"/>
          <w:sz w:val="32"/>
          <w:szCs w:val="32"/>
        </w:rPr>
        <w:t>5. Pipeline Machine Learning</w:t>
      </w:r>
      <w:bookmarkEnd w:id="12"/>
    </w:p>
    <w:p>
      <w:pPr>
        <w:pStyle w:val="Normal"/>
        <w:spacing w:lineRule="auto" w:line="312" w:before="0" w:after="80"/>
        <w:jc w:val="both"/>
        <w:rPr/>
      </w:pPr>
      <w:r>
        <w:rPr>
          <w:rFonts w:eastAsia="Microsoft YaHei"/>
          <w:color w:val="000000"/>
          <w:sz w:val="24"/>
          <w:szCs w:val="24"/>
        </w:rPr>
        <w:t>Le flux de prédiction d’un CV suit les étapes suivantes : extraction des 7 features via feature_extractor.py, vérification par le hard filter (5 critères configurables), mise à l’échelle via RobustScaler, prédiction par le modèle Logistic Regression avec un seuil de 0.45, et génération des valeurs SHAP via LinearExplainer pour explicabilité. Les résultats sont ensuite persistés dans le journal CSV et dans Supabase via le frontend.</w:t>
      </w:r>
    </w:p>
    <w:p>
      <w:pPr>
        <w:pStyle w:val="Heading2"/>
        <w:spacing w:lineRule="auto" w:line="312" w:before="240" w:after="120"/>
        <w:rPr/>
      </w:pPr>
      <w:bookmarkStart w:id="13" w:name="_Toc100013"/>
      <w:r>
        <w:rPr>
          <w:rFonts w:eastAsia="SimHei"/>
          <w:b/>
          <w:bCs/>
          <w:color w:val="0C1F1A"/>
          <w:sz w:val="28"/>
          <w:szCs w:val="28"/>
        </w:rPr>
        <w:t>5.1 Modèle de base — Logistic Regression</w:t>
      </w:r>
      <w:bookmarkEnd w:id="13"/>
    </w:p>
    <w:p>
      <w:pPr>
        <w:pStyle w:val="Normal"/>
        <w:spacing w:lineRule="auto" w:line="312" w:before="0" w:after="80"/>
        <w:jc w:val="both"/>
        <w:rPr/>
      </w:pPr>
      <w:r>
        <w:rPr>
          <w:rFonts w:eastAsia="Microsoft YaHei"/>
          <w:color w:val="000000"/>
          <w:sz w:val="24"/>
          <w:szCs w:val="24"/>
        </w:rPr>
        <w:t>Le modèle de base est une régression logistique dont les hyperparamètres ont été sélectionnés via GridSearchCV avec validation croisée 5-fold optimisée sur le F1-score. Le dataset d’entraînement est divisé en 80% train / 20% test, et le paramètre class_weight=’balanced’ compense le déséquilibre des classes (~20% Invite, ~80% Reject). Le seuil de décision est abaissé à 0.45 pour favoriser le rappel (ne pas manquer de bons candidats).</w:t>
      </w:r>
    </w:p>
    <w:tbl>
      <w:tblPr>
        <w:tblW w:w="5000" w:type="pct"/>
        <w:jc w:val="start"/>
        <w:tblInd w:w="0" w:type="dxa"/>
        <w:tblLayout w:type="fixed"/>
        <w:tblCellMar>
          <w:top w:w="60" w:type="dxa"/>
          <w:start w:w="120" w:type="dxa"/>
          <w:bottom w:w="60" w:type="dxa"/>
          <w:end w:w="120" w:type="dxa"/>
        </w:tblCellMar>
      </w:tblPr>
      <w:tblGrid>
        <w:gridCol w:w="4393"/>
        <w:gridCol w:w="4395"/>
      </w:tblGrid>
      <w:tr>
        <w:trPr>
          <w:tblHeader w:val="true"/>
          <w:cantSplit w:val="true"/>
        </w:trPr>
        <w:tc>
          <w:tcPr>
            <w:tcW w:w="4393" w:type="dxa"/>
            <w:tcBorders>
              <w:top w:val="single" w:sz="2" w:space="0" w:color="2A7A65"/>
              <w:bottom w:val="single" w:sz="2" w:space="0" w:color="C5D8D0"/>
            </w:tcBorders>
            <w:shd w:fill="2A7A65" w:val="clear"/>
          </w:tcPr>
          <w:p>
            <w:pPr>
              <w:pStyle w:val="Normal"/>
              <w:rPr/>
            </w:pPr>
            <w:r>
              <w:rPr>
                <w:b/>
                <w:bCs/>
                <w:color w:val="FFFFFF"/>
                <w:sz w:val="21"/>
                <w:szCs w:val="21"/>
              </w:rPr>
              <w:t>Hyperparamètre</w:t>
            </w:r>
          </w:p>
        </w:tc>
        <w:tc>
          <w:tcPr>
            <w:tcW w:w="4395" w:type="dxa"/>
            <w:tcBorders>
              <w:top w:val="single" w:sz="2" w:space="0" w:color="2A7A65"/>
              <w:bottom w:val="single" w:sz="2" w:space="0" w:color="C5D8D0"/>
            </w:tcBorders>
            <w:shd w:fill="2A7A65" w:val="clear"/>
          </w:tcPr>
          <w:p>
            <w:pPr>
              <w:pStyle w:val="Normal"/>
              <w:rPr/>
            </w:pPr>
            <w:r>
              <w:rPr>
                <w:b/>
                <w:bCs/>
                <w:color w:val="FFFFFF"/>
                <w:sz w:val="21"/>
                <w:szCs w:val="21"/>
              </w:rPr>
              <w:t>Valeur</w:t>
            </w:r>
          </w:p>
        </w:tc>
      </w:tr>
      <w:tr>
        <w:trPr>
          <w:cantSplit w:val="true"/>
        </w:trPr>
        <w:tc>
          <w:tcPr>
            <w:tcW w:w="4393" w:type="dxa"/>
            <w:tcBorders>
              <w:top w:val="single" w:sz="2" w:space="0" w:color="C5D8D0"/>
              <w:bottom w:val="single" w:sz="2" w:space="0" w:color="C5D8D0"/>
            </w:tcBorders>
            <w:shd w:fill="EDF5F2" w:val="clear"/>
          </w:tcPr>
          <w:p>
            <w:pPr>
              <w:pStyle w:val="Normal"/>
              <w:rPr/>
            </w:pPr>
            <w:r>
              <w:rPr>
                <w:color w:val="000000"/>
                <w:sz w:val="21"/>
                <w:szCs w:val="21"/>
              </w:rPr>
              <w:t>Régularisation</w:t>
            </w:r>
          </w:p>
        </w:tc>
        <w:tc>
          <w:tcPr>
            <w:tcW w:w="4395" w:type="dxa"/>
            <w:tcBorders>
              <w:top w:val="single" w:sz="2" w:space="0" w:color="C5D8D0"/>
              <w:bottom w:val="single" w:sz="2" w:space="0" w:color="C5D8D0"/>
            </w:tcBorders>
            <w:shd w:fill="EDF5F2" w:val="clear"/>
          </w:tcPr>
          <w:p>
            <w:pPr>
              <w:pStyle w:val="Normal"/>
              <w:rPr/>
            </w:pPr>
            <w:r>
              <w:rPr>
                <w:color w:val="000000"/>
                <w:sz w:val="21"/>
                <w:szCs w:val="21"/>
              </w:rPr>
              <w:t>L1 (Lasso)</w:t>
            </w:r>
          </w:p>
        </w:tc>
      </w:tr>
      <w:tr>
        <w:trPr>
          <w:cantSplit w:val="true"/>
        </w:trPr>
        <w:tc>
          <w:tcPr>
            <w:tcW w:w="4393" w:type="dxa"/>
            <w:tcBorders>
              <w:top w:val="single" w:sz="2" w:space="0" w:color="C5D8D0"/>
              <w:bottom w:val="single" w:sz="2" w:space="0" w:color="C5D8D0"/>
            </w:tcBorders>
          </w:tcPr>
          <w:p>
            <w:pPr>
              <w:pStyle w:val="Normal"/>
              <w:rPr/>
            </w:pPr>
            <w:r>
              <w:rPr>
                <w:color w:val="000000"/>
                <w:sz w:val="21"/>
                <w:szCs w:val="21"/>
              </w:rPr>
              <w:t>C (inverse de régularisation)</w:t>
            </w:r>
          </w:p>
        </w:tc>
        <w:tc>
          <w:tcPr>
            <w:tcW w:w="4395" w:type="dxa"/>
            <w:tcBorders>
              <w:top w:val="single" w:sz="2" w:space="0" w:color="C5D8D0"/>
              <w:bottom w:val="single" w:sz="2" w:space="0" w:color="C5D8D0"/>
            </w:tcBorders>
          </w:tcPr>
          <w:p>
            <w:pPr>
              <w:pStyle w:val="Normal"/>
              <w:rPr/>
            </w:pPr>
            <w:r>
              <w:rPr>
                <w:color w:val="000000"/>
                <w:sz w:val="21"/>
                <w:szCs w:val="21"/>
              </w:rPr>
              <w:t>1.0</w:t>
            </w:r>
          </w:p>
        </w:tc>
      </w:tr>
      <w:tr>
        <w:trPr>
          <w:cantSplit w:val="true"/>
        </w:trPr>
        <w:tc>
          <w:tcPr>
            <w:tcW w:w="4393" w:type="dxa"/>
            <w:tcBorders>
              <w:top w:val="single" w:sz="2" w:space="0" w:color="C5D8D0"/>
              <w:bottom w:val="single" w:sz="2" w:space="0" w:color="C5D8D0"/>
            </w:tcBorders>
            <w:shd w:fill="EDF5F2" w:val="clear"/>
          </w:tcPr>
          <w:p>
            <w:pPr>
              <w:pStyle w:val="Normal"/>
              <w:rPr/>
            </w:pPr>
            <w:r>
              <w:rPr>
                <w:color w:val="000000"/>
                <w:sz w:val="21"/>
                <w:szCs w:val="21"/>
              </w:rPr>
              <w:t>class_weight</w:t>
            </w:r>
          </w:p>
        </w:tc>
        <w:tc>
          <w:tcPr>
            <w:tcW w:w="4395" w:type="dxa"/>
            <w:tcBorders>
              <w:top w:val="single" w:sz="2" w:space="0" w:color="C5D8D0"/>
              <w:bottom w:val="single" w:sz="2" w:space="0" w:color="C5D8D0"/>
            </w:tcBorders>
            <w:shd w:fill="EDF5F2" w:val="clear"/>
          </w:tcPr>
          <w:p>
            <w:pPr>
              <w:pStyle w:val="Normal"/>
              <w:rPr/>
            </w:pPr>
            <w:r>
              <w:rPr>
                <w:color w:val="000000"/>
                <w:sz w:val="21"/>
                <w:szCs w:val="21"/>
              </w:rPr>
              <w:t>balanced</w:t>
            </w:r>
          </w:p>
        </w:tc>
      </w:tr>
      <w:tr>
        <w:trPr>
          <w:cantSplit w:val="true"/>
        </w:trPr>
        <w:tc>
          <w:tcPr>
            <w:tcW w:w="4393" w:type="dxa"/>
            <w:tcBorders>
              <w:top w:val="single" w:sz="2" w:space="0" w:color="C5D8D0"/>
              <w:bottom w:val="single" w:sz="2" w:space="0" w:color="C5D8D0"/>
            </w:tcBorders>
          </w:tcPr>
          <w:p>
            <w:pPr>
              <w:pStyle w:val="Normal"/>
              <w:rPr/>
            </w:pPr>
            <w:r>
              <w:rPr>
                <w:color w:val="000000"/>
                <w:sz w:val="21"/>
                <w:szCs w:val="21"/>
              </w:rPr>
              <w:t>Scaler</w:t>
            </w:r>
          </w:p>
        </w:tc>
        <w:tc>
          <w:tcPr>
            <w:tcW w:w="4395" w:type="dxa"/>
            <w:tcBorders>
              <w:top w:val="single" w:sz="2" w:space="0" w:color="C5D8D0"/>
              <w:bottom w:val="single" w:sz="2" w:space="0" w:color="C5D8D0"/>
            </w:tcBorders>
          </w:tcPr>
          <w:p>
            <w:pPr>
              <w:pStyle w:val="Normal"/>
              <w:rPr/>
            </w:pPr>
            <w:r>
              <w:rPr>
                <w:color w:val="000000"/>
                <w:sz w:val="21"/>
                <w:szCs w:val="21"/>
              </w:rPr>
              <w:t>RobustScaler</w:t>
            </w:r>
          </w:p>
        </w:tc>
      </w:tr>
      <w:tr>
        <w:trPr>
          <w:cantSplit w:val="true"/>
        </w:trPr>
        <w:tc>
          <w:tcPr>
            <w:tcW w:w="4393" w:type="dxa"/>
            <w:tcBorders>
              <w:top w:val="single" w:sz="2" w:space="0" w:color="C5D8D0"/>
              <w:bottom w:val="single" w:sz="2" w:space="0" w:color="C5D8D0"/>
            </w:tcBorders>
            <w:shd w:fill="EDF5F2" w:val="clear"/>
          </w:tcPr>
          <w:p>
            <w:pPr>
              <w:pStyle w:val="Normal"/>
              <w:rPr/>
            </w:pPr>
            <w:r>
              <w:rPr>
                <w:color w:val="000000"/>
                <w:sz w:val="21"/>
                <w:szCs w:val="21"/>
              </w:rPr>
              <w:t>Seuil de décision</w:t>
            </w:r>
          </w:p>
        </w:tc>
        <w:tc>
          <w:tcPr>
            <w:tcW w:w="4395" w:type="dxa"/>
            <w:tcBorders>
              <w:top w:val="single" w:sz="2" w:space="0" w:color="C5D8D0"/>
              <w:bottom w:val="single" w:sz="2" w:space="0" w:color="C5D8D0"/>
            </w:tcBorders>
            <w:shd w:fill="EDF5F2" w:val="clear"/>
          </w:tcPr>
          <w:p>
            <w:pPr>
              <w:pStyle w:val="Normal"/>
              <w:rPr/>
            </w:pPr>
            <w:r>
              <w:rPr>
                <w:color w:val="000000"/>
                <w:sz w:val="21"/>
                <w:szCs w:val="21"/>
              </w:rPr>
              <w:t>0.45</w:t>
            </w:r>
          </w:p>
        </w:tc>
      </w:tr>
      <w:tr>
        <w:trPr>
          <w:cantSplit w:val="true"/>
        </w:trPr>
        <w:tc>
          <w:tcPr>
            <w:tcW w:w="4393" w:type="dxa"/>
            <w:tcBorders>
              <w:top w:val="single" w:sz="2" w:space="0" w:color="C5D8D0"/>
              <w:bottom w:val="single" w:sz="2" w:space="0" w:color="C5D8D0"/>
            </w:tcBorders>
          </w:tcPr>
          <w:p>
            <w:pPr>
              <w:pStyle w:val="Normal"/>
              <w:rPr/>
            </w:pPr>
            <w:r>
              <w:rPr>
                <w:color w:val="000000"/>
                <w:sz w:val="21"/>
                <w:szCs w:val="21"/>
              </w:rPr>
              <w:t>Split train/test</w:t>
            </w:r>
          </w:p>
        </w:tc>
        <w:tc>
          <w:tcPr>
            <w:tcW w:w="4395" w:type="dxa"/>
            <w:tcBorders>
              <w:top w:val="single" w:sz="2" w:space="0" w:color="C5D8D0"/>
              <w:bottom w:val="single" w:sz="2" w:space="0" w:color="C5D8D0"/>
            </w:tcBorders>
          </w:tcPr>
          <w:p>
            <w:pPr>
              <w:pStyle w:val="Normal"/>
              <w:rPr/>
            </w:pPr>
            <w:r>
              <w:rPr>
                <w:color w:val="000000"/>
                <w:sz w:val="21"/>
                <w:szCs w:val="21"/>
              </w:rPr>
              <w:t>80/20</w:t>
            </w:r>
          </w:p>
        </w:tc>
      </w:tr>
      <w:tr>
        <w:trPr>
          <w:cantSplit w:val="true"/>
        </w:trPr>
        <w:tc>
          <w:tcPr>
            <w:tcW w:w="4393" w:type="dxa"/>
            <w:tcBorders>
              <w:top w:val="single" w:sz="2" w:space="0" w:color="C5D8D0"/>
              <w:bottom w:val="single" w:sz="2" w:space="0" w:color="2A7A65"/>
            </w:tcBorders>
            <w:shd w:fill="EDF5F2" w:val="clear"/>
          </w:tcPr>
          <w:p>
            <w:pPr>
              <w:pStyle w:val="Normal"/>
              <w:rPr/>
            </w:pPr>
            <w:r>
              <w:rPr>
                <w:color w:val="000000"/>
                <w:sz w:val="21"/>
                <w:szCs w:val="21"/>
              </w:rPr>
              <w:t>Sélection d’hyperparamètres</w:t>
            </w:r>
          </w:p>
        </w:tc>
        <w:tc>
          <w:tcPr>
            <w:tcW w:w="4395" w:type="dxa"/>
            <w:tcBorders>
              <w:top w:val="single" w:sz="2" w:space="0" w:color="C5D8D0"/>
              <w:bottom w:val="single" w:sz="2" w:space="0" w:color="2A7A65"/>
            </w:tcBorders>
            <w:shd w:fill="EDF5F2" w:val="clear"/>
          </w:tcPr>
          <w:p>
            <w:pPr>
              <w:pStyle w:val="Normal"/>
              <w:rPr/>
            </w:pPr>
            <w:r>
              <w:rPr>
                <w:color w:val="000000"/>
                <w:sz w:val="21"/>
                <w:szCs w:val="21"/>
              </w:rPr>
              <w:t>GridSearchCV 5-fold sur F1</w:t>
            </w:r>
          </w:p>
        </w:tc>
      </w:tr>
    </w:tbl>
    <w:p>
      <w:pPr>
        <w:pStyle w:val="Heading1"/>
        <w:spacing w:lineRule="auto" w:line="312" w:before="360" w:after="160"/>
        <w:rPr/>
      </w:pPr>
      <w:bookmarkStart w:id="14" w:name="_Toc100014"/>
      <w:r>
        <w:rPr>
          <w:rFonts w:eastAsia="SimHei"/>
          <w:b/>
          <w:bCs/>
          <w:color w:val="0C1F1A"/>
          <w:sz w:val="32"/>
          <w:szCs w:val="32"/>
        </w:rPr>
        <w:t>6. Audit de fairness et explicabilité</w:t>
      </w:r>
      <w:bookmarkEnd w:id="14"/>
    </w:p>
    <w:p>
      <w:pPr>
        <w:pStyle w:val="Heading2"/>
        <w:spacing w:lineRule="auto" w:line="312" w:before="240" w:after="120"/>
        <w:rPr/>
      </w:pPr>
      <w:bookmarkStart w:id="15" w:name="_Toc100015"/>
      <w:r>
        <w:rPr>
          <w:rFonts w:eastAsia="SimHei"/>
          <w:b/>
          <w:bCs/>
          <w:color w:val="0C1F1A"/>
          <w:sz w:val="28"/>
          <w:szCs w:val="28"/>
        </w:rPr>
        <w:t>6.1 Résultats du modèle de base</w:t>
      </w:r>
      <w:bookmarkEnd w:id="15"/>
    </w:p>
    <w:p>
      <w:pPr>
        <w:pStyle w:val="Normal"/>
        <w:spacing w:lineRule="auto" w:line="312" w:before="0" w:after="80"/>
        <w:jc w:val="both"/>
        <w:rPr/>
      </w:pPr>
      <w:r>
        <w:rPr>
          <w:rFonts w:eastAsia="Microsoft YaHei"/>
          <w:color w:val="000000"/>
          <w:sz w:val="24"/>
          <w:szCs w:val="24"/>
        </w:rPr>
        <w:t>Le système calcule trois métriques de fairness pour surveiller les disparités démographiques dans les décisions du modèle : l’EPD (Demographic Parity Difference), le RID (Disparate Impact Ratio) et le Delta-TPR (Equalized Odds). Ces métriques sont calculées par genre. Les résultats ci-dessous reflètent les métriques du modèle de base (Logistic Regression sans post-traitement de fairness). L’EPD et le RID se situent dans des plages acceptables, tandis que le Delta-TPR dépasse le seuil d’alerte, ce qui est attribué à la taille réduite du jeu de données d’entraînement.</w:t>
      </w:r>
    </w:p>
    <w:tbl>
      <w:tblPr>
        <w:tblW w:w="5000" w:type="pct"/>
        <w:jc w:val="start"/>
        <w:tblInd w:w="0" w:type="dxa"/>
        <w:tblLayout w:type="fixed"/>
        <w:tblCellMar>
          <w:top w:w="60" w:type="dxa"/>
          <w:start w:w="120" w:type="dxa"/>
          <w:bottom w:w="60" w:type="dxa"/>
          <w:end w:w="120" w:type="dxa"/>
        </w:tblCellMar>
      </w:tblPr>
      <w:tblGrid>
        <w:gridCol w:w="2929"/>
        <w:gridCol w:w="2929"/>
        <w:gridCol w:w="2930"/>
      </w:tblGrid>
      <w:tr>
        <w:trPr>
          <w:tblHeader w:val="true"/>
          <w:cantSplit w:val="true"/>
        </w:trPr>
        <w:tc>
          <w:tcPr>
            <w:tcW w:w="2929" w:type="dxa"/>
            <w:tcBorders>
              <w:top w:val="single" w:sz="2" w:space="0" w:color="2A7A65"/>
              <w:bottom w:val="single" w:sz="2" w:space="0" w:color="C5D8D0"/>
            </w:tcBorders>
            <w:shd w:fill="2A7A65" w:val="clear"/>
          </w:tcPr>
          <w:p>
            <w:pPr>
              <w:pStyle w:val="Normal"/>
              <w:rPr/>
            </w:pPr>
            <w:r>
              <w:rPr>
                <w:b/>
                <w:bCs/>
                <w:color w:val="FFFFFF"/>
                <w:sz w:val="21"/>
                <w:szCs w:val="21"/>
              </w:rPr>
              <w:t>Métrique</w:t>
            </w:r>
          </w:p>
        </w:tc>
        <w:tc>
          <w:tcPr>
            <w:tcW w:w="2929" w:type="dxa"/>
            <w:tcBorders>
              <w:top w:val="single" w:sz="2" w:space="0" w:color="2A7A65"/>
              <w:bottom w:val="single" w:sz="2" w:space="0" w:color="C5D8D0"/>
            </w:tcBorders>
            <w:shd w:fill="2A7A65" w:val="clear"/>
          </w:tcPr>
          <w:p>
            <w:pPr>
              <w:pStyle w:val="Normal"/>
              <w:rPr/>
            </w:pPr>
            <w:r>
              <w:rPr>
                <w:b/>
                <w:bCs/>
                <w:color w:val="FFFFFF"/>
                <w:sz w:val="21"/>
                <w:szCs w:val="21"/>
              </w:rPr>
              <w:t>Valeur</w:t>
            </w:r>
          </w:p>
        </w:tc>
        <w:tc>
          <w:tcPr>
            <w:tcW w:w="2930" w:type="dxa"/>
            <w:tcBorders>
              <w:top w:val="single" w:sz="2" w:space="0" w:color="2A7A65"/>
              <w:bottom w:val="single" w:sz="2" w:space="0" w:color="C5D8D0"/>
            </w:tcBorders>
            <w:shd w:fill="2A7A65" w:val="clear"/>
          </w:tcPr>
          <w:p>
            <w:pPr>
              <w:pStyle w:val="Normal"/>
              <w:rPr/>
            </w:pPr>
            <w:r>
              <w:rPr>
                <w:b/>
                <w:bCs/>
                <w:color w:val="FFFFFF"/>
                <w:sz w:val="21"/>
                <w:szCs w:val="21"/>
              </w:rPr>
              <w:t>Statut</w:t>
            </w:r>
          </w:p>
        </w:tc>
      </w:tr>
      <w:tr>
        <w:trPr>
          <w:cantSplit w:val="true"/>
        </w:trPr>
        <w:tc>
          <w:tcPr>
            <w:tcW w:w="2929" w:type="dxa"/>
            <w:tcBorders>
              <w:top w:val="single" w:sz="2" w:space="0" w:color="C5D8D0"/>
              <w:bottom w:val="single" w:sz="2" w:space="0" w:color="C5D8D0"/>
            </w:tcBorders>
            <w:shd w:fill="EDF5F2" w:val="clear"/>
          </w:tcPr>
          <w:p>
            <w:pPr>
              <w:pStyle w:val="Normal"/>
              <w:rPr/>
            </w:pPr>
            <w:r>
              <w:rPr>
                <w:color w:val="000000"/>
                <w:sz w:val="21"/>
                <w:szCs w:val="21"/>
              </w:rPr>
              <w:t>EPD</w:t>
            </w:r>
          </w:p>
        </w:tc>
        <w:tc>
          <w:tcPr>
            <w:tcW w:w="2929" w:type="dxa"/>
            <w:tcBorders>
              <w:top w:val="single" w:sz="2" w:space="0" w:color="C5D8D0"/>
              <w:bottom w:val="single" w:sz="2" w:space="0" w:color="C5D8D0"/>
            </w:tcBorders>
            <w:shd w:fill="EDF5F2" w:val="clear"/>
          </w:tcPr>
          <w:p>
            <w:pPr>
              <w:pStyle w:val="Normal"/>
              <w:rPr/>
            </w:pPr>
            <w:r>
              <w:rPr>
                <w:color w:val="000000"/>
                <w:sz w:val="21"/>
                <w:szCs w:val="21"/>
              </w:rPr>
              <w:t>4.9 pts</w:t>
            </w:r>
          </w:p>
        </w:tc>
        <w:tc>
          <w:tcPr>
            <w:tcW w:w="2930" w:type="dxa"/>
            <w:tcBorders>
              <w:top w:val="single" w:sz="2" w:space="0" w:color="C5D8D0"/>
              <w:bottom w:val="single" w:sz="2" w:space="0" w:color="C5D8D0"/>
            </w:tcBorders>
            <w:shd w:fill="EDF5F2" w:val="clear"/>
          </w:tcPr>
          <w:p>
            <w:pPr>
              <w:pStyle w:val="Normal"/>
              <w:rPr/>
            </w:pPr>
            <w:r>
              <w:rPr>
                <w:color w:val="000000"/>
                <w:sz w:val="21"/>
                <w:szCs w:val="21"/>
              </w:rPr>
              <w:t>OK (&lt; 5 pts)</w:t>
            </w:r>
          </w:p>
        </w:tc>
      </w:tr>
      <w:tr>
        <w:trPr>
          <w:cantSplit w:val="true"/>
        </w:trPr>
        <w:tc>
          <w:tcPr>
            <w:tcW w:w="2929" w:type="dxa"/>
            <w:tcBorders>
              <w:top w:val="single" w:sz="2" w:space="0" w:color="C5D8D0"/>
              <w:bottom w:val="single" w:sz="2" w:space="0" w:color="C5D8D0"/>
            </w:tcBorders>
          </w:tcPr>
          <w:p>
            <w:pPr>
              <w:pStyle w:val="Normal"/>
              <w:rPr/>
            </w:pPr>
            <w:r>
              <w:rPr>
                <w:color w:val="000000"/>
                <w:sz w:val="21"/>
                <w:szCs w:val="21"/>
              </w:rPr>
              <w:t>RID</w:t>
            </w:r>
          </w:p>
        </w:tc>
        <w:tc>
          <w:tcPr>
            <w:tcW w:w="2929" w:type="dxa"/>
            <w:tcBorders>
              <w:top w:val="single" w:sz="2" w:space="0" w:color="C5D8D0"/>
              <w:bottom w:val="single" w:sz="2" w:space="0" w:color="C5D8D0"/>
            </w:tcBorders>
          </w:tcPr>
          <w:p>
            <w:pPr>
              <w:pStyle w:val="Normal"/>
              <w:rPr/>
            </w:pPr>
            <w:r>
              <w:rPr>
                <w:color w:val="000000"/>
                <w:sz w:val="21"/>
                <w:szCs w:val="21"/>
              </w:rPr>
              <w:t>0.892</w:t>
            </w:r>
          </w:p>
        </w:tc>
        <w:tc>
          <w:tcPr>
            <w:tcW w:w="2930" w:type="dxa"/>
            <w:tcBorders>
              <w:top w:val="single" w:sz="2" w:space="0" w:color="C5D8D0"/>
              <w:bottom w:val="single" w:sz="2" w:space="0" w:color="C5D8D0"/>
            </w:tcBorders>
          </w:tcPr>
          <w:p>
            <w:pPr>
              <w:pStyle w:val="Normal"/>
              <w:rPr/>
            </w:pPr>
            <w:r>
              <w:rPr>
                <w:color w:val="000000"/>
                <w:sz w:val="21"/>
                <w:szCs w:val="21"/>
              </w:rPr>
              <w:t>OK (&gt; 0.80)</w:t>
            </w:r>
          </w:p>
        </w:tc>
      </w:tr>
      <w:tr>
        <w:trPr>
          <w:cantSplit w:val="true"/>
        </w:trPr>
        <w:tc>
          <w:tcPr>
            <w:tcW w:w="2929" w:type="dxa"/>
            <w:tcBorders>
              <w:top w:val="single" w:sz="2" w:space="0" w:color="C5D8D0"/>
              <w:bottom w:val="single" w:sz="2" w:space="0" w:color="C5D8D0"/>
            </w:tcBorders>
            <w:shd w:fill="EDF5F2" w:val="clear"/>
          </w:tcPr>
          <w:p>
            <w:pPr>
              <w:pStyle w:val="Normal"/>
              <w:rPr/>
            </w:pPr>
            <w:r>
              <w:rPr>
                <w:color w:val="000000"/>
                <w:sz w:val="21"/>
                <w:szCs w:val="21"/>
              </w:rPr>
              <w:t>Delta-TPR</w:t>
            </w:r>
          </w:p>
        </w:tc>
        <w:tc>
          <w:tcPr>
            <w:tcW w:w="2929" w:type="dxa"/>
            <w:tcBorders>
              <w:top w:val="single" w:sz="2" w:space="0" w:color="C5D8D0"/>
              <w:bottom w:val="single" w:sz="2" w:space="0" w:color="C5D8D0"/>
            </w:tcBorders>
            <w:shd w:fill="EDF5F2" w:val="clear"/>
          </w:tcPr>
          <w:p>
            <w:pPr>
              <w:pStyle w:val="Normal"/>
              <w:rPr/>
            </w:pPr>
            <w:r>
              <w:rPr>
                <w:color w:val="000000"/>
                <w:sz w:val="21"/>
                <w:szCs w:val="21"/>
              </w:rPr>
              <w:t>16.2 pts</w:t>
            </w:r>
          </w:p>
        </w:tc>
        <w:tc>
          <w:tcPr>
            <w:tcW w:w="2930" w:type="dxa"/>
            <w:tcBorders>
              <w:top w:val="single" w:sz="2" w:space="0" w:color="C5D8D0"/>
              <w:bottom w:val="single" w:sz="2" w:space="0" w:color="C5D8D0"/>
            </w:tcBorders>
            <w:shd w:fill="EDF5F2" w:val="clear"/>
          </w:tcPr>
          <w:p>
            <w:pPr>
              <w:pStyle w:val="Normal"/>
              <w:rPr/>
            </w:pPr>
            <w:r>
              <w:rPr>
                <w:color w:val="000000"/>
                <w:sz w:val="21"/>
                <w:szCs w:val="21"/>
              </w:rPr>
              <w:t>ALERT (&gt; 5 pts)</w:t>
            </w:r>
          </w:p>
        </w:tc>
      </w:tr>
      <w:tr>
        <w:trPr>
          <w:cantSplit w:val="true"/>
        </w:trPr>
        <w:tc>
          <w:tcPr>
            <w:tcW w:w="2929" w:type="dxa"/>
            <w:tcBorders>
              <w:top w:val="single" w:sz="2" w:space="0" w:color="C5D8D0"/>
              <w:bottom w:val="single" w:sz="2" w:space="0" w:color="C5D8D0"/>
            </w:tcBorders>
          </w:tcPr>
          <w:p>
            <w:pPr>
              <w:pStyle w:val="Normal"/>
              <w:rPr/>
            </w:pPr>
            <w:r>
              <w:rPr>
                <w:color w:val="000000"/>
                <w:sz w:val="21"/>
                <w:szCs w:val="21"/>
              </w:rPr>
              <w:t>Taux d’invitation (Female)</w:t>
            </w:r>
          </w:p>
        </w:tc>
        <w:tc>
          <w:tcPr>
            <w:tcW w:w="2929" w:type="dxa"/>
            <w:tcBorders>
              <w:top w:val="single" w:sz="2" w:space="0" w:color="C5D8D0"/>
              <w:bottom w:val="single" w:sz="2" w:space="0" w:color="C5D8D0"/>
            </w:tcBorders>
          </w:tcPr>
          <w:p>
            <w:pPr>
              <w:pStyle w:val="Normal"/>
              <w:rPr/>
            </w:pPr>
            <w:r>
              <w:rPr>
                <w:color w:val="000000"/>
                <w:sz w:val="21"/>
                <w:szCs w:val="21"/>
              </w:rPr>
              <w:t>40.4%</w:t>
            </w:r>
          </w:p>
        </w:tc>
        <w:tc>
          <w:tcPr>
            <w:tcW w:w="2930" w:type="dxa"/>
            <w:tcBorders>
              <w:top w:val="single" w:sz="2" w:space="0" w:color="C5D8D0"/>
              <w:bottom w:val="single" w:sz="2" w:space="0" w:color="C5D8D0"/>
            </w:tcBorders>
          </w:tcPr>
          <w:p>
            <w:pPr>
              <w:pStyle w:val="Normal"/>
              <w:rPr/>
            </w:pPr>
            <w:r>
              <w:rPr>
                <w:color w:val="000000"/>
                <w:sz w:val="21"/>
                <w:szCs w:val="21"/>
              </w:rPr>
              <w:t>—</w:t>
            </w:r>
          </w:p>
        </w:tc>
      </w:tr>
      <w:tr>
        <w:trPr>
          <w:cantSplit w:val="true"/>
        </w:trPr>
        <w:tc>
          <w:tcPr>
            <w:tcW w:w="2929" w:type="dxa"/>
            <w:tcBorders>
              <w:top w:val="single" w:sz="2" w:space="0" w:color="C5D8D0"/>
              <w:bottom w:val="single" w:sz="2" w:space="0" w:color="2A7A65"/>
            </w:tcBorders>
            <w:shd w:fill="EDF5F2" w:val="clear"/>
          </w:tcPr>
          <w:p>
            <w:pPr>
              <w:pStyle w:val="Normal"/>
              <w:rPr/>
            </w:pPr>
            <w:r>
              <w:rPr>
                <w:color w:val="000000"/>
                <w:sz w:val="21"/>
                <w:szCs w:val="21"/>
              </w:rPr>
              <w:t>Taux d’invitation (Male)</w:t>
            </w:r>
          </w:p>
        </w:tc>
        <w:tc>
          <w:tcPr>
            <w:tcW w:w="2929" w:type="dxa"/>
            <w:tcBorders>
              <w:top w:val="single" w:sz="2" w:space="0" w:color="C5D8D0"/>
              <w:bottom w:val="single" w:sz="2" w:space="0" w:color="2A7A65"/>
            </w:tcBorders>
            <w:shd w:fill="EDF5F2" w:val="clear"/>
          </w:tcPr>
          <w:p>
            <w:pPr>
              <w:pStyle w:val="Normal"/>
              <w:rPr/>
            </w:pPr>
            <w:r>
              <w:rPr>
                <w:color w:val="000000"/>
                <w:sz w:val="21"/>
                <w:szCs w:val="21"/>
              </w:rPr>
              <w:t>45.3%</w:t>
            </w:r>
          </w:p>
        </w:tc>
        <w:tc>
          <w:tcPr>
            <w:tcW w:w="2930" w:type="dxa"/>
            <w:tcBorders>
              <w:top w:val="single" w:sz="2" w:space="0" w:color="C5D8D0"/>
              <w:bottom w:val="single" w:sz="2" w:space="0" w:color="2A7A65"/>
            </w:tcBorders>
            <w:shd w:fill="EDF5F2" w:val="clear"/>
          </w:tcPr>
          <w:p>
            <w:pPr>
              <w:pStyle w:val="Normal"/>
              <w:rPr/>
            </w:pPr>
            <w:r>
              <w:rPr>
                <w:color w:val="000000"/>
                <w:sz w:val="21"/>
                <w:szCs w:val="21"/>
              </w:rPr>
              <w:t>—</w:t>
            </w:r>
          </w:p>
        </w:tc>
      </w:tr>
    </w:tbl>
    <w:p>
      <w:pPr>
        <w:pStyle w:val="Heading2"/>
        <w:spacing w:lineRule="auto" w:line="312" w:before="240" w:after="120"/>
        <w:rPr/>
      </w:pPr>
      <w:bookmarkStart w:id="16" w:name="_Toc100016"/>
      <w:r>
        <w:rPr>
          <w:rFonts w:eastAsia="SimHei"/>
          <w:b/>
          <w:bCs/>
          <w:color w:val="0C1F1A"/>
          <w:sz w:val="28"/>
          <w:szCs w:val="28"/>
        </w:rPr>
        <w:t>6.2 Analyse de proxies</w:t>
      </w:r>
      <w:bookmarkEnd w:id="16"/>
    </w:p>
    <w:p>
      <w:pPr>
        <w:pStyle w:val="Normal"/>
        <w:spacing w:lineRule="auto" w:line="312" w:before="0" w:after="80"/>
        <w:jc w:val="both"/>
        <w:rPr/>
      </w:pPr>
      <w:r>
        <w:rPr>
          <w:rFonts w:eastAsia="Microsoft YaHei"/>
          <w:color w:val="000000"/>
          <w:sz w:val="24"/>
          <w:szCs w:val="24"/>
        </w:rPr>
        <w:t>L’analyse de proxies vérifie qu’aucune feature du modèle ne permet de reconstruire indirectement le genre. Pour chaque feature, la corrélation de Pearson et l’Information Mutuelle sont calculées par rapport au genre. Le seuil de détection de proxy est fixé à |r| &gt; 0.3. Les résultats montrent qu’aucune feature ne dépasse ce seuil, ce qui confirme que le modèle ne peut pas reconstruire implicitement le genre à partir des features disponibles.</w:t>
      </w:r>
    </w:p>
    <w:p>
      <w:pPr>
        <w:pStyle w:val="Heading2"/>
        <w:spacing w:lineRule="auto" w:line="312" w:before="240" w:after="120"/>
        <w:rPr/>
      </w:pPr>
      <w:bookmarkStart w:id="17" w:name="_Toc100017"/>
      <w:r>
        <w:rPr>
          <w:rFonts w:eastAsia="SimHei"/>
          <w:b/>
          <w:bCs/>
          <w:color w:val="0C1F1A"/>
          <w:sz w:val="28"/>
          <w:szCs w:val="28"/>
        </w:rPr>
        <w:t>6.3 Explicabilité SHAP</w:t>
      </w:r>
      <w:bookmarkEnd w:id="17"/>
    </w:p>
    <w:p>
      <w:pPr>
        <w:pStyle w:val="Normal"/>
        <w:spacing w:lineRule="auto" w:line="312" w:before="0" w:after="80"/>
        <w:jc w:val="both"/>
        <w:rPr/>
      </w:pPr>
      <w:r>
        <w:rPr>
          <w:rFonts w:eastAsia="Microsoft YaHei"/>
          <w:color w:val="000000"/>
          <w:sz w:val="24"/>
          <w:szCs w:val="24"/>
        </w:rPr>
        <w:t>Le système utilise SHAP (SHapley Additive exPlanations) avec un LinearExplainer pour fournir une explicabilité au niveau de chaque prédiction individuelle. SHAP décompose la prédiction en une valeur de base (base_value) et les contributions positives ou négatives de chaque feature. L’explainer est sérialisé dans shap_explainer.pkl et chargé paresseusement au premier appel de prédiction. L’interface frontend affiche un waterfall chart SHAP et un tableau des features avec leurs contributions, permettant au recruteur de comprendre les facteurs déterminants de chaque décision.</w:t>
      </w:r>
    </w:p>
    <w:tbl>
      <w:tblPr>
        <w:tblW w:w="5000" w:type="pct"/>
        <w:jc w:val="start"/>
        <w:tblInd w:w="0" w:type="dxa"/>
        <w:tblLayout w:type="fixed"/>
        <w:tblCellMar>
          <w:top w:w="60" w:type="dxa"/>
          <w:start w:w="120" w:type="dxa"/>
          <w:bottom w:w="60" w:type="dxa"/>
          <w:end w:w="120" w:type="dxa"/>
        </w:tblCellMar>
      </w:tblPr>
      <w:tblGrid>
        <w:gridCol w:w="4393"/>
        <w:gridCol w:w="4395"/>
      </w:tblGrid>
      <w:tr>
        <w:trPr>
          <w:tblHeader w:val="true"/>
          <w:cantSplit w:val="true"/>
        </w:trPr>
        <w:tc>
          <w:tcPr>
            <w:tcW w:w="4393" w:type="dxa"/>
            <w:tcBorders>
              <w:top w:val="single" w:sz="2" w:space="0" w:color="2A7A65"/>
              <w:bottom w:val="single" w:sz="2" w:space="0" w:color="C5D8D0"/>
            </w:tcBorders>
            <w:shd w:fill="2A7A65" w:val="clear"/>
          </w:tcPr>
          <w:p>
            <w:pPr>
              <w:pStyle w:val="Normal"/>
              <w:rPr/>
            </w:pPr>
            <w:r>
              <w:rPr>
                <w:b/>
                <w:bCs/>
                <w:color w:val="FFFFFF"/>
                <w:sz w:val="21"/>
                <w:szCs w:val="21"/>
              </w:rPr>
              <w:t>Élément SHAP</w:t>
            </w:r>
          </w:p>
        </w:tc>
        <w:tc>
          <w:tcPr>
            <w:tcW w:w="4395" w:type="dxa"/>
            <w:tcBorders>
              <w:top w:val="single" w:sz="2" w:space="0" w:color="2A7A65"/>
              <w:bottom w:val="single" w:sz="2" w:space="0" w:color="C5D8D0"/>
            </w:tcBorders>
            <w:shd w:fill="2A7A65" w:val="clear"/>
          </w:tcPr>
          <w:p>
            <w:pPr>
              <w:pStyle w:val="Normal"/>
              <w:rPr/>
            </w:pPr>
            <w:r>
              <w:rPr>
                <w:b/>
                <w:bCs/>
                <w:color w:val="FFFFFF"/>
                <w:sz w:val="21"/>
                <w:szCs w:val="21"/>
              </w:rPr>
              <w:t>Description</w:t>
            </w:r>
          </w:p>
        </w:tc>
      </w:tr>
      <w:tr>
        <w:trPr>
          <w:cantSplit w:val="true"/>
        </w:trPr>
        <w:tc>
          <w:tcPr>
            <w:tcW w:w="4393" w:type="dxa"/>
            <w:tcBorders>
              <w:top w:val="single" w:sz="2" w:space="0" w:color="C5D8D0"/>
              <w:bottom w:val="single" w:sz="2" w:space="0" w:color="C5D8D0"/>
            </w:tcBorders>
            <w:shd w:fill="EDF5F2" w:val="clear"/>
          </w:tcPr>
          <w:p>
            <w:pPr>
              <w:pStyle w:val="Normal"/>
              <w:rPr/>
            </w:pPr>
            <w:r>
              <w:rPr>
                <w:color w:val="000000"/>
                <w:sz w:val="21"/>
                <w:szCs w:val="21"/>
              </w:rPr>
              <w:t>LinearExplainer</w:t>
            </w:r>
          </w:p>
        </w:tc>
        <w:tc>
          <w:tcPr>
            <w:tcW w:w="4395" w:type="dxa"/>
            <w:tcBorders>
              <w:top w:val="single" w:sz="2" w:space="0" w:color="C5D8D0"/>
              <w:bottom w:val="single" w:sz="2" w:space="0" w:color="C5D8D0"/>
            </w:tcBorders>
            <w:shd w:fill="EDF5F2" w:val="clear"/>
          </w:tcPr>
          <w:p>
            <w:pPr>
              <w:pStyle w:val="Normal"/>
              <w:rPr/>
            </w:pPr>
            <w:r>
              <w:rPr>
                <w:color w:val="000000"/>
                <w:sz w:val="21"/>
                <w:szCs w:val="21"/>
              </w:rPr>
              <w:t>Explainer adapté aux modèles linéaires (Logistic Regression)</w:t>
            </w:r>
          </w:p>
        </w:tc>
      </w:tr>
      <w:tr>
        <w:trPr>
          <w:cantSplit w:val="true"/>
        </w:trPr>
        <w:tc>
          <w:tcPr>
            <w:tcW w:w="4393" w:type="dxa"/>
            <w:tcBorders>
              <w:top w:val="single" w:sz="2" w:space="0" w:color="C5D8D0"/>
              <w:bottom w:val="single" w:sz="2" w:space="0" w:color="C5D8D0"/>
            </w:tcBorders>
          </w:tcPr>
          <w:p>
            <w:pPr>
              <w:pStyle w:val="Normal"/>
              <w:rPr/>
            </w:pPr>
            <w:r>
              <w:rPr>
                <w:color w:val="000000"/>
                <w:sz w:val="21"/>
                <w:szCs w:val="21"/>
              </w:rPr>
              <w:t>Base value</w:t>
            </w:r>
          </w:p>
        </w:tc>
        <w:tc>
          <w:tcPr>
            <w:tcW w:w="4395" w:type="dxa"/>
            <w:tcBorders>
              <w:top w:val="single" w:sz="2" w:space="0" w:color="C5D8D0"/>
              <w:bottom w:val="single" w:sz="2" w:space="0" w:color="C5D8D0"/>
            </w:tcBorders>
          </w:tcPr>
          <w:p>
            <w:pPr>
              <w:pStyle w:val="Normal"/>
              <w:rPr/>
            </w:pPr>
            <w:r>
              <w:rPr>
                <w:color w:val="000000"/>
                <w:sz w:val="21"/>
                <w:szCs w:val="21"/>
              </w:rPr>
              <w:t>Valeur moyenne du modèle sur le jeu d’entraînement (log-odds)</w:t>
            </w:r>
          </w:p>
        </w:tc>
      </w:tr>
      <w:tr>
        <w:trPr>
          <w:cantSplit w:val="true"/>
        </w:trPr>
        <w:tc>
          <w:tcPr>
            <w:tcW w:w="4393" w:type="dxa"/>
            <w:tcBorders>
              <w:top w:val="single" w:sz="2" w:space="0" w:color="C5D8D0"/>
              <w:bottom w:val="single" w:sz="2" w:space="0" w:color="C5D8D0"/>
            </w:tcBorders>
            <w:shd w:fill="EDF5F2" w:val="clear"/>
          </w:tcPr>
          <w:p>
            <w:pPr>
              <w:pStyle w:val="Normal"/>
              <w:rPr/>
            </w:pPr>
            <w:r>
              <w:rPr>
                <w:color w:val="000000"/>
                <w:sz w:val="21"/>
                <w:szCs w:val="21"/>
              </w:rPr>
              <w:t>SHAP values</w:t>
            </w:r>
          </w:p>
        </w:tc>
        <w:tc>
          <w:tcPr>
            <w:tcW w:w="4395" w:type="dxa"/>
            <w:tcBorders>
              <w:top w:val="single" w:sz="2" w:space="0" w:color="C5D8D0"/>
              <w:bottom w:val="single" w:sz="2" w:space="0" w:color="C5D8D0"/>
            </w:tcBorders>
            <w:shd w:fill="EDF5F2" w:val="clear"/>
          </w:tcPr>
          <w:p>
            <w:pPr>
              <w:pStyle w:val="Normal"/>
              <w:rPr/>
            </w:pPr>
            <w:r>
              <w:rPr>
                <w:color w:val="000000"/>
                <w:sz w:val="21"/>
                <w:szCs w:val="21"/>
              </w:rPr>
              <w:t>Contribution de chaque feature à la prédiction (positive ou négative)</w:t>
            </w:r>
          </w:p>
        </w:tc>
      </w:tr>
      <w:tr>
        <w:trPr>
          <w:cantSplit w:val="true"/>
        </w:trPr>
        <w:tc>
          <w:tcPr>
            <w:tcW w:w="4393" w:type="dxa"/>
            <w:tcBorders>
              <w:top w:val="single" w:sz="2" w:space="0" w:color="C5D8D0"/>
              <w:bottom w:val="single" w:sz="2" w:space="0" w:color="C5D8D0"/>
            </w:tcBorders>
          </w:tcPr>
          <w:p>
            <w:pPr>
              <w:pStyle w:val="Normal"/>
              <w:rPr/>
            </w:pPr>
            <w:r>
              <w:rPr>
                <w:color w:val="000000"/>
                <w:sz w:val="21"/>
                <w:szCs w:val="21"/>
              </w:rPr>
              <w:t>Top features</w:t>
            </w:r>
          </w:p>
        </w:tc>
        <w:tc>
          <w:tcPr>
            <w:tcW w:w="4395" w:type="dxa"/>
            <w:tcBorders>
              <w:top w:val="single" w:sz="2" w:space="0" w:color="C5D8D0"/>
              <w:bottom w:val="single" w:sz="2" w:space="0" w:color="C5D8D0"/>
            </w:tcBorders>
          </w:tcPr>
          <w:p>
            <w:pPr>
              <w:pStyle w:val="Normal"/>
              <w:rPr/>
            </w:pPr>
            <w:r>
              <w:rPr>
                <w:color w:val="000000"/>
                <w:sz w:val="21"/>
                <w:szCs w:val="21"/>
              </w:rPr>
              <w:t>Les 3 features les plus influentes pour chaque prédiction</w:t>
            </w:r>
          </w:p>
        </w:tc>
      </w:tr>
      <w:tr>
        <w:trPr>
          <w:cantSplit w:val="true"/>
        </w:trPr>
        <w:tc>
          <w:tcPr>
            <w:tcW w:w="4393" w:type="dxa"/>
            <w:tcBorders>
              <w:top w:val="single" w:sz="2" w:space="0" w:color="C5D8D0"/>
              <w:bottom w:val="single" w:sz="2" w:space="0" w:color="C5D8D0"/>
            </w:tcBorders>
            <w:shd w:fill="EDF5F2" w:val="clear"/>
          </w:tcPr>
          <w:p>
            <w:pPr>
              <w:pStyle w:val="Normal"/>
              <w:rPr/>
            </w:pPr>
            <w:r>
              <w:rPr>
                <w:color w:val="000000"/>
                <w:sz w:val="21"/>
                <w:szCs w:val="21"/>
              </w:rPr>
              <w:t>Decision drivers</w:t>
            </w:r>
          </w:p>
        </w:tc>
        <w:tc>
          <w:tcPr>
            <w:tcW w:w="4395" w:type="dxa"/>
            <w:tcBorders>
              <w:top w:val="single" w:sz="2" w:space="0" w:color="C5D8D0"/>
              <w:bottom w:val="single" w:sz="2" w:space="0" w:color="C5D8D0"/>
            </w:tcBorders>
            <w:shd w:fill="EDF5F2" w:val="clear"/>
          </w:tcPr>
          <w:p>
            <w:pPr>
              <w:pStyle w:val="Normal"/>
              <w:rPr/>
            </w:pPr>
            <w:r>
              <w:rPr>
                <w:color w:val="000000"/>
                <w:sz w:val="21"/>
                <w:szCs w:val="21"/>
              </w:rPr>
              <w:t>Résumé textuel des facteurs décisionnels</w:t>
            </w:r>
          </w:p>
        </w:tc>
      </w:tr>
      <w:tr>
        <w:trPr>
          <w:cantSplit w:val="true"/>
        </w:trPr>
        <w:tc>
          <w:tcPr>
            <w:tcW w:w="4393" w:type="dxa"/>
            <w:tcBorders>
              <w:top w:val="single" w:sz="2" w:space="0" w:color="C5D8D0"/>
              <w:bottom w:val="single" w:sz="2" w:space="0" w:color="2A7A65"/>
            </w:tcBorders>
          </w:tcPr>
          <w:p>
            <w:pPr>
              <w:pStyle w:val="Normal"/>
              <w:rPr/>
            </w:pPr>
            <w:r>
              <w:rPr>
                <w:color w:val="000000"/>
                <w:sz w:val="21"/>
                <w:szCs w:val="21"/>
              </w:rPr>
              <w:t>Waterfall chart</w:t>
            </w:r>
          </w:p>
        </w:tc>
        <w:tc>
          <w:tcPr>
            <w:tcW w:w="4395" w:type="dxa"/>
            <w:tcBorders>
              <w:top w:val="single" w:sz="2" w:space="0" w:color="C5D8D0"/>
              <w:bottom w:val="single" w:sz="2" w:space="0" w:color="2A7A65"/>
            </w:tcBorders>
          </w:tcPr>
          <w:p>
            <w:pPr>
              <w:pStyle w:val="Normal"/>
              <w:rPr/>
            </w:pPr>
            <w:r>
              <w:rPr>
                <w:color w:val="000000"/>
                <w:sz w:val="21"/>
                <w:szCs w:val="21"/>
              </w:rPr>
              <w:t>Visualisation graphique des contributions SHAP dans l’interface</w:t>
            </w:r>
          </w:p>
        </w:tc>
      </w:tr>
    </w:tbl>
    <w:p>
      <w:pPr>
        <w:pStyle w:val="Heading1"/>
        <w:spacing w:lineRule="auto" w:line="312" w:before="360" w:after="160"/>
        <w:rPr/>
      </w:pPr>
      <w:bookmarkStart w:id="18" w:name="_Toc100018"/>
      <w:r>
        <w:rPr>
          <w:rFonts w:eastAsia="SimHei"/>
          <w:b/>
          <w:bCs/>
          <w:color w:val="0C1F1A"/>
          <w:sz w:val="32"/>
          <w:szCs w:val="32"/>
        </w:rPr>
        <w:t>7. Base de données et authentification</w:t>
      </w:r>
      <w:bookmarkEnd w:id="18"/>
    </w:p>
    <w:p>
      <w:pPr>
        <w:pStyle w:val="Normal"/>
        <w:spacing w:lineRule="auto" w:line="312" w:before="0" w:after="80"/>
        <w:jc w:val="both"/>
        <w:rPr/>
      </w:pPr>
      <w:r>
        <w:rPr>
          <w:rFonts w:eastAsia="Microsoft YaHei"/>
          <w:color w:val="000000"/>
          <w:sz w:val="24"/>
          <w:szCs w:val="24"/>
        </w:rPr>
        <w:t>La persistance des données est assurée par Supabase PostgreSQL, accessibe via Prisma. La base contient deux tables principales : CvAnalysis (historique complet de chaque analyse de CV avec features, valeurs SHAP, décision et confiance) et FilterConfig (configuration des critères de filtrage par poste, incluant langues requises, compétences, minimums d’éducation et d’expérience). L’authentification est gérée par NextAuth.js (authentification par mot de passe), une stratégie JWT avec sessions de 24 heures, et un middleware qui protège toutes les routes de l’application.</w:t>
      </w:r>
    </w:p>
    <w:p>
      <w:pPr>
        <w:pStyle w:val="Heading1"/>
        <w:spacing w:lineRule="auto" w:line="312" w:before="360" w:after="160"/>
        <w:rPr/>
      </w:pPr>
      <w:bookmarkStart w:id="19" w:name="_Toc100019"/>
      <w:r>
        <w:rPr>
          <w:rFonts w:eastAsia="SimHei"/>
          <w:b/>
          <w:bCs/>
          <w:color w:val="0C1F1A"/>
          <w:sz w:val="32"/>
          <w:szCs w:val="32"/>
        </w:rPr>
        <w:t>8. API REST Flask</w:t>
      </w:r>
      <w:bookmarkEnd w:id="19"/>
    </w:p>
    <w:p>
      <w:pPr>
        <w:pStyle w:val="Normal"/>
        <w:spacing w:lineRule="auto" w:line="312" w:before="0" w:after="80"/>
        <w:jc w:val="both"/>
        <w:rPr/>
      </w:pPr>
      <w:r>
        <w:rPr>
          <w:rFonts w:eastAsia="Microsoft YaHei"/>
          <w:color w:val="000000"/>
          <w:sz w:val="24"/>
          <w:szCs w:val="24"/>
        </w:rPr>
        <w:t>L’API Flask expose 9 endpoints couvrant la prédiction, l’explicabilité, l’audit de fairness et la gestion des fichiers traités. Le endpoint principal /predict exécute le pipeline complet (extraction → hard filter → ML → SHAP) et retourne la décision, la confiance, les valeurs SHAP et le flag fairness_adjusted. Les endpoints /fairness-metrics et /screening-log permettent la consultation des métriques d’audit et du journal de décisions.</w:t>
      </w:r>
    </w:p>
    <w:tbl>
      <w:tblPr>
        <w:tblW w:w="5000" w:type="pct"/>
        <w:jc w:val="start"/>
        <w:tblInd w:w="0" w:type="dxa"/>
        <w:tblLayout w:type="fixed"/>
        <w:tblCellMar>
          <w:top w:w="60" w:type="dxa"/>
          <w:start w:w="120" w:type="dxa"/>
          <w:bottom w:w="60" w:type="dxa"/>
          <w:end w:w="120" w:type="dxa"/>
        </w:tblCellMar>
      </w:tblPr>
      <w:tblGrid>
        <w:gridCol w:w="2929"/>
        <w:gridCol w:w="2929"/>
        <w:gridCol w:w="2930"/>
      </w:tblGrid>
      <w:tr>
        <w:trPr>
          <w:tblHeader w:val="true"/>
          <w:cantSplit w:val="true"/>
        </w:trPr>
        <w:tc>
          <w:tcPr>
            <w:tcW w:w="2929" w:type="dxa"/>
            <w:tcBorders>
              <w:top w:val="single" w:sz="2" w:space="0" w:color="2A7A65"/>
              <w:bottom w:val="single" w:sz="2" w:space="0" w:color="C5D8D0"/>
            </w:tcBorders>
            <w:shd w:fill="2A7A65" w:val="clear"/>
          </w:tcPr>
          <w:p>
            <w:pPr>
              <w:pStyle w:val="Normal"/>
              <w:rPr/>
            </w:pPr>
            <w:r>
              <w:rPr>
                <w:b/>
                <w:bCs/>
                <w:color w:val="FFFFFF"/>
                <w:sz w:val="21"/>
                <w:szCs w:val="21"/>
              </w:rPr>
              <w:t>Méthode</w:t>
            </w:r>
          </w:p>
        </w:tc>
        <w:tc>
          <w:tcPr>
            <w:tcW w:w="2929" w:type="dxa"/>
            <w:tcBorders>
              <w:top w:val="single" w:sz="2" w:space="0" w:color="2A7A65"/>
              <w:bottom w:val="single" w:sz="2" w:space="0" w:color="C5D8D0"/>
            </w:tcBorders>
            <w:shd w:fill="2A7A65" w:val="clear"/>
          </w:tcPr>
          <w:p>
            <w:pPr>
              <w:pStyle w:val="Normal"/>
              <w:rPr/>
            </w:pPr>
            <w:r>
              <w:rPr>
                <w:b/>
                <w:bCs/>
                <w:color w:val="FFFFFF"/>
                <w:sz w:val="21"/>
                <w:szCs w:val="21"/>
              </w:rPr>
              <w:t>Endpoint</w:t>
            </w:r>
          </w:p>
        </w:tc>
        <w:tc>
          <w:tcPr>
            <w:tcW w:w="2930" w:type="dxa"/>
            <w:tcBorders>
              <w:top w:val="single" w:sz="2" w:space="0" w:color="2A7A65"/>
              <w:bottom w:val="single" w:sz="2" w:space="0" w:color="C5D8D0"/>
            </w:tcBorders>
            <w:shd w:fill="2A7A65" w:val="clear"/>
          </w:tcPr>
          <w:p>
            <w:pPr>
              <w:pStyle w:val="Normal"/>
              <w:rPr/>
            </w:pPr>
            <w:r>
              <w:rPr>
                <w:b/>
                <w:bCs/>
                <w:color w:val="FFFFFF"/>
                <w:sz w:val="21"/>
                <w:szCs w:val="21"/>
              </w:rPr>
              <w:t>Description</w:t>
            </w:r>
          </w:p>
        </w:tc>
      </w:tr>
      <w:tr>
        <w:trPr>
          <w:cantSplit w:val="true"/>
        </w:trPr>
        <w:tc>
          <w:tcPr>
            <w:tcW w:w="2929" w:type="dxa"/>
            <w:tcBorders>
              <w:top w:val="single" w:sz="2" w:space="0" w:color="C5D8D0"/>
              <w:bottom w:val="single" w:sz="2" w:space="0" w:color="C5D8D0"/>
            </w:tcBorders>
            <w:shd w:fill="EDF5F2" w:val="clear"/>
          </w:tcPr>
          <w:p>
            <w:pPr>
              <w:pStyle w:val="Normal"/>
              <w:rPr/>
            </w:pPr>
            <w:r>
              <w:rPr>
                <w:color w:val="000000"/>
                <w:sz w:val="21"/>
                <w:szCs w:val="21"/>
              </w:rPr>
              <w:t>GET</w:t>
            </w:r>
          </w:p>
        </w:tc>
        <w:tc>
          <w:tcPr>
            <w:tcW w:w="2929" w:type="dxa"/>
            <w:tcBorders>
              <w:top w:val="single" w:sz="2" w:space="0" w:color="C5D8D0"/>
              <w:bottom w:val="single" w:sz="2" w:space="0" w:color="C5D8D0"/>
            </w:tcBorders>
            <w:shd w:fill="EDF5F2" w:val="clear"/>
          </w:tcPr>
          <w:p>
            <w:pPr>
              <w:pStyle w:val="Normal"/>
              <w:rPr/>
            </w:pPr>
            <w:r>
              <w:rPr>
                <w:color w:val="000000"/>
                <w:sz w:val="21"/>
                <w:szCs w:val="21"/>
              </w:rPr>
              <w:t>/health</w:t>
            </w:r>
          </w:p>
        </w:tc>
        <w:tc>
          <w:tcPr>
            <w:tcW w:w="2930" w:type="dxa"/>
            <w:tcBorders>
              <w:top w:val="single" w:sz="2" w:space="0" w:color="C5D8D0"/>
              <w:bottom w:val="single" w:sz="2" w:space="0" w:color="C5D8D0"/>
            </w:tcBorders>
            <w:shd w:fill="EDF5F2" w:val="clear"/>
          </w:tcPr>
          <w:p>
            <w:pPr>
              <w:pStyle w:val="Normal"/>
              <w:rPr/>
            </w:pPr>
            <w:r>
              <w:rPr>
                <w:color w:val="000000"/>
                <w:sz w:val="21"/>
                <w:szCs w:val="21"/>
              </w:rPr>
              <w:t>Santé du système + statut du modèle</w:t>
            </w:r>
          </w:p>
        </w:tc>
      </w:tr>
      <w:tr>
        <w:trPr>
          <w:cantSplit w:val="true"/>
        </w:trPr>
        <w:tc>
          <w:tcPr>
            <w:tcW w:w="2929" w:type="dxa"/>
            <w:tcBorders>
              <w:top w:val="single" w:sz="2" w:space="0" w:color="C5D8D0"/>
              <w:bottom w:val="single" w:sz="2" w:space="0" w:color="C5D8D0"/>
            </w:tcBorders>
          </w:tcPr>
          <w:p>
            <w:pPr>
              <w:pStyle w:val="Normal"/>
              <w:rPr/>
            </w:pPr>
            <w:r>
              <w:rPr>
                <w:color w:val="000000"/>
                <w:sz w:val="21"/>
                <w:szCs w:val="21"/>
              </w:rPr>
              <w:t>POST</w:t>
            </w:r>
          </w:p>
        </w:tc>
        <w:tc>
          <w:tcPr>
            <w:tcW w:w="2929" w:type="dxa"/>
            <w:tcBorders>
              <w:top w:val="single" w:sz="2" w:space="0" w:color="C5D8D0"/>
              <w:bottom w:val="single" w:sz="2" w:space="0" w:color="C5D8D0"/>
            </w:tcBorders>
          </w:tcPr>
          <w:p>
            <w:pPr>
              <w:pStyle w:val="Normal"/>
              <w:rPr/>
            </w:pPr>
            <w:r>
              <w:rPr>
                <w:color w:val="000000"/>
                <w:sz w:val="21"/>
                <w:szCs w:val="21"/>
              </w:rPr>
              <w:t>/predict</w:t>
            </w:r>
          </w:p>
        </w:tc>
        <w:tc>
          <w:tcPr>
            <w:tcW w:w="2930" w:type="dxa"/>
            <w:tcBorders>
              <w:top w:val="single" w:sz="2" w:space="0" w:color="C5D8D0"/>
              <w:bottom w:val="single" w:sz="2" w:space="0" w:color="C5D8D0"/>
            </w:tcBorders>
          </w:tcPr>
          <w:p>
            <w:pPr>
              <w:pStyle w:val="Normal"/>
              <w:rPr/>
            </w:pPr>
            <w:r>
              <w:rPr>
                <w:color w:val="000000"/>
                <w:sz w:val="21"/>
                <w:szCs w:val="21"/>
              </w:rPr>
              <w:t>Pipeline complet : hard filter → ML → SHAP</w:t>
            </w:r>
          </w:p>
        </w:tc>
      </w:tr>
      <w:tr>
        <w:trPr>
          <w:cantSplit w:val="true"/>
        </w:trPr>
        <w:tc>
          <w:tcPr>
            <w:tcW w:w="2929" w:type="dxa"/>
            <w:tcBorders>
              <w:top w:val="single" w:sz="2" w:space="0" w:color="C5D8D0"/>
              <w:bottom w:val="single" w:sz="2" w:space="0" w:color="C5D8D0"/>
            </w:tcBorders>
            <w:shd w:fill="EDF5F2" w:val="clear"/>
          </w:tcPr>
          <w:p>
            <w:pPr>
              <w:pStyle w:val="Normal"/>
              <w:rPr/>
            </w:pPr>
            <w:r>
              <w:rPr>
                <w:color w:val="000000"/>
                <w:sz w:val="21"/>
                <w:szCs w:val="21"/>
              </w:rPr>
              <w:t>POST</w:t>
            </w:r>
          </w:p>
        </w:tc>
        <w:tc>
          <w:tcPr>
            <w:tcW w:w="2929" w:type="dxa"/>
            <w:tcBorders>
              <w:top w:val="single" w:sz="2" w:space="0" w:color="C5D8D0"/>
              <w:bottom w:val="single" w:sz="2" w:space="0" w:color="C5D8D0"/>
            </w:tcBorders>
            <w:shd w:fill="EDF5F2" w:val="clear"/>
          </w:tcPr>
          <w:p>
            <w:pPr>
              <w:pStyle w:val="Normal"/>
              <w:rPr/>
            </w:pPr>
            <w:r>
              <w:rPr>
                <w:color w:val="000000"/>
                <w:sz w:val="21"/>
                <w:szCs w:val="21"/>
              </w:rPr>
              <w:t>/explain</w:t>
            </w:r>
          </w:p>
        </w:tc>
        <w:tc>
          <w:tcPr>
            <w:tcW w:w="2930" w:type="dxa"/>
            <w:tcBorders>
              <w:top w:val="single" w:sz="2" w:space="0" w:color="C5D8D0"/>
              <w:bottom w:val="single" w:sz="2" w:space="0" w:color="C5D8D0"/>
            </w:tcBorders>
            <w:shd w:fill="EDF5F2" w:val="clear"/>
          </w:tcPr>
          <w:p>
            <w:pPr>
              <w:pStyle w:val="Normal"/>
              <w:rPr/>
            </w:pPr>
            <w:r>
              <w:rPr>
                <w:color w:val="000000"/>
                <w:sz w:val="21"/>
                <w:szCs w:val="21"/>
              </w:rPr>
              <w:t>Explicabilité SHAP dédiée</w:t>
            </w:r>
          </w:p>
        </w:tc>
      </w:tr>
      <w:tr>
        <w:trPr>
          <w:cantSplit w:val="true"/>
        </w:trPr>
        <w:tc>
          <w:tcPr>
            <w:tcW w:w="2929" w:type="dxa"/>
            <w:tcBorders>
              <w:top w:val="single" w:sz="2" w:space="0" w:color="C5D8D0"/>
              <w:bottom w:val="single" w:sz="2" w:space="0" w:color="C5D8D0"/>
            </w:tcBorders>
          </w:tcPr>
          <w:p>
            <w:pPr>
              <w:pStyle w:val="Normal"/>
              <w:rPr/>
            </w:pPr>
            <w:r>
              <w:rPr>
                <w:color w:val="000000"/>
                <w:sz w:val="21"/>
                <w:szCs w:val="21"/>
              </w:rPr>
              <w:t>GET</w:t>
            </w:r>
          </w:p>
        </w:tc>
        <w:tc>
          <w:tcPr>
            <w:tcW w:w="2929" w:type="dxa"/>
            <w:tcBorders>
              <w:top w:val="single" w:sz="2" w:space="0" w:color="C5D8D0"/>
              <w:bottom w:val="single" w:sz="2" w:space="0" w:color="C5D8D0"/>
            </w:tcBorders>
          </w:tcPr>
          <w:p>
            <w:pPr>
              <w:pStyle w:val="Normal"/>
              <w:rPr/>
            </w:pPr>
            <w:r>
              <w:rPr>
                <w:color w:val="000000"/>
                <w:sz w:val="21"/>
                <w:szCs w:val="21"/>
              </w:rPr>
              <w:t>/fairness-metrics</w:t>
            </w:r>
          </w:p>
        </w:tc>
        <w:tc>
          <w:tcPr>
            <w:tcW w:w="2930" w:type="dxa"/>
            <w:tcBorders>
              <w:top w:val="single" w:sz="2" w:space="0" w:color="C5D8D0"/>
              <w:bottom w:val="single" w:sz="2" w:space="0" w:color="C5D8D0"/>
            </w:tcBorders>
          </w:tcPr>
          <w:p>
            <w:pPr>
              <w:pStyle w:val="Normal"/>
              <w:rPr/>
            </w:pPr>
            <w:r>
              <w:rPr>
                <w:color w:val="000000"/>
                <w:sz w:val="21"/>
                <w:szCs w:val="21"/>
              </w:rPr>
              <w:t>Métriques EPD, RID, Delta-TPR</w:t>
            </w:r>
          </w:p>
        </w:tc>
      </w:tr>
      <w:tr>
        <w:trPr>
          <w:cantSplit w:val="true"/>
        </w:trPr>
        <w:tc>
          <w:tcPr>
            <w:tcW w:w="2929" w:type="dxa"/>
            <w:tcBorders>
              <w:top w:val="single" w:sz="2" w:space="0" w:color="C5D8D0"/>
              <w:bottom w:val="single" w:sz="2" w:space="0" w:color="C5D8D0"/>
            </w:tcBorders>
            <w:shd w:fill="EDF5F2" w:val="clear"/>
          </w:tcPr>
          <w:p>
            <w:pPr>
              <w:pStyle w:val="Normal"/>
              <w:rPr/>
            </w:pPr>
            <w:r>
              <w:rPr>
                <w:color w:val="000000"/>
                <w:sz w:val="21"/>
                <w:szCs w:val="21"/>
              </w:rPr>
              <w:t>GET</w:t>
            </w:r>
          </w:p>
        </w:tc>
        <w:tc>
          <w:tcPr>
            <w:tcW w:w="2929" w:type="dxa"/>
            <w:tcBorders>
              <w:top w:val="single" w:sz="2" w:space="0" w:color="C5D8D0"/>
              <w:bottom w:val="single" w:sz="2" w:space="0" w:color="C5D8D0"/>
            </w:tcBorders>
            <w:shd w:fill="EDF5F2" w:val="clear"/>
          </w:tcPr>
          <w:p>
            <w:pPr>
              <w:pStyle w:val="Normal"/>
              <w:rPr/>
            </w:pPr>
            <w:r>
              <w:rPr>
                <w:color w:val="000000"/>
                <w:sz w:val="21"/>
                <w:szCs w:val="21"/>
              </w:rPr>
              <w:t>/screening-log</w:t>
            </w:r>
          </w:p>
        </w:tc>
        <w:tc>
          <w:tcPr>
            <w:tcW w:w="2930" w:type="dxa"/>
            <w:tcBorders>
              <w:top w:val="single" w:sz="2" w:space="0" w:color="C5D8D0"/>
              <w:bottom w:val="single" w:sz="2" w:space="0" w:color="C5D8D0"/>
            </w:tcBorders>
            <w:shd w:fill="EDF5F2" w:val="clear"/>
          </w:tcPr>
          <w:p>
            <w:pPr>
              <w:pStyle w:val="Normal"/>
              <w:rPr/>
            </w:pPr>
            <w:r>
              <w:rPr>
                <w:color w:val="000000"/>
                <w:sz w:val="21"/>
                <w:szCs w:val="21"/>
              </w:rPr>
              <w:t>Journal de décisions (CSV → JSON)</w:t>
            </w:r>
          </w:p>
        </w:tc>
      </w:tr>
      <w:tr>
        <w:trPr>
          <w:cantSplit w:val="true"/>
        </w:trPr>
        <w:tc>
          <w:tcPr>
            <w:tcW w:w="2929" w:type="dxa"/>
            <w:tcBorders>
              <w:top w:val="single" w:sz="2" w:space="0" w:color="C5D8D0"/>
              <w:bottom w:val="single" w:sz="2" w:space="0" w:color="C5D8D0"/>
            </w:tcBorders>
          </w:tcPr>
          <w:p>
            <w:pPr>
              <w:pStyle w:val="Normal"/>
              <w:rPr/>
            </w:pPr>
            <w:r>
              <w:rPr>
                <w:color w:val="000000"/>
                <w:sz w:val="21"/>
                <w:szCs w:val="21"/>
              </w:rPr>
              <w:t>POST</w:t>
            </w:r>
          </w:p>
        </w:tc>
        <w:tc>
          <w:tcPr>
            <w:tcW w:w="2929" w:type="dxa"/>
            <w:tcBorders>
              <w:top w:val="single" w:sz="2" w:space="0" w:color="C5D8D0"/>
              <w:bottom w:val="single" w:sz="2" w:space="0" w:color="C5D8D0"/>
            </w:tcBorders>
          </w:tcPr>
          <w:p>
            <w:pPr>
              <w:pStyle w:val="Normal"/>
              <w:rPr/>
            </w:pPr>
            <w:r>
              <w:rPr>
                <w:color w:val="000000"/>
                <w:sz w:val="21"/>
                <w:szCs w:val="21"/>
              </w:rPr>
              <w:t>/parse</w:t>
            </w:r>
          </w:p>
        </w:tc>
        <w:tc>
          <w:tcPr>
            <w:tcW w:w="2930" w:type="dxa"/>
            <w:tcBorders>
              <w:top w:val="single" w:sz="2" w:space="0" w:color="C5D8D0"/>
              <w:bottom w:val="single" w:sz="2" w:space="0" w:color="C5D8D0"/>
            </w:tcBorders>
          </w:tcPr>
          <w:p>
            <w:pPr>
              <w:pStyle w:val="Normal"/>
              <w:rPr/>
            </w:pPr>
            <w:r>
              <w:rPr>
                <w:color w:val="000000"/>
                <w:sz w:val="21"/>
                <w:szCs w:val="21"/>
              </w:rPr>
              <w:t>Extraction de features uniquement (sans prédiction)</w:t>
            </w:r>
          </w:p>
        </w:tc>
      </w:tr>
      <w:tr>
        <w:trPr>
          <w:cantSplit w:val="true"/>
        </w:trPr>
        <w:tc>
          <w:tcPr>
            <w:tcW w:w="2929" w:type="dxa"/>
            <w:tcBorders>
              <w:top w:val="single" w:sz="2" w:space="0" w:color="C5D8D0"/>
              <w:bottom w:val="single" w:sz="2" w:space="0" w:color="C5D8D0"/>
            </w:tcBorders>
            <w:shd w:fill="EDF5F2" w:val="clear"/>
          </w:tcPr>
          <w:p>
            <w:pPr>
              <w:pStyle w:val="Normal"/>
              <w:rPr/>
            </w:pPr>
            <w:r>
              <w:rPr>
                <w:color w:val="000000"/>
                <w:sz w:val="21"/>
                <w:szCs w:val="21"/>
              </w:rPr>
              <w:t>POST</w:t>
            </w:r>
          </w:p>
        </w:tc>
        <w:tc>
          <w:tcPr>
            <w:tcW w:w="2929" w:type="dxa"/>
            <w:tcBorders>
              <w:top w:val="single" w:sz="2" w:space="0" w:color="C5D8D0"/>
              <w:bottom w:val="single" w:sz="2" w:space="0" w:color="C5D8D0"/>
            </w:tcBorders>
            <w:shd w:fill="EDF5F2" w:val="clear"/>
          </w:tcPr>
          <w:p>
            <w:pPr>
              <w:pStyle w:val="Normal"/>
              <w:rPr/>
            </w:pPr>
            <w:r>
              <w:rPr>
                <w:color w:val="000000"/>
                <w:sz w:val="21"/>
                <w:szCs w:val="21"/>
              </w:rPr>
              <w:t>/process-inbox</w:t>
            </w:r>
          </w:p>
        </w:tc>
        <w:tc>
          <w:tcPr>
            <w:tcW w:w="2930" w:type="dxa"/>
            <w:tcBorders>
              <w:top w:val="single" w:sz="2" w:space="0" w:color="C5D8D0"/>
              <w:bottom w:val="single" w:sz="2" w:space="0" w:color="C5D8D0"/>
            </w:tcBorders>
            <w:shd w:fill="EDF5F2" w:val="clear"/>
          </w:tcPr>
          <w:p>
            <w:pPr>
              <w:pStyle w:val="Normal"/>
              <w:rPr/>
            </w:pPr>
            <w:r>
              <w:rPr>
                <w:color w:val="000000"/>
                <w:sz w:val="21"/>
                <w:szCs w:val="21"/>
              </w:rPr>
              <w:t>Traitement par lot des CVs du répertoire inbox</w:t>
            </w:r>
          </w:p>
        </w:tc>
      </w:tr>
      <w:tr>
        <w:trPr>
          <w:cantSplit w:val="true"/>
        </w:trPr>
        <w:tc>
          <w:tcPr>
            <w:tcW w:w="2929" w:type="dxa"/>
            <w:tcBorders>
              <w:top w:val="single" w:sz="2" w:space="0" w:color="C5D8D0"/>
              <w:bottom w:val="single" w:sz="2" w:space="0" w:color="C5D8D0"/>
            </w:tcBorders>
          </w:tcPr>
          <w:p>
            <w:pPr>
              <w:pStyle w:val="Normal"/>
              <w:rPr/>
            </w:pPr>
            <w:r>
              <w:rPr>
                <w:color w:val="000000"/>
                <w:sz w:val="21"/>
                <w:szCs w:val="21"/>
              </w:rPr>
              <w:t>GET</w:t>
            </w:r>
          </w:p>
        </w:tc>
        <w:tc>
          <w:tcPr>
            <w:tcW w:w="2929" w:type="dxa"/>
            <w:tcBorders>
              <w:top w:val="single" w:sz="2" w:space="0" w:color="C5D8D0"/>
              <w:bottom w:val="single" w:sz="2" w:space="0" w:color="C5D8D0"/>
            </w:tcBorders>
          </w:tcPr>
          <w:p>
            <w:pPr>
              <w:pStyle w:val="Normal"/>
              <w:rPr/>
            </w:pPr>
            <w:r>
              <w:rPr>
                <w:color w:val="000000"/>
                <w:sz w:val="21"/>
                <w:szCs w:val="21"/>
              </w:rPr>
              <w:t>/processed-files</w:t>
            </w:r>
          </w:p>
        </w:tc>
        <w:tc>
          <w:tcPr>
            <w:tcW w:w="2930" w:type="dxa"/>
            <w:tcBorders>
              <w:top w:val="single" w:sz="2" w:space="0" w:color="C5D8D0"/>
              <w:bottom w:val="single" w:sz="2" w:space="0" w:color="C5D8D0"/>
            </w:tcBorders>
          </w:tcPr>
          <w:p>
            <w:pPr>
              <w:pStyle w:val="Normal"/>
              <w:rPr/>
            </w:pPr>
            <w:r>
              <w:rPr>
                <w:color w:val="000000"/>
                <w:sz w:val="21"/>
                <w:szCs w:val="21"/>
              </w:rPr>
              <w:t>Liste des fichiers traités (registre SHA-256)</w:t>
            </w:r>
          </w:p>
        </w:tc>
      </w:tr>
      <w:tr>
        <w:trPr>
          <w:cantSplit w:val="true"/>
        </w:trPr>
        <w:tc>
          <w:tcPr>
            <w:tcW w:w="2929" w:type="dxa"/>
            <w:tcBorders>
              <w:top w:val="single" w:sz="2" w:space="0" w:color="C5D8D0"/>
              <w:bottom w:val="single" w:sz="2" w:space="0" w:color="2A7A65"/>
            </w:tcBorders>
            <w:shd w:fill="EDF5F2" w:val="clear"/>
          </w:tcPr>
          <w:p>
            <w:pPr>
              <w:pStyle w:val="Normal"/>
              <w:rPr/>
            </w:pPr>
            <w:r>
              <w:rPr>
                <w:color w:val="000000"/>
                <w:sz w:val="21"/>
                <w:szCs w:val="21"/>
              </w:rPr>
              <w:t>DELETE</w:t>
            </w:r>
          </w:p>
        </w:tc>
        <w:tc>
          <w:tcPr>
            <w:tcW w:w="2929" w:type="dxa"/>
            <w:tcBorders>
              <w:top w:val="single" w:sz="2" w:space="0" w:color="C5D8D0"/>
              <w:bottom w:val="single" w:sz="2" w:space="0" w:color="2A7A65"/>
            </w:tcBorders>
            <w:shd w:fill="EDF5F2" w:val="clear"/>
          </w:tcPr>
          <w:p>
            <w:pPr>
              <w:pStyle w:val="Normal"/>
              <w:rPr/>
            </w:pPr>
            <w:r>
              <w:rPr>
                <w:color w:val="000000"/>
                <w:sz w:val="21"/>
                <w:szCs w:val="21"/>
              </w:rPr>
              <w:t>/processed-files/{filename}</w:t>
            </w:r>
          </w:p>
        </w:tc>
        <w:tc>
          <w:tcPr>
            <w:tcW w:w="2930" w:type="dxa"/>
            <w:tcBorders>
              <w:top w:val="single" w:sz="2" w:space="0" w:color="C5D8D0"/>
              <w:bottom w:val="single" w:sz="2" w:space="0" w:color="2A7A65"/>
            </w:tcBorders>
            <w:shd w:fill="EDF5F2" w:val="clear"/>
          </w:tcPr>
          <w:p>
            <w:pPr>
              <w:pStyle w:val="Normal"/>
              <w:rPr/>
            </w:pPr>
            <w:r>
              <w:rPr>
                <w:color w:val="000000"/>
                <w:sz w:val="21"/>
                <w:szCs w:val="21"/>
              </w:rPr>
              <w:t>Retirer un fichier du registre (permet le retraitement)</w:t>
            </w:r>
          </w:p>
        </w:tc>
      </w:tr>
    </w:tbl>
    <w:p>
      <w:pPr>
        <w:pStyle w:val="Heading1"/>
        <w:spacing w:lineRule="auto" w:line="312" w:before="360" w:after="160"/>
        <w:rPr/>
      </w:pPr>
      <w:bookmarkStart w:id="20" w:name="_Toc100020"/>
      <w:r>
        <w:rPr>
          <w:rFonts w:eastAsia="SimHei"/>
          <w:b/>
          <w:bCs/>
          <w:color w:val="0C1F1A"/>
          <w:sz w:val="32"/>
          <w:szCs w:val="32"/>
        </w:rPr>
        <w:t>9. Frontend Next.js</w:t>
      </w:r>
      <w:bookmarkEnd w:id="20"/>
    </w:p>
    <w:p>
      <w:pPr>
        <w:pStyle w:val="Normal"/>
        <w:spacing w:lineRule="auto" w:line="312" w:before="0" w:after="80"/>
        <w:jc w:val="both"/>
        <w:rPr/>
      </w:pPr>
      <w:r>
        <w:rPr>
          <w:rFonts w:eastAsia="Microsoft YaHei"/>
          <w:color w:val="000000"/>
          <w:sz w:val="24"/>
          <w:szCs w:val="24"/>
        </w:rPr>
        <w:t>Le frontend est construit avec Next.js, React et TypeScript. L’interface se compose de trois onglets principaux : Analyse CV (upload drag-and-drop, pipeline visuel, résultats avec SHAP), Fairness &amp; Historique (jauges pour EPD/RID/Delta-TPR, tableau historique depuis Supabase), et Configuration (gestion des filtres). Le frontend agit comme proxy vers l’API Flask via les rewrites de next.config.ts et expose ses propres routes API (/api/*) pour l’accès à Supabase.</w:t>
      </w:r>
    </w:p>
    <w:p>
      <w:pPr>
        <w:pStyle w:val="Heading1"/>
        <w:spacing w:lineRule="auto" w:line="312" w:before="360" w:after="160"/>
        <w:rPr/>
      </w:pPr>
      <w:bookmarkStart w:id="21" w:name="_Toc100021"/>
      <w:r>
        <w:rPr>
          <w:rFonts w:eastAsia="SimHei"/>
          <w:b/>
          <w:bCs/>
          <w:color w:val="0C1F1A"/>
          <w:sz w:val="32"/>
          <w:szCs w:val="32"/>
        </w:rPr>
        <w:t>10. Déploiement</w:t>
      </w:r>
      <w:bookmarkEnd w:id="21"/>
    </w:p>
    <w:p>
      <w:pPr>
        <w:pStyle w:val="Normal"/>
        <w:spacing w:lineRule="auto" w:line="312" w:before="0" w:after="80"/>
        <w:jc w:val="both"/>
        <w:rPr/>
      </w:pPr>
      <w:r>
        <w:rPr>
          <w:rFonts w:eastAsia="Microsoft YaHei"/>
          <w:color w:val="000000"/>
          <w:sz w:val="24"/>
          <w:szCs w:val="24"/>
        </w:rPr>
        <w:t>En local, le système se lance via Docker Compose, qui orchestre deux services : l’API Flask (port 8000) et le frontend Next.js (port 8080), avec un watcher qui traite automatiquement les nouveaux CVs placés dans le répertoire inbox. En production, le système est déployé sur Railway avec deux services (api et frontend), l’API étant accessible uniquement via le réseau interne Railway (http://projet-cv.railway.internal:8000), et le frontend étant exposé publiquement. La base de données Supabase PostgreSQL est hébergée dans le cloud Supabase, ce qui élimine le besoin de volumes Railway persistants. Le watcher n’est pas activé en production car Railway ne dispose pas de système de fichiers partagé entre les services.</w:t>
      </w:r>
    </w:p>
    <w:p>
      <w:pPr>
        <w:pStyle w:val="Heading1"/>
        <w:spacing w:lineRule="auto" w:line="312" w:before="360" w:after="160"/>
        <w:rPr/>
      </w:pPr>
      <w:bookmarkStart w:id="22" w:name="_Toc100022"/>
      <w:r>
        <w:rPr>
          <w:rFonts w:eastAsia="SimHei"/>
          <w:b/>
          <w:bCs/>
          <w:color w:val="0C1F1A"/>
          <w:sz w:val="32"/>
          <w:szCs w:val="32"/>
        </w:rPr>
        <w:t>11. Tests et qualité du code</w:t>
      </w:r>
      <w:bookmarkEnd w:id="22"/>
    </w:p>
    <w:p>
      <w:pPr>
        <w:pStyle w:val="Normal"/>
        <w:spacing w:lineRule="auto" w:line="312" w:before="0" w:after="80"/>
        <w:jc w:val="both"/>
        <w:rPr/>
      </w:pPr>
      <w:r>
        <w:rPr>
          <w:rFonts w:eastAsia="Microsoft YaHei"/>
          <w:color w:val="000000"/>
          <w:sz w:val="24"/>
          <w:szCs w:val="24"/>
        </w:rPr>
        <w:t>Les tests unitaires sont implémentés avec pytest et couvrent les cinq modules principaux du système : feature_extractor (extraction de features, formats de CV valides et invalides), hard_filter (critères de filtrage, cas limites), ml/predict (prédiction, gestion du modèle, SHAP), ml/audit (calcul des métriques EPD, RID, Delta-TPR, analyse de proxies) et app (intégration de l’API Flask, endpoints, codes d’erreur). La suite de tests contient plus de 1100 lignes et est exécutable via la commande pytest depuis le répertoire src/python/.</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701" w:right="1417" w:gutter="0" w:header="708"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Microsoft YaHei"/>
        <w:color w:val="000000"/>
        <w:sz w:val="24"/>
        <w:szCs w:val="24"/>
      </w:rPr>
      <w:fldChar w:fldCharType="begin"/>
    </w:r>
    <w:r>
      <w:rPr>
        <w:rFonts w:eastAsia="Microsoft YaHei"/>
        <w:color w:val="000000"/>
        <w:sz w:val="24"/>
        <w:szCs w:val="24"/>
      </w:rPr>
      <w:instrText xml:space="preserve"> PAGE </w:instrText>
    </w:r>
    <w:r>
      <w:rPr>
        <w:rFonts w:eastAsia="Microsoft YaHei"/>
        <w:color w:val="000000"/>
        <w:sz w:val="24"/>
        <w:szCs w:val="24"/>
      </w:rPr>
      <w:fldChar w:fldCharType="separate"/>
    </w:r>
    <w:r>
      <w:rPr>
        <w:rFonts w:eastAsia="Microsoft YaHei"/>
        <w:color w:val="000000"/>
        <w:sz w:val="24"/>
        <w:szCs w:val="24"/>
      </w:rPr>
      <w:t>9</w:t>
    </w:r>
    <w:r>
      <w:rPr>
        <w:rFonts w:eastAsia="Microsoft YaHei"/>
        <w:color w:val="000000"/>
        <w:sz w:val="24"/>
        <w:szCs w:val="24"/>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Microsoft YaHei"/>
        <w:color w:val="000000"/>
        <w:sz w:val="24"/>
        <w:szCs w:val="24"/>
      </w:rPr>
      <w:fldChar w:fldCharType="begin"/>
    </w:r>
    <w:r>
      <w:rPr>
        <w:rFonts w:eastAsia="Microsoft YaHei"/>
        <w:color w:val="000000"/>
        <w:sz w:val="24"/>
        <w:szCs w:val="24"/>
      </w:rPr>
      <w:instrText xml:space="preserve"> PAGE </w:instrText>
    </w:r>
    <w:r>
      <w:rPr>
        <w:rFonts w:eastAsia="Microsoft YaHei"/>
        <w:color w:val="000000"/>
        <w:sz w:val="24"/>
        <w:szCs w:val="24"/>
      </w:rPr>
      <w:fldChar w:fldCharType="separate"/>
    </w:r>
    <w:r>
      <w:rPr>
        <w:rFonts w:eastAsia="Microsoft YaHei"/>
        <w:color w:val="000000"/>
        <w:sz w:val="24"/>
        <w:szCs w:val="24"/>
      </w:rPr>
      <w:t>9</w:t>
    </w:r>
    <w:r>
      <w:rPr>
        <w:rFonts w:eastAsia="Microsoft YaHei"/>
        <w:color w:val="000000"/>
        <w:sz w:val="24"/>
        <w:szCs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B0B8C0"/>
        <w:sz w:val="16"/>
        <w:szCs w:val="16"/>
      </w:rPr>
      <w:t>LuxTalent — Documentation Technique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B0B8C0"/>
        <w:sz w:val="16"/>
        <w:szCs w:val="16"/>
      </w:rPr>
      <w:t>LuxTalent — Documentation Technique</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B0B8C0"/>
        <w:sz w:val="16"/>
        <w:szCs w:val="16"/>
      </w:rPr>
      <w:t>LuxTalent — Documentation Technique</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B0B8C0"/>
        <w:sz w:val="16"/>
        <w:szCs w:val="16"/>
      </w:rPr>
      <w:t>LuxTalent — Documentation Technique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22"/>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Microsoft YaHei" w:cs="Noto Sans Devanagari"/>
        <w:color w:val="000000"/>
        <w:sz w:val="24"/>
        <w:szCs w:val="24"/>
        <w:lang w:val="fr-BE" w:eastAsia="zh-CN" w:bidi="hi-IN"/>
      </w:rPr>
    </w:rPrDefault>
    <w:pPrDefault>
      <w:pPr>
        <w:suppressAutoHyphens w:val="true"/>
      </w:pPr>
    </w:pPrDefault>
  </w:docDefaults>
  <w:style w:type="paragraph" w:styleId="Normal">
    <w:name w:val="Normal"/>
    <w:qFormat/>
    <w:pPr>
      <w:widowControl/>
      <w:suppressAutoHyphens w:val="true"/>
      <w:bidi w:val="0"/>
      <w:spacing w:lineRule="auto" w:line="312" w:before="0" w:after="0"/>
      <w:jc w:val="start"/>
    </w:pPr>
    <w:rPr>
      <w:rFonts w:ascii="Calibri" w:hAnsi="Calibri" w:eastAsia="Microsoft YaHei" w:cs="Noto Sans Devanagari"/>
      <w:color w:val="000000"/>
      <w:kern w:val="0"/>
      <w:sz w:val="24"/>
      <w:szCs w:val="24"/>
      <w:lang w:val="fr-BE" w:eastAsia="zh-CN" w:bidi="hi-IN"/>
    </w:rPr>
  </w:style>
  <w:style w:type="paragraph" w:styleId="Heading1">
    <w:name w:val="heading 1"/>
    <w:basedOn w:val="Titreuser"/>
    <w:qFormat/>
    <w:pPr>
      <w:spacing w:lineRule="auto" w:line="312" w:before="360" w:after="160"/>
      <w:outlineLvl w:val="0"/>
    </w:pPr>
    <w:rPr>
      <w:rFonts w:ascii="Calibri" w:hAnsi="Calibri" w:eastAsia="SimHei"/>
      <w:b/>
      <w:bCs/>
      <w:color w:val="0C1F1A"/>
      <w:sz w:val="32"/>
      <w:szCs w:val="32"/>
    </w:rPr>
  </w:style>
  <w:style w:type="paragraph" w:styleId="Heading2">
    <w:name w:val="heading 2"/>
    <w:basedOn w:val="Titreuser"/>
    <w:qFormat/>
    <w:pPr>
      <w:spacing w:lineRule="auto" w:line="312" w:before="240" w:after="120"/>
      <w:outlineLvl w:val="1"/>
    </w:pPr>
    <w:rPr>
      <w:rFonts w:ascii="Calibri" w:hAnsi="Calibri" w:eastAsia="SimHei"/>
      <w:b/>
      <w:bCs/>
      <w:color w:val="0C1F1A"/>
      <w:sz w:val="28"/>
      <w:szCs w:val="28"/>
    </w:rPr>
  </w:style>
  <w:style w:type="paragraph" w:styleId="Heading3">
    <w:name w:val="heading 3"/>
    <w:basedOn w:val="Titreuser"/>
    <w:qFormat/>
    <w:pPr>
      <w:outlineLvl w:val="2"/>
    </w:pPr>
    <w:rPr>
      <w:color w:val="1F4D78"/>
      <w:sz w:val="24"/>
      <w:szCs w:val="24"/>
    </w:rPr>
  </w:style>
  <w:style w:type="paragraph" w:styleId="Heading4">
    <w:name w:val="heading 4"/>
    <w:basedOn w:val="Titreuser"/>
    <w:qFormat/>
    <w:pPr>
      <w:outlineLvl w:val="3"/>
    </w:pPr>
    <w:rPr>
      <w:i/>
      <w:iCs/>
      <w:color w:val="2E74B5"/>
    </w:rPr>
  </w:style>
  <w:style w:type="paragraph" w:styleId="Heading5">
    <w:name w:val="heading 5"/>
    <w:basedOn w:val="Titreuser"/>
    <w:qFormat/>
    <w:pPr>
      <w:outlineLvl w:val="4"/>
    </w:pPr>
    <w:rPr>
      <w:color w:val="2E74B5"/>
    </w:rPr>
  </w:style>
  <w:style w:type="paragraph" w:styleId="Heading6">
    <w:name w:val="heading 6"/>
    <w:basedOn w:val="Titreuser"/>
    <w:qFormat/>
    <w:pPr>
      <w:outlineLvl w:val="5"/>
    </w:pPr>
    <w:rPr>
      <w:color w:val="1F4D78"/>
    </w:rPr>
  </w:style>
  <w:style w:type="character" w:styleId="Hyperlink">
    <w:name w:val="Hyperlink"/>
    <w:uiPriority w:val="99"/>
    <w:unhideWhenUsed/>
    <w:rPr>
      <w:color w:val="0563C1"/>
      <w:u w:val="single"/>
    </w:rPr>
  </w:style>
  <w:style w:type="character" w:styleId="Caractresdenotedebasdepageuser">
    <w:name w:val="Caractères de note de bas de page (user)"/>
    <w:uiPriority w:val="99"/>
    <w:semiHidden/>
    <w:unhideWhenUsed/>
    <w:qFormat/>
    <w:rPr>
      <w:vertAlign w:val="superscrip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user">
    <w:name w:val="Caractères de note de fin (user)"/>
    <w:uiPriority w:val="99"/>
    <w:semiHidden/>
    <w:unhideWhenUsed/>
    <w:qFormat/>
    <w:rPr>
      <w:vertAlign w:val="superscript"/>
    </w:rPr>
  </w:style>
  <w:style w:type="character" w:styleId="Caractresdenotedefin">
    <w:name w:val="Caractères de note de fin"/>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Sautdindexuser">
    <w:name w:val="Saut d'index (user)"/>
    <w:qFormat/>
    <w:rPr/>
  </w:style>
  <w:style w:type="character" w:styleId="Sautdindex">
    <w:name w:val="Saut d'index"/>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Title">
    <w:name w:val="Title"/>
    <w:basedOn w:val="Titreuser"/>
    <w:qFormat/>
    <w:pPr/>
    <w:rPr>
      <w:sz w:val="56"/>
      <w:szCs w:val="56"/>
    </w:rPr>
  </w:style>
  <w:style w:type="paragraph" w:styleId="StrongEmphasis">
    <w:name w:val="Strong Emphasis"/>
    <w:qFormat/>
    <w:pPr>
      <w:widowControl/>
      <w:suppressAutoHyphens w:val="true"/>
      <w:bidi w:val="0"/>
      <w:spacing w:lineRule="auto" w:line="312" w:before="0" w:after="0"/>
      <w:jc w:val="start"/>
    </w:pPr>
    <w:rPr>
      <w:rFonts w:ascii="Calibri" w:hAnsi="Calibri" w:eastAsia="Microsoft YaHei" w:cs="Noto Sans Devanagari"/>
      <w:b/>
      <w:bCs/>
      <w:color w:val="000000"/>
      <w:kern w:val="0"/>
      <w:sz w:val="24"/>
      <w:szCs w:val="24"/>
      <w:lang w:val="fr-BE" w:eastAsia="zh-CN" w:bidi="hi-IN"/>
    </w:rPr>
  </w:style>
  <w:style w:type="paragraph" w:styleId="ListParagraph">
    <w:name w:val="List Paragraph"/>
    <w:qFormat/>
    <w:pPr>
      <w:widowControl/>
      <w:suppressAutoHyphens w:val="true"/>
      <w:bidi w:val="0"/>
      <w:spacing w:lineRule="auto" w:line="312" w:before="0" w:after="0"/>
      <w:jc w:val="start"/>
    </w:pPr>
    <w:rPr>
      <w:rFonts w:ascii="Calibri" w:hAnsi="Calibri" w:eastAsia="Microsoft YaHei" w:cs="Noto Sans Devanagari"/>
      <w:color w:val="000000"/>
      <w:kern w:val="0"/>
      <w:sz w:val="24"/>
      <w:szCs w:val="24"/>
      <w:lang w:val="fr-B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uiPriority w:val="39"/>
    <w:pPr>
      <w:tabs>
        <w:tab w:val="clear" w:pos="720"/>
        <w:tab w:val="right" w:pos="9026" w:leader="dot"/>
      </w:tabs>
      <w:spacing w:before="120" w:after="60"/>
    </w:pPr>
    <w:rPr>
      <w:b/>
      <w:bCs/>
    </w:rPr>
  </w:style>
  <w:style w:type="paragraph" w:styleId="TOC2">
    <w:name w:val="toc 2"/>
    <w:basedOn w:val="Index"/>
    <w:uiPriority w:val="39"/>
    <w:pPr>
      <w:tabs>
        <w:tab w:val="clear" w:pos="720"/>
        <w:tab w:val="right" w:pos="9026" w:leader="dot"/>
      </w:tabs>
      <w:spacing w:before="60" w:after="40"/>
      <w:ind w:start="360"/>
    </w:pPr>
    <w:rPr/>
  </w:style>
  <w:style w:type="paragraph" w:styleId="TOC3">
    <w:name w:val="toc 3"/>
    <w:basedOn w:val="Index"/>
    <w:uiPriority w:val="39"/>
    <w:pPr>
      <w:tabs>
        <w:tab w:val="clear" w:pos="720"/>
        <w:tab w:val="right" w:pos="9026" w:leader="dot"/>
      </w:tabs>
      <w:spacing w:before="40" w:after="20"/>
      <w:ind w:start="720"/>
    </w:pPr>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En-tteetpieddepageuser"/>
    <w:pPr/>
    <w:rPr/>
  </w:style>
  <w:style w:type="paragraph" w:styleId="Footer">
    <w:name w:val="footer"/>
    <w:basedOn w:val="En-tteetpieddepageus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eader" Target="header4.xml"/><Relationship Id="rId8" Type="http://schemas.openxmlformats.org/officeDocument/2006/relationships/header" Target="header5.xml"/><Relationship Id="rId9" Type="http://schemas.openxmlformats.org/officeDocument/2006/relationships/header" Target="header6.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LibreOffice/25.8.5.2$Linux_X86_64 LibreOffice_project/580$Build-2</Application>
  <AppVersion>15.0000</AppVersion>
  <Pages>13</Pages>
  <Words>2250</Words>
  <Characters>13517</Characters>
  <CharactersWithSpaces>15498</CharactersWithSpaces>
  <Paragraphs>277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2026-06-06T21:59:26Z</dcterms:created>
  <dc:creator>Un-named</dc:creator>
  <dc:description/>
  <dc:language>fr-BE</dc:language>
  <cp:lastModifiedBy/>
  <dcterms:modified xsi:type="dcterms:W3CDTF">2026-06-07T11:49:44Z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