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00267" w14:textId="6B404E6A" w:rsidR="001B4C0B" w:rsidRDefault="001B4C0B">
      <w:r>
        <w:rPr>
          <w:noProof/>
        </w:rPr>
        <w:drawing>
          <wp:inline distT="0" distB="0" distL="0" distR="0" wp14:anchorId="2F934293" wp14:editId="080D247B">
            <wp:extent cx="5400040" cy="32797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85C4" w14:textId="0B2D3E32" w:rsidR="00962EE3" w:rsidRDefault="00962EE3">
      <w:r>
        <w:rPr>
          <w:noProof/>
        </w:rPr>
        <w:drawing>
          <wp:anchor distT="0" distB="0" distL="114300" distR="114300" simplePos="0" relativeHeight="251658240" behindDoc="1" locked="0" layoutInCell="1" allowOverlap="1" wp14:anchorId="17AA6E4B" wp14:editId="3D9B33C6">
            <wp:simplePos x="0" y="0"/>
            <wp:positionH relativeFrom="column">
              <wp:posOffset>-81280</wp:posOffset>
            </wp:positionH>
            <wp:positionV relativeFrom="paragraph">
              <wp:posOffset>251460</wp:posOffset>
            </wp:positionV>
            <wp:extent cx="1229995" cy="2677160"/>
            <wp:effectExtent l="0" t="0" r="8255" b="8890"/>
            <wp:wrapTight wrapText="bothSides">
              <wp:wrapPolygon edited="0">
                <wp:start x="0" y="0"/>
                <wp:lineTo x="0" y="21518"/>
                <wp:lineTo x="21410" y="21518"/>
                <wp:lineTo x="21410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999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6F58F2" w14:textId="7B29BC64" w:rsidR="00962EE3" w:rsidRPr="00962EE3" w:rsidRDefault="00962EE3" w:rsidP="00962EE3">
      <w:pPr>
        <w:numPr>
          <w:ilvl w:val="0"/>
          <w:numId w:val="1"/>
        </w:numPr>
        <w:shd w:val="clear" w:color="auto" w:fill="F8F8F8"/>
        <w:spacing w:before="100" w:beforeAutospacing="1" w:after="100" w:afterAutospacing="1" w:line="360" w:lineRule="atLeast"/>
        <w:rPr>
          <w:rFonts w:ascii="Arial" w:eastAsia="Times New Roman" w:hAnsi="Arial" w:cs="Arial"/>
          <w:color w:val="666666"/>
          <w:sz w:val="20"/>
          <w:szCs w:val="20"/>
          <w:lang w:eastAsia="pt-BR"/>
        </w:rPr>
      </w:pPr>
      <w:r w:rsidRPr="00962EE3">
        <w:rPr>
          <w:rFonts w:ascii="Arial" w:eastAsia="Times New Roman" w:hAnsi="Arial" w:cs="Arial"/>
          <w:color w:val="666666"/>
          <w:sz w:val="20"/>
          <w:szCs w:val="20"/>
          <w:lang w:eastAsia="pt-BR"/>
        </w:rPr>
        <w:t>Lower Manhattan: É a parte mais meridional da ilha de Manhattan e o ponto onde se originou Nova York. Nesta zona se encontra o distrito financeiro da cidade e os distintos órgãos de governo. Lower Manhattan abrange desde o sul da ilha até a rua 14. </w:t>
      </w:r>
    </w:p>
    <w:p w14:paraId="2DB4081E" w14:textId="77777777" w:rsidR="00962EE3" w:rsidRPr="00962EE3" w:rsidRDefault="00962EE3" w:rsidP="00962EE3">
      <w:pPr>
        <w:numPr>
          <w:ilvl w:val="0"/>
          <w:numId w:val="1"/>
        </w:numPr>
        <w:shd w:val="clear" w:color="auto" w:fill="F8F8F8"/>
        <w:spacing w:before="100" w:beforeAutospacing="1" w:after="100" w:afterAutospacing="1" w:line="360" w:lineRule="atLeast"/>
        <w:rPr>
          <w:rFonts w:ascii="Arial" w:eastAsia="Times New Roman" w:hAnsi="Arial" w:cs="Arial"/>
          <w:color w:val="666666"/>
          <w:sz w:val="20"/>
          <w:szCs w:val="20"/>
          <w:lang w:eastAsia="pt-BR"/>
        </w:rPr>
      </w:pPr>
      <w:r w:rsidRPr="00962EE3">
        <w:rPr>
          <w:rFonts w:ascii="Arial" w:eastAsia="Times New Roman" w:hAnsi="Arial" w:cs="Arial"/>
          <w:color w:val="666666"/>
          <w:sz w:val="20"/>
          <w:szCs w:val="20"/>
          <w:lang w:eastAsia="pt-BR"/>
        </w:rPr>
        <w:t>Midtown Manhattan: Se estende desde a rua 14 até a 59 (extremo sul do </w:t>
      </w:r>
      <w:hyperlink r:id="rId7" w:tooltip="Central Park" w:history="1">
        <w:r w:rsidRPr="00962EE3">
          <w:rPr>
            <w:rFonts w:ascii="Arial" w:eastAsia="Times New Roman" w:hAnsi="Arial" w:cs="Arial"/>
            <w:color w:val="F70759"/>
            <w:sz w:val="20"/>
            <w:szCs w:val="20"/>
            <w:u w:val="single"/>
            <w:lang w:eastAsia="pt-BR"/>
          </w:rPr>
          <w:t>Central Park</w:t>
        </w:r>
      </w:hyperlink>
      <w:r w:rsidRPr="00962EE3">
        <w:rPr>
          <w:rFonts w:ascii="Arial" w:eastAsia="Times New Roman" w:hAnsi="Arial" w:cs="Arial"/>
          <w:color w:val="666666"/>
          <w:sz w:val="20"/>
          <w:szCs w:val="20"/>
          <w:lang w:eastAsia="pt-BR"/>
        </w:rPr>
        <w:t>). Sua parte mais importante e a que concentra o maior número de arranha-céus começa na rua 33, onde está o famoso </w:t>
      </w:r>
      <w:hyperlink r:id="rId8" w:tooltip="Empire State" w:history="1">
        <w:r w:rsidRPr="00962EE3">
          <w:rPr>
            <w:rFonts w:ascii="Arial" w:eastAsia="Times New Roman" w:hAnsi="Arial" w:cs="Arial"/>
            <w:color w:val="F70759"/>
            <w:sz w:val="20"/>
            <w:szCs w:val="20"/>
            <w:u w:val="single"/>
            <w:lang w:eastAsia="pt-BR"/>
          </w:rPr>
          <w:t xml:space="preserve">Empire </w:t>
        </w:r>
        <w:proofErr w:type="spellStart"/>
        <w:r w:rsidRPr="00962EE3">
          <w:rPr>
            <w:rFonts w:ascii="Arial" w:eastAsia="Times New Roman" w:hAnsi="Arial" w:cs="Arial"/>
            <w:color w:val="F70759"/>
            <w:sz w:val="20"/>
            <w:szCs w:val="20"/>
            <w:u w:val="single"/>
            <w:lang w:eastAsia="pt-BR"/>
          </w:rPr>
          <w:t>State</w:t>
        </w:r>
        <w:proofErr w:type="spellEnd"/>
        <w:r w:rsidRPr="00962EE3">
          <w:rPr>
            <w:rFonts w:ascii="Arial" w:eastAsia="Times New Roman" w:hAnsi="Arial" w:cs="Arial"/>
            <w:color w:val="F70759"/>
            <w:sz w:val="20"/>
            <w:szCs w:val="20"/>
            <w:u w:val="single"/>
            <w:lang w:eastAsia="pt-BR"/>
          </w:rPr>
          <w:t xml:space="preserve"> Building</w:t>
        </w:r>
      </w:hyperlink>
      <w:r w:rsidRPr="00962EE3">
        <w:rPr>
          <w:rFonts w:ascii="Arial" w:eastAsia="Times New Roman" w:hAnsi="Arial" w:cs="Arial"/>
          <w:color w:val="666666"/>
          <w:sz w:val="20"/>
          <w:szCs w:val="20"/>
          <w:lang w:eastAsia="pt-BR"/>
        </w:rPr>
        <w:t>. </w:t>
      </w:r>
    </w:p>
    <w:p w14:paraId="6EA83652" w14:textId="77777777" w:rsidR="00962EE3" w:rsidRPr="00962EE3" w:rsidRDefault="00962EE3" w:rsidP="00962EE3">
      <w:pPr>
        <w:numPr>
          <w:ilvl w:val="0"/>
          <w:numId w:val="1"/>
        </w:numPr>
        <w:shd w:val="clear" w:color="auto" w:fill="F8F8F8"/>
        <w:spacing w:before="100" w:beforeAutospacing="1" w:after="100" w:afterAutospacing="1" w:line="360" w:lineRule="atLeast"/>
        <w:rPr>
          <w:rFonts w:ascii="Arial" w:eastAsia="Times New Roman" w:hAnsi="Arial" w:cs="Arial"/>
          <w:color w:val="666666"/>
          <w:sz w:val="20"/>
          <w:szCs w:val="20"/>
          <w:lang w:eastAsia="pt-BR"/>
        </w:rPr>
      </w:pPr>
      <w:r w:rsidRPr="00962EE3">
        <w:rPr>
          <w:rFonts w:ascii="Arial" w:eastAsia="Times New Roman" w:hAnsi="Arial" w:cs="Arial"/>
          <w:color w:val="666666"/>
          <w:sz w:val="20"/>
          <w:szCs w:val="20"/>
          <w:lang w:eastAsia="pt-BR"/>
        </w:rPr>
        <w:t>Upper Manhattan: De forma geral, se pode dizer que a parte alta de Manhattan começa no </w:t>
      </w:r>
      <w:hyperlink r:id="rId9" w:tooltip="Central Park" w:history="1">
        <w:r w:rsidRPr="00962EE3">
          <w:rPr>
            <w:rFonts w:ascii="Arial" w:eastAsia="Times New Roman" w:hAnsi="Arial" w:cs="Arial"/>
            <w:color w:val="F70759"/>
            <w:sz w:val="20"/>
            <w:szCs w:val="20"/>
            <w:u w:val="single"/>
            <w:lang w:eastAsia="pt-BR"/>
          </w:rPr>
          <w:t>Central Park</w:t>
        </w:r>
      </w:hyperlink>
      <w:r w:rsidRPr="00962EE3">
        <w:rPr>
          <w:rFonts w:ascii="Arial" w:eastAsia="Times New Roman" w:hAnsi="Arial" w:cs="Arial"/>
          <w:color w:val="666666"/>
          <w:sz w:val="20"/>
          <w:szCs w:val="20"/>
          <w:lang w:eastAsia="pt-BR"/>
        </w:rPr>
        <w:t xml:space="preserve"> e termina na rua 96. Na parte oeste, esta região vai mais para cima para incluir em seus domínios a Universidade de Columbia e a Catedral Saint John </w:t>
      </w:r>
      <w:proofErr w:type="spellStart"/>
      <w:r w:rsidRPr="00962EE3">
        <w:rPr>
          <w:rFonts w:ascii="Arial" w:eastAsia="Times New Roman" w:hAnsi="Arial" w:cs="Arial"/>
          <w:color w:val="666666"/>
          <w:sz w:val="20"/>
          <w:szCs w:val="20"/>
          <w:lang w:eastAsia="pt-BR"/>
        </w:rPr>
        <w:t>the</w:t>
      </w:r>
      <w:proofErr w:type="spellEnd"/>
      <w:r w:rsidRPr="00962EE3">
        <w:rPr>
          <w:rFonts w:ascii="Arial" w:eastAsia="Times New Roman" w:hAnsi="Arial" w:cs="Arial"/>
          <w:color w:val="666666"/>
          <w:sz w:val="20"/>
          <w:szCs w:val="20"/>
          <w:lang w:eastAsia="pt-BR"/>
        </w:rPr>
        <w:t xml:space="preserve"> Divine.</w:t>
      </w:r>
    </w:p>
    <w:p w14:paraId="310E20DD" w14:textId="58C84133" w:rsidR="00962EE3" w:rsidRDefault="00962EE3"/>
    <w:p w14:paraId="5E74B29D" w14:textId="77777777" w:rsidR="00962EE3" w:rsidRDefault="00962EE3" w:rsidP="00962EE3">
      <w:r>
        <w:t>Conclusão Parcial</w:t>
      </w:r>
    </w:p>
    <w:p w14:paraId="157A3871" w14:textId="77777777" w:rsidR="00962EE3" w:rsidRDefault="00962EE3"/>
    <w:p w14:paraId="2BBE7440" w14:textId="5DD7C00B" w:rsidR="001B4C0B" w:rsidRDefault="001B4C0B">
      <w:r>
        <w:t xml:space="preserve">Ao fazer a </w:t>
      </w:r>
      <w:r w:rsidR="00E0110B">
        <w:t>busca dos</w:t>
      </w:r>
      <w:r>
        <w:t xml:space="preserve"> estabelecimentos de “</w:t>
      </w:r>
      <w:proofErr w:type="spellStart"/>
      <w:r>
        <w:t>Drybars</w:t>
      </w:r>
      <w:proofErr w:type="spellEnd"/>
      <w:r>
        <w:t xml:space="preserve">” em raio de 9000 metros no </w:t>
      </w:r>
      <w:proofErr w:type="spellStart"/>
      <w:proofErr w:type="gramStart"/>
      <w:r>
        <w:t>Fours</w:t>
      </w:r>
      <w:r w:rsidR="00E0110B">
        <w:t>quare</w:t>
      </w:r>
      <w:proofErr w:type="spellEnd"/>
      <w:r>
        <w:t xml:space="preserve"> ,</w:t>
      </w:r>
      <w:proofErr w:type="gramEnd"/>
      <w:r>
        <w:t xml:space="preserve"> observa-se que retornou um concentração em algumas regiões de </w:t>
      </w:r>
      <w:r w:rsidR="00E0110B">
        <w:t>M</w:t>
      </w:r>
      <w:r>
        <w:t>a</w:t>
      </w:r>
      <w:r w:rsidR="00E0110B">
        <w:t>nhattan</w:t>
      </w:r>
    </w:p>
    <w:p w14:paraId="38EF47EE" w14:textId="4EA73872" w:rsidR="00E0110B" w:rsidRDefault="00E0110B"/>
    <w:p w14:paraId="002D5618" w14:textId="664C80AD" w:rsidR="00E0110B" w:rsidRDefault="00E0110B"/>
    <w:p w14:paraId="1FF16244" w14:textId="02A5D0BF" w:rsidR="00E0110B" w:rsidRDefault="00E0110B"/>
    <w:sectPr w:rsidR="00E011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4408D"/>
    <w:multiLevelType w:val="multilevel"/>
    <w:tmpl w:val="3CC24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C0B"/>
    <w:rsid w:val="000C4EAC"/>
    <w:rsid w:val="001B4C0B"/>
    <w:rsid w:val="00823C3C"/>
    <w:rsid w:val="00962EE3"/>
    <w:rsid w:val="009D239E"/>
    <w:rsid w:val="00E01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7266F"/>
  <w15:chartTrackingRefBased/>
  <w15:docId w15:val="{1E189375-164B-4B36-9906-06962FEFB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76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ovayork.net/empire-stat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novayork.net/central-par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novayork.net/central-park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177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Edlaine Gladys</dc:creator>
  <cp:keywords/>
  <dc:description/>
  <cp:lastModifiedBy>Edlaine Gladys</cp:lastModifiedBy>
  <cp:revision>3</cp:revision>
  <dcterms:created xsi:type="dcterms:W3CDTF">2021-04-22T18:14:00Z</dcterms:created>
  <dcterms:modified xsi:type="dcterms:W3CDTF">2021-04-23T11:58:00Z</dcterms:modified>
</cp:coreProperties>
</file>