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26" w:rsidRDefault="00511D91" w:rsidP="009E7063">
      <w:r>
        <w:fldChar w:fldCharType="begin"/>
      </w:r>
      <w:r>
        <w:instrText xml:space="preserve"> HYPERLINK "</w:instrText>
      </w:r>
      <w:r w:rsidRPr="00511D91">
        <w:instrText>https://doc.synapticon.com/firmware/servo_node_ethercat/41/motion_control/advanced_control_options/i2t/index.html</w:instrText>
      </w:r>
      <w:r>
        <w:instrText xml:space="preserve">" </w:instrText>
      </w:r>
      <w:r>
        <w:fldChar w:fldCharType="separate"/>
      </w:r>
      <w:r w:rsidRPr="000663D4">
        <w:rPr>
          <w:rStyle w:val="Hyperlink"/>
        </w:rPr>
        <w:t>https://doc.synapticon.com/firmware/servo_node_ethercat/41/motion_control/advanced_control_options/i2t/index.html</w:t>
      </w:r>
      <w:r>
        <w:fldChar w:fldCharType="end"/>
      </w:r>
    </w:p>
    <w:p w:rsidR="00511D91" w:rsidRDefault="00511D91" w:rsidP="009E7063"/>
    <w:p w:rsidR="002A07DC" w:rsidRDefault="002A07DC" w:rsidP="002A07DC">
      <w:pPr>
        <w:pStyle w:val="Heading10"/>
        <w:rPr>
          <w:color w:val="auto"/>
          <w:lang w:val="en-US"/>
        </w:rPr>
      </w:pPr>
      <w:r>
        <w:rPr>
          <w:rStyle w:val="notranslate"/>
        </w:rPr>
        <w:t>电机过载保护（</w:t>
      </w:r>
      <w:r>
        <w:rPr>
          <w:rStyle w:val="notranslate"/>
        </w:rPr>
        <w:t>i2t</w:t>
      </w:r>
      <w:r>
        <w:rPr>
          <w:rStyle w:val="notranslate"/>
        </w:rPr>
        <w:t>）</w:t>
      </w:r>
      <w:r>
        <w:rPr>
          <w:rStyle w:val="notranslate"/>
        </w:rP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此功能可限制注入电机的过电流，以防止</w:t>
      </w:r>
      <w:r w:rsidRPr="00413FEA">
        <w:rPr>
          <w:rStyle w:val="notranslate"/>
          <w:rFonts w:eastAsiaTheme="majorEastAsia"/>
          <w:highlight w:val="yellow"/>
        </w:rPr>
        <w:t>过热</w:t>
      </w:r>
      <w:r>
        <w:rPr>
          <w:rStyle w:val="notranslate"/>
          <w:rFonts w:eastAsiaTheme="majorEastAsia"/>
        </w:rPr>
        <w:t>损坏。</w:t>
      </w:r>
      <w:r>
        <w:t xml:space="preserve"> </w:t>
      </w:r>
    </w:p>
    <w:p w:rsidR="002A07DC" w:rsidRDefault="002A07DC" w:rsidP="002A07DC">
      <w:pPr>
        <w:pStyle w:val="Heading20"/>
      </w:pPr>
      <w:r>
        <w:rPr>
          <w:rStyle w:val="notranslate"/>
        </w:rPr>
        <w:t>概述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如果变频器产生的电流高于</w:t>
      </w:r>
      <w:r w:rsidRPr="00413FEA">
        <w:rPr>
          <w:rStyle w:val="notranslate"/>
          <w:rFonts w:eastAsiaTheme="majorEastAsia"/>
          <w:highlight w:val="yellow"/>
        </w:rPr>
        <w:t>额定电流</w:t>
      </w:r>
      <w:r>
        <w:rPr>
          <w:rStyle w:val="notranslate"/>
          <w:rFonts w:eastAsiaTheme="majorEastAsia"/>
        </w:rPr>
        <w:t>，则电机周围的</w:t>
      </w:r>
      <w:r w:rsidRPr="00413FEA">
        <w:rPr>
          <w:rStyle w:val="notranslate"/>
          <w:rFonts w:eastAsiaTheme="majorEastAsia"/>
          <w:highlight w:val="yellow"/>
        </w:rPr>
        <w:t>热量会累积</w:t>
      </w:r>
      <w:r>
        <w:rPr>
          <w:rStyle w:val="notranslate"/>
          <w:rFonts w:eastAsiaTheme="majorEastAsia"/>
        </w:rPr>
        <w:t>，</w:t>
      </w:r>
      <w:r w:rsidRPr="00413FEA">
        <w:rPr>
          <w:rStyle w:val="notranslate"/>
          <w:rFonts w:eastAsiaTheme="majorEastAsia"/>
          <w:highlight w:val="yellow"/>
        </w:rPr>
        <w:t>冷却系统</w:t>
      </w:r>
      <w:r>
        <w:rPr>
          <w:rStyle w:val="notranslate"/>
          <w:rFonts w:eastAsiaTheme="majorEastAsia"/>
        </w:rPr>
        <w:t>必须散热。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如果累积的热量超过冷却系统的能力，系统将达到其热限制，并且电机或周围元件可能会永久损坏。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此功能将评估电机的</w:t>
      </w:r>
      <w:r>
        <w:rPr>
          <w:rStyle w:val="notranslate"/>
          <w:rFonts w:eastAsiaTheme="majorEastAsia"/>
        </w:rPr>
        <w:t>“</w:t>
      </w:r>
      <w:r>
        <w:rPr>
          <w:rStyle w:val="notranslate"/>
          <w:rFonts w:eastAsiaTheme="majorEastAsia"/>
        </w:rPr>
        <w:t>过热</w:t>
      </w:r>
      <w:r>
        <w:rPr>
          <w:rStyle w:val="notranslate"/>
          <w:rFonts w:eastAsiaTheme="majorEastAsia"/>
        </w:rPr>
        <w:t>”</w:t>
      </w:r>
      <w:r>
        <w:rPr>
          <w:rStyle w:val="notranslate"/>
          <w:rFonts w:eastAsiaTheme="majorEastAsia"/>
        </w:rPr>
        <w:t>状态。</w:t>
      </w:r>
      <w:r>
        <w:t xml:space="preserve"> </w:t>
      </w:r>
      <w:r>
        <w:rPr>
          <w:rStyle w:val="notranslate"/>
          <w:rFonts w:eastAsiaTheme="majorEastAsia"/>
        </w:rPr>
        <w:t>如果电机过热超过</w:t>
      </w:r>
      <w:r w:rsidRPr="00413FEA">
        <w:rPr>
          <w:rStyle w:val="notranslate"/>
          <w:rFonts w:eastAsiaTheme="majorEastAsia"/>
          <w:highlight w:val="yellow"/>
        </w:rPr>
        <w:t>允许的限制</w:t>
      </w:r>
      <w:r>
        <w:rPr>
          <w:rStyle w:val="notranslate"/>
          <w:rFonts w:eastAsiaTheme="majorEastAsia"/>
        </w:rPr>
        <w:t>，此功能将限制相电流的</w:t>
      </w:r>
      <w:r w:rsidRPr="00413FEA">
        <w:rPr>
          <w:rStyle w:val="notranslate"/>
          <w:rFonts w:eastAsiaTheme="majorEastAsia"/>
          <w:highlight w:val="yellow"/>
        </w:rPr>
        <w:t>RMS</w:t>
      </w:r>
      <w:r w:rsidR="00A966CF">
        <w:rPr>
          <w:rStyle w:val="notranslate"/>
          <w:rFonts w:eastAsiaTheme="majorEastAsia"/>
          <w:highlight w:val="yellow"/>
        </w:rPr>
        <w:t>（均方根）</w:t>
      </w:r>
      <w:r>
        <w:rPr>
          <w:rStyle w:val="notranslate"/>
          <w:rFonts w:eastAsiaTheme="majorEastAsia"/>
        </w:rPr>
        <w:t>值，以防止电机过热超过允许的限值。</w:t>
      </w:r>
      <w:r>
        <w:t xml:space="preserve"> </w:t>
      </w:r>
    </w:p>
    <w:p w:rsidR="002A07DC" w:rsidRDefault="002A07DC" w:rsidP="002A07DC">
      <w:pPr>
        <w:pStyle w:val="first"/>
      </w:pPr>
      <w:r>
        <w:rPr>
          <w:rStyle w:val="notranslate"/>
          <w:rFonts w:eastAsiaTheme="majorEastAsia"/>
        </w:rPr>
        <w:t>注意</w:t>
      </w:r>
      <w:r>
        <w:t xml:space="preserve"> </w:t>
      </w:r>
    </w:p>
    <w:p w:rsidR="002A07DC" w:rsidRDefault="002A07DC" w:rsidP="002A07DC">
      <w:pPr>
        <w:pStyle w:val="last"/>
      </w:pPr>
      <w:r>
        <w:rPr>
          <w:rStyle w:val="notranslate"/>
          <w:rFonts w:eastAsiaTheme="majorEastAsia"/>
        </w:rPr>
        <w:t>此功能</w:t>
      </w:r>
      <w:r w:rsidRPr="00B82AF3">
        <w:rPr>
          <w:rStyle w:val="notranslate"/>
          <w:rFonts w:eastAsiaTheme="majorEastAsia"/>
          <w:color w:val="FF0000"/>
        </w:rPr>
        <w:t>无法直接</w:t>
      </w:r>
      <w:r>
        <w:rPr>
          <w:rStyle w:val="notranslate"/>
          <w:rFonts w:eastAsiaTheme="majorEastAsia"/>
        </w:rPr>
        <w:t>测量电机温度。</w:t>
      </w:r>
      <w:r>
        <w:t xml:space="preserve"> </w:t>
      </w:r>
      <w:r>
        <w:rPr>
          <w:rStyle w:val="notranslate"/>
          <w:rFonts w:eastAsiaTheme="majorEastAsia"/>
        </w:rPr>
        <w:t>它只是一个限制功能，不允许电机过热。</w:t>
      </w:r>
      <w:r>
        <w:t xml:space="preserve"> </w:t>
      </w:r>
    </w:p>
    <w:p w:rsidR="002A07DC" w:rsidRDefault="002A07DC" w:rsidP="002A07DC">
      <w:pPr>
        <w:pStyle w:val="Heading20"/>
      </w:pPr>
      <w:r>
        <w:rPr>
          <w:rStyle w:val="notranslate"/>
        </w:rPr>
        <w:t>要求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要使用此功能，必须根据电机数据表正确设置以下参数：</w:t>
      </w:r>
      <w:r>
        <w:t xml:space="preserve"> </w:t>
      </w:r>
    </w:p>
    <w:p w:rsidR="002A07DC" w:rsidRDefault="002A07DC" w:rsidP="002A07DC">
      <w:pPr>
        <w:pStyle w:val="object-link"/>
      </w:pPr>
      <w:hyperlink r:id="rId8" w:anchor="x6075" w:tgtFrame="_blank" w:history="1">
        <w:r>
          <w:rPr>
            <w:rStyle w:val="Hyperlink"/>
            <w:rFonts w:eastAsiaTheme="majorEastAsia"/>
          </w:rPr>
          <w:t>0x6075</w:t>
        </w:r>
        <w:r>
          <w:rPr>
            <w:rStyle w:val="Hyperlink"/>
            <w:rFonts w:eastAsiaTheme="majorEastAsia"/>
          </w:rPr>
          <w:t>电机</w:t>
        </w:r>
        <w:r w:rsidRPr="00FE6595">
          <w:rPr>
            <w:rStyle w:val="Hyperlink"/>
            <w:rFonts w:eastAsiaTheme="majorEastAsia"/>
            <w:highlight w:val="yellow"/>
          </w:rPr>
          <w:t>额定电流</w:t>
        </w:r>
      </w:hyperlink>
      <w:r>
        <w:t xml:space="preserve"> </w:t>
      </w:r>
    </w:p>
    <w:p w:rsidR="002A07DC" w:rsidRDefault="002A07DC" w:rsidP="002A07DC">
      <w:pPr>
        <w:pStyle w:val="object-descr"/>
      </w:pPr>
      <w:r>
        <w:rPr>
          <w:rStyle w:val="notranslate"/>
          <w:rFonts w:eastAsiaTheme="majorEastAsia"/>
        </w:rPr>
        <w:t>电机额定电流（有效值）</w:t>
      </w:r>
      <w:r>
        <w:t xml:space="preserve"> </w:t>
      </w:r>
    </w:p>
    <w:p w:rsidR="002A07DC" w:rsidRDefault="002A07DC" w:rsidP="002A07DC">
      <w:pPr>
        <w:pStyle w:val="object-link"/>
      </w:pPr>
      <w:hyperlink r:id="rId9" w:anchor="x6073" w:tgtFrame="_blank" w:history="1">
        <w:r>
          <w:rPr>
            <w:rStyle w:val="Hyperlink"/>
            <w:rFonts w:eastAsiaTheme="majorEastAsia"/>
          </w:rPr>
          <w:t>0x6073</w:t>
        </w:r>
        <w:r>
          <w:rPr>
            <w:rStyle w:val="Hyperlink"/>
            <w:rFonts w:eastAsiaTheme="majorEastAsia"/>
          </w:rPr>
          <w:t>电机</w:t>
        </w:r>
        <w:bookmarkStart w:id="0" w:name="_GoBack"/>
        <w:bookmarkEnd w:id="0"/>
        <w:r w:rsidRPr="00FE6595">
          <w:rPr>
            <w:rStyle w:val="Hyperlink"/>
            <w:rFonts w:eastAsiaTheme="majorEastAsia"/>
            <w:highlight w:val="yellow"/>
          </w:rPr>
          <w:t>最大电流</w:t>
        </w:r>
      </w:hyperlink>
      <w:r>
        <w:t xml:space="preserve"> </w:t>
      </w:r>
    </w:p>
    <w:p w:rsidR="002A07DC" w:rsidRDefault="002A07DC" w:rsidP="002A07DC">
      <w:pPr>
        <w:pStyle w:val="object-descr"/>
      </w:pPr>
      <w:r>
        <w:rPr>
          <w:rStyle w:val="notranslate"/>
          <w:rFonts w:eastAsiaTheme="majorEastAsia"/>
        </w:rPr>
        <w:t>电机最大电流（有效值）</w:t>
      </w:r>
      <w:r>
        <w:t xml:space="preserve"> </w:t>
      </w:r>
    </w:p>
    <w:p w:rsidR="002A07DC" w:rsidRDefault="002A07DC" w:rsidP="002A07DC">
      <w:pPr>
        <w:pStyle w:val="object-link"/>
      </w:pPr>
      <w:hyperlink r:id="rId10" w:anchor="x200a" w:tgtFrame="_blank" w:history="1">
        <w:r>
          <w:rPr>
            <w:rStyle w:val="Hyperlink"/>
            <w:rFonts w:eastAsiaTheme="majorEastAsia"/>
          </w:rPr>
          <w:t>0x200A i2t</w:t>
        </w:r>
      </w:hyperlink>
      <w:r>
        <w:t xml:space="preserve"> </w:t>
      </w:r>
    </w:p>
    <w:p w:rsidR="002A07DC" w:rsidRDefault="002A07DC" w:rsidP="002A07DC">
      <w:pPr>
        <w:pStyle w:val="object-descr"/>
      </w:pPr>
      <w:r>
        <w:rPr>
          <w:rStyle w:val="notranslate"/>
          <w:rFonts w:eastAsiaTheme="majorEastAsia"/>
        </w:rPr>
        <w:t>用于激活</w:t>
      </w:r>
      <w:r>
        <w:rPr>
          <w:rStyle w:val="notranslate"/>
          <w:rFonts w:eastAsiaTheme="majorEastAsia"/>
        </w:rPr>
        <w:t>i2t</w:t>
      </w:r>
      <w:r>
        <w:rPr>
          <w:rStyle w:val="notranslate"/>
          <w:rFonts w:eastAsiaTheme="majorEastAsia"/>
        </w:rPr>
        <w:t>功能的参数</w:t>
      </w:r>
      <w:r>
        <w:t xml:space="preserve"> </w:t>
      </w:r>
    </w:p>
    <w:p w:rsidR="002A07DC" w:rsidRDefault="002A07DC" w:rsidP="002A07DC">
      <w:pPr>
        <w:pStyle w:val="Heading20"/>
      </w:pPr>
      <w:r>
        <w:rPr>
          <w:rStyle w:val="notranslate"/>
        </w:rPr>
        <w:t>子程序的描述</w:t>
      </w:r>
      <w:r>
        <w:rPr>
          <w:rStyle w:val="notranslate"/>
        </w:rPr>
        <w:t>0x200A</w:t>
      </w:r>
      <w:r>
        <w:rPr>
          <w:rStyle w:val="notranslate"/>
        </w:rPr>
        <w:t>：</w:t>
      </w:r>
      <w:r>
        <w:rPr>
          <w:rStyle w:val="notranslate"/>
        </w:rPr>
        <w:t xml:space="preserve"> </w:t>
      </w:r>
    </w:p>
    <w:p w:rsidR="002A07DC" w:rsidRDefault="002A07DC" w:rsidP="002A07DC">
      <w:pPr>
        <w:pStyle w:val="high-lite"/>
      </w:pPr>
      <w:r>
        <w:rPr>
          <w:rStyle w:val="notranslate"/>
          <w:rFonts w:eastAsiaTheme="majorEastAsia"/>
        </w:rPr>
        <w:t>0x200A</w:t>
      </w:r>
      <w:r>
        <w:rPr>
          <w:rStyle w:val="notranslate"/>
          <w:rFonts w:eastAsiaTheme="majorEastAsia"/>
        </w:rPr>
        <w:t>：</w:t>
      </w:r>
      <w:r>
        <w:rPr>
          <w:rStyle w:val="notranslate"/>
          <w:rFonts w:eastAsiaTheme="majorEastAsia"/>
        </w:rPr>
        <w:t>1</w:t>
      </w:r>
      <w:r>
        <w:t xml:space="preserve"> </w:t>
      </w:r>
    </w:p>
    <w:p w:rsidR="002A07DC" w:rsidRDefault="002A07DC" w:rsidP="002A07DC">
      <w:pPr>
        <w:pStyle w:val="object-descr"/>
      </w:pPr>
      <w:r>
        <w:rPr>
          <w:rStyle w:val="notranslate"/>
          <w:rFonts w:eastAsiaTheme="majorEastAsia"/>
        </w:rPr>
        <w:lastRenderedPageBreak/>
        <w:t>启用：设置此标志以启用该功能</w:t>
      </w:r>
      <w:r>
        <w:t xml:space="preserve"> </w:t>
      </w:r>
    </w:p>
    <w:p w:rsidR="002A07DC" w:rsidRDefault="002A07DC" w:rsidP="002A07DC">
      <w:pPr>
        <w:pStyle w:val="high-lite"/>
      </w:pPr>
      <w:r>
        <w:rPr>
          <w:rStyle w:val="notranslate"/>
          <w:rFonts w:eastAsiaTheme="majorEastAsia"/>
        </w:rPr>
        <w:t>0x200A</w:t>
      </w:r>
      <w:r>
        <w:rPr>
          <w:rStyle w:val="notranslate"/>
          <w:rFonts w:eastAsiaTheme="majorEastAsia"/>
        </w:rPr>
        <w:t>：</w:t>
      </w:r>
      <w:r>
        <w:rPr>
          <w:rStyle w:val="notranslate"/>
          <w:rFonts w:eastAsiaTheme="majorEastAsia"/>
        </w:rPr>
        <w:t>2</w:t>
      </w:r>
      <w:r>
        <w:t xml:space="preserve"> </w:t>
      </w:r>
    </w:p>
    <w:p w:rsidR="002A07DC" w:rsidRDefault="002A07DC" w:rsidP="002A07DC">
      <w:pPr>
        <w:pStyle w:val="object-descr"/>
      </w:pPr>
      <w:r>
        <w:rPr>
          <w:rStyle w:val="notranslate"/>
          <w:rFonts w:eastAsiaTheme="majorEastAsia"/>
        </w:rPr>
        <w:t>峰值时间：允许电机达到最大电流的最大时间段</w:t>
      </w:r>
      <w:r>
        <w:rPr>
          <w:rStyle w:val="notranslate"/>
          <w:rFonts w:eastAsiaTheme="majorEastAsia"/>
        </w:rPr>
        <w:t>[</w:t>
      </w:r>
      <w:proofErr w:type="spellStart"/>
      <w:r>
        <w:rPr>
          <w:rStyle w:val="notranslate"/>
          <w:rFonts w:eastAsiaTheme="majorEastAsia"/>
        </w:rPr>
        <w:t>ms</w:t>
      </w:r>
      <w:proofErr w:type="spellEnd"/>
      <w:r>
        <w:rPr>
          <w:rStyle w:val="notranslate"/>
          <w:rFonts w:eastAsiaTheme="majorEastAsia"/>
        </w:rPr>
        <w:t>]</w:t>
      </w:r>
      <w:r>
        <w:t xml:space="preserve"> </w:t>
      </w:r>
    </w:p>
    <w:p w:rsidR="002A07DC" w:rsidRDefault="002A07DC" w:rsidP="002A07DC">
      <w:pPr>
        <w:pStyle w:val="high-lite"/>
      </w:pPr>
      <w:r>
        <w:rPr>
          <w:rStyle w:val="notranslate"/>
          <w:rFonts w:eastAsiaTheme="majorEastAsia"/>
        </w:rPr>
        <w:t>0x200A</w:t>
      </w:r>
      <w:r>
        <w:rPr>
          <w:rStyle w:val="notranslate"/>
          <w:rFonts w:eastAsiaTheme="majorEastAsia"/>
        </w:rPr>
        <w:t>：</w:t>
      </w:r>
      <w:r>
        <w:rPr>
          <w:rStyle w:val="notranslate"/>
          <w:rFonts w:eastAsiaTheme="majorEastAsia"/>
        </w:rPr>
        <w:t>3</w:t>
      </w:r>
      <w:r>
        <w:t xml:space="preserve"> </w:t>
      </w:r>
    </w:p>
    <w:p w:rsidR="002A07DC" w:rsidRDefault="002A07DC" w:rsidP="002A07DC">
      <w:pPr>
        <w:pStyle w:val="object-descr"/>
      </w:pPr>
      <w:r>
        <w:rPr>
          <w:rStyle w:val="notranslate"/>
          <w:rFonts w:eastAsiaTheme="majorEastAsia"/>
        </w:rPr>
        <w:t>百分比最大值：此跟踪变量计算过热状态的百分比。</w:t>
      </w:r>
      <w:r>
        <w:t xml:space="preserve"> </w:t>
      </w:r>
      <w:r>
        <w:rPr>
          <w:rStyle w:val="notranslate"/>
          <w:rFonts w:eastAsiaTheme="majorEastAsia"/>
        </w:rPr>
        <w:t>在</w:t>
      </w:r>
      <w:r>
        <w:rPr>
          <w:rStyle w:val="notranslate"/>
          <w:rFonts w:eastAsiaTheme="majorEastAsia"/>
        </w:rPr>
        <w:t>100</w:t>
      </w:r>
      <w:r>
        <w:rPr>
          <w:rStyle w:val="notranslate"/>
          <w:rFonts w:eastAsiaTheme="majorEastAsia"/>
        </w:rPr>
        <w:t>％时，保护将处于活动状态。</w:t>
      </w:r>
      <w:r>
        <w:t xml:space="preserve"> </w:t>
      </w:r>
    </w:p>
    <w:p w:rsidR="002A07DC" w:rsidRDefault="002A07DC" w:rsidP="002A07DC">
      <w:pPr>
        <w:pStyle w:val="high-lite"/>
      </w:pPr>
      <w:r>
        <w:rPr>
          <w:rStyle w:val="notranslate"/>
          <w:rFonts w:eastAsiaTheme="majorEastAsia"/>
        </w:rPr>
        <w:t>0x200A</w:t>
      </w:r>
      <w:r>
        <w:rPr>
          <w:rStyle w:val="notranslate"/>
          <w:rFonts w:eastAsiaTheme="majorEastAsia"/>
        </w:rPr>
        <w:t>：</w:t>
      </w:r>
      <w:r>
        <w:rPr>
          <w:rStyle w:val="notranslate"/>
          <w:rFonts w:eastAsiaTheme="majorEastAsia"/>
        </w:rPr>
        <w:t>4</w:t>
      </w:r>
      <w:r>
        <w:t xml:space="preserve"> </w:t>
      </w:r>
    </w:p>
    <w:p w:rsidR="002A07DC" w:rsidRDefault="002A07DC" w:rsidP="002A07DC">
      <w:pPr>
        <w:pStyle w:val="object-descr"/>
      </w:pPr>
      <w:r>
        <w:rPr>
          <w:rStyle w:val="notranslate"/>
          <w:rFonts w:eastAsiaTheme="majorEastAsia"/>
        </w:rPr>
        <w:t>保护有效：设置此标志时，输出电流限制为等于或小于标称电流</w:t>
      </w:r>
      <w:r>
        <w:t xml:space="preserve"> </w:t>
      </w:r>
    </w:p>
    <w:p w:rsidR="002A07DC" w:rsidRDefault="002A07DC" w:rsidP="002A07DC">
      <w:pPr>
        <w:pStyle w:val="Heading20"/>
      </w:pPr>
      <w:r>
        <w:rPr>
          <w:rStyle w:val="notranslate"/>
        </w:rPr>
        <w:t>工作原理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计算额定条件下铜损和过载条件之间的差异，并用于在电机过热情况下限制相电流。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一旦电机相电流高于其额定值，过热计算就会通过积分额定和过载条件下的损耗之差来开始。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当注入的电流高于标称电流时，跟踪变量将上升。</w:t>
      </w:r>
      <w:r>
        <w:t xml:space="preserve"> </w:t>
      </w:r>
      <w:r>
        <w:rPr>
          <w:rStyle w:val="notranslate"/>
          <w:rFonts w:eastAsiaTheme="majorEastAsia"/>
        </w:rPr>
        <w:t>如果过电流小于最大值，则峰值时间相应地延长。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一旦跟踪变量达到</w:t>
      </w:r>
      <w:r>
        <w:rPr>
          <w:rStyle w:val="notranslate"/>
          <w:rFonts w:eastAsiaTheme="majorEastAsia"/>
        </w:rPr>
        <w:t>100</w:t>
      </w:r>
      <w:r>
        <w:rPr>
          <w:rStyle w:val="notranslate"/>
          <w:rFonts w:eastAsiaTheme="majorEastAsia"/>
        </w:rPr>
        <w:t>％，就会达到计算出的热能存储量，并且所有相位的输出电流将被限制在其额定值。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当输出电流低于连续极限时，实际电流和连续极限电流之间的差值将为负值，</w:t>
      </w:r>
      <w:r>
        <w:rPr>
          <w:rStyle w:val="notranslate"/>
          <w:rFonts w:eastAsiaTheme="majorEastAsia"/>
        </w:rPr>
        <w:t>i2t</w:t>
      </w:r>
      <w:r>
        <w:rPr>
          <w:rStyle w:val="notranslate"/>
          <w:rFonts w:eastAsiaTheme="majorEastAsia"/>
        </w:rPr>
        <w:t>跟踪变量将减小。</w:t>
      </w:r>
      <w:r>
        <w:t xml:space="preserve"> </w:t>
      </w:r>
    </w:p>
    <w:p w:rsidR="002A07DC" w:rsidRDefault="002A07DC" w:rsidP="002A07DC">
      <w:pPr>
        <w:pStyle w:val="NormalWeb"/>
      </w:pPr>
      <w:r>
        <w:rPr>
          <w:rStyle w:val="notranslate"/>
          <w:rFonts w:eastAsiaTheme="majorEastAsia"/>
        </w:rPr>
        <w:t>当</w:t>
      </w:r>
      <w:r>
        <w:rPr>
          <w:rStyle w:val="notranslate"/>
          <w:rFonts w:eastAsiaTheme="majorEastAsia"/>
        </w:rPr>
        <w:t>i2t</w:t>
      </w:r>
      <w:r>
        <w:rPr>
          <w:rStyle w:val="notranslate"/>
          <w:rFonts w:eastAsiaTheme="majorEastAsia"/>
        </w:rPr>
        <w:t>跟踪变量降至</w:t>
      </w:r>
      <w:r>
        <w:rPr>
          <w:rStyle w:val="notranslate"/>
          <w:rFonts w:eastAsiaTheme="majorEastAsia"/>
        </w:rPr>
        <w:t>0</w:t>
      </w:r>
      <w:r>
        <w:rPr>
          <w:rStyle w:val="notranslate"/>
          <w:rFonts w:eastAsiaTheme="majorEastAsia"/>
        </w:rPr>
        <w:t>时，电流限制将关闭，电机相电流可再次达到更高值。</w:t>
      </w:r>
      <w:r>
        <w:t xml:space="preserve"> </w:t>
      </w:r>
    </w:p>
    <w:p w:rsidR="00511D91" w:rsidRPr="002A07DC" w:rsidRDefault="00511D91" w:rsidP="009E7063">
      <w:pPr>
        <w:rPr>
          <w:lang w:val="en-US"/>
        </w:rPr>
      </w:pPr>
    </w:p>
    <w:sectPr w:rsidR="00511D91" w:rsidRPr="002A07DC" w:rsidSect="009E30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627" w:rsidRDefault="00E93627" w:rsidP="004B4F26">
      <w:pPr>
        <w:spacing w:after="0" w:line="240" w:lineRule="auto"/>
      </w:pPr>
      <w:r>
        <w:separator/>
      </w:r>
    </w:p>
  </w:endnote>
  <w:endnote w:type="continuationSeparator" w:id="0">
    <w:p w:rsidR="00E93627" w:rsidRDefault="00E93627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D91" w:rsidRDefault="00511D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7A" w:rsidRPr="006A48CF" w:rsidRDefault="00160B5B" w:rsidP="00341063">
    <w:pPr>
      <w:pStyle w:val="Footer"/>
      <w:ind w:left="0"/>
      <w:rPr>
        <w:lang w:val="en-GB"/>
      </w:rPr>
    </w:pPr>
    <w:r w:rsidRPr="006A48CF">
      <w:rPr>
        <w:lang w:val="en-GB"/>
      </w:rPr>
      <w:tab/>
    </w:r>
    <w:r w:rsidRPr="006A48CF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D91" w:rsidRDefault="00511D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627" w:rsidRDefault="00E93627" w:rsidP="004B4F26">
      <w:pPr>
        <w:spacing w:after="0" w:line="240" w:lineRule="auto"/>
      </w:pPr>
      <w:r>
        <w:separator/>
      </w:r>
    </w:p>
  </w:footnote>
  <w:footnote w:type="continuationSeparator" w:id="0">
    <w:p w:rsidR="00E93627" w:rsidRDefault="00E93627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D91" w:rsidRDefault="00511D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D91" w:rsidRDefault="00511D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7D"/>
    <w:rsid w:val="00056A2A"/>
    <w:rsid w:val="00072111"/>
    <w:rsid w:val="00081C3D"/>
    <w:rsid w:val="00086DDA"/>
    <w:rsid w:val="000B7772"/>
    <w:rsid w:val="000C67F4"/>
    <w:rsid w:val="000C7EF3"/>
    <w:rsid w:val="000E20C0"/>
    <w:rsid w:val="001105EC"/>
    <w:rsid w:val="00123AD3"/>
    <w:rsid w:val="00153CA9"/>
    <w:rsid w:val="00160B5B"/>
    <w:rsid w:val="00182EB0"/>
    <w:rsid w:val="00191CA9"/>
    <w:rsid w:val="001A236D"/>
    <w:rsid w:val="001B569F"/>
    <w:rsid w:val="001C1616"/>
    <w:rsid w:val="001D01F6"/>
    <w:rsid w:val="001E3066"/>
    <w:rsid w:val="001F1537"/>
    <w:rsid w:val="0022518F"/>
    <w:rsid w:val="00226B8C"/>
    <w:rsid w:val="00230F8A"/>
    <w:rsid w:val="0025315E"/>
    <w:rsid w:val="00264425"/>
    <w:rsid w:val="0029602E"/>
    <w:rsid w:val="002A07DC"/>
    <w:rsid w:val="002D2D04"/>
    <w:rsid w:val="002E6163"/>
    <w:rsid w:val="002F186D"/>
    <w:rsid w:val="00337766"/>
    <w:rsid w:val="00341063"/>
    <w:rsid w:val="00392C57"/>
    <w:rsid w:val="003942CD"/>
    <w:rsid w:val="003B400D"/>
    <w:rsid w:val="003D42B6"/>
    <w:rsid w:val="003F2CB6"/>
    <w:rsid w:val="003F6BFD"/>
    <w:rsid w:val="004122E4"/>
    <w:rsid w:val="00413FEA"/>
    <w:rsid w:val="0042158E"/>
    <w:rsid w:val="00436119"/>
    <w:rsid w:val="004369BF"/>
    <w:rsid w:val="004767EF"/>
    <w:rsid w:val="00481DF1"/>
    <w:rsid w:val="004B247D"/>
    <w:rsid w:val="004B36B2"/>
    <w:rsid w:val="004B4F26"/>
    <w:rsid w:val="004E710D"/>
    <w:rsid w:val="00511D91"/>
    <w:rsid w:val="00512E20"/>
    <w:rsid w:val="00523262"/>
    <w:rsid w:val="0056255A"/>
    <w:rsid w:val="005A2190"/>
    <w:rsid w:val="005D1AFE"/>
    <w:rsid w:val="00620E16"/>
    <w:rsid w:val="0064584E"/>
    <w:rsid w:val="00674784"/>
    <w:rsid w:val="00676C96"/>
    <w:rsid w:val="006A48CF"/>
    <w:rsid w:val="006D1217"/>
    <w:rsid w:val="006F2959"/>
    <w:rsid w:val="006F38A6"/>
    <w:rsid w:val="007033AE"/>
    <w:rsid w:val="00727DF7"/>
    <w:rsid w:val="00743AFA"/>
    <w:rsid w:val="00744D12"/>
    <w:rsid w:val="00752E24"/>
    <w:rsid w:val="007829A7"/>
    <w:rsid w:val="007A1C27"/>
    <w:rsid w:val="007B17A3"/>
    <w:rsid w:val="007B59C3"/>
    <w:rsid w:val="007C7733"/>
    <w:rsid w:val="007E1BCA"/>
    <w:rsid w:val="00821702"/>
    <w:rsid w:val="0085174F"/>
    <w:rsid w:val="00853134"/>
    <w:rsid w:val="008605CD"/>
    <w:rsid w:val="0086611B"/>
    <w:rsid w:val="00867CD2"/>
    <w:rsid w:val="008751A2"/>
    <w:rsid w:val="0087757A"/>
    <w:rsid w:val="008D5C97"/>
    <w:rsid w:val="009117CE"/>
    <w:rsid w:val="0092720F"/>
    <w:rsid w:val="009371FF"/>
    <w:rsid w:val="0094739C"/>
    <w:rsid w:val="0096799A"/>
    <w:rsid w:val="0098224F"/>
    <w:rsid w:val="009932A4"/>
    <w:rsid w:val="00996914"/>
    <w:rsid w:val="009A0D60"/>
    <w:rsid w:val="009D6D09"/>
    <w:rsid w:val="009E308E"/>
    <w:rsid w:val="009E7063"/>
    <w:rsid w:val="009F0BDF"/>
    <w:rsid w:val="009F7F1C"/>
    <w:rsid w:val="00A01FD3"/>
    <w:rsid w:val="00A61610"/>
    <w:rsid w:val="00A67EB0"/>
    <w:rsid w:val="00A72103"/>
    <w:rsid w:val="00A8388C"/>
    <w:rsid w:val="00A966CF"/>
    <w:rsid w:val="00AC2961"/>
    <w:rsid w:val="00AC482B"/>
    <w:rsid w:val="00AF7CE2"/>
    <w:rsid w:val="00B11A28"/>
    <w:rsid w:val="00B15169"/>
    <w:rsid w:val="00B1731F"/>
    <w:rsid w:val="00B35604"/>
    <w:rsid w:val="00B82AF3"/>
    <w:rsid w:val="00BA633A"/>
    <w:rsid w:val="00BA6AB8"/>
    <w:rsid w:val="00BB0676"/>
    <w:rsid w:val="00BC4F0B"/>
    <w:rsid w:val="00BC769C"/>
    <w:rsid w:val="00BD7223"/>
    <w:rsid w:val="00C20E22"/>
    <w:rsid w:val="00C31C02"/>
    <w:rsid w:val="00C320CB"/>
    <w:rsid w:val="00C36B9E"/>
    <w:rsid w:val="00C60A98"/>
    <w:rsid w:val="00C72ABC"/>
    <w:rsid w:val="00C81221"/>
    <w:rsid w:val="00C87F6D"/>
    <w:rsid w:val="00CD277F"/>
    <w:rsid w:val="00CE5C20"/>
    <w:rsid w:val="00DC0B50"/>
    <w:rsid w:val="00DC4B9A"/>
    <w:rsid w:val="00DE4BF8"/>
    <w:rsid w:val="00DE6E2B"/>
    <w:rsid w:val="00E03E15"/>
    <w:rsid w:val="00E32FAC"/>
    <w:rsid w:val="00E46284"/>
    <w:rsid w:val="00E673FC"/>
    <w:rsid w:val="00E75551"/>
    <w:rsid w:val="00E93627"/>
    <w:rsid w:val="00E93F41"/>
    <w:rsid w:val="00EB3C59"/>
    <w:rsid w:val="00EC3303"/>
    <w:rsid w:val="00ED3446"/>
    <w:rsid w:val="00EF7A0A"/>
    <w:rsid w:val="00F17753"/>
    <w:rsid w:val="00F20284"/>
    <w:rsid w:val="00F61F01"/>
    <w:rsid w:val="00FE0E00"/>
    <w:rsid w:val="00FE3F36"/>
    <w:rsid w:val="00FE6595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1C6AE-B6E4-4B1B-B241-1C584AE9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character" w:customStyle="1" w:styleId="notranslate">
    <w:name w:val="notranslate"/>
    <w:basedOn w:val="DefaultParagraphFont"/>
    <w:rsid w:val="002A07DC"/>
  </w:style>
  <w:style w:type="paragraph" w:styleId="NormalWeb">
    <w:name w:val="Normal (Web)"/>
    <w:basedOn w:val="Normal"/>
    <w:uiPriority w:val="99"/>
    <w:semiHidden/>
    <w:unhideWhenUsed/>
    <w:rsid w:val="002A07DC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first">
    <w:name w:val="first"/>
    <w:basedOn w:val="Normal"/>
    <w:rsid w:val="002A07DC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last">
    <w:name w:val="last"/>
    <w:basedOn w:val="Normal"/>
    <w:rsid w:val="002A07DC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object-link">
    <w:name w:val="object-link"/>
    <w:basedOn w:val="Normal"/>
    <w:rsid w:val="002A07DC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object-descr">
    <w:name w:val="object-descr"/>
    <w:basedOn w:val="Normal"/>
    <w:rsid w:val="002A07DC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high-lite">
    <w:name w:val="high-lite"/>
    <w:basedOn w:val="Normal"/>
    <w:rsid w:val="002A07DC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en&amp;rurl=translate.google.com&amp;sl=auto&amp;sp=nmt4&amp;tl=zh-CN&amp;u=https://doc.synapticon.com/firmware/servo_node_ethercat/41/documentation_html/object_htmls/6075/index.html&amp;xid=17259,15700023,15700186,15700191,15700256,15700259,15700262&amp;usg=ALkJrhgbr9eH_NVBThFLxtGe8XRkwQ-Nl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translate.googleusercontent.com/translate_c?depth=1&amp;hl=en&amp;rurl=translate.google.com&amp;sl=auto&amp;sp=nmt4&amp;tl=zh-CN&amp;u=https://doc.synapticon.com/firmware/servo_node_ethercat/41/documentation_html/object_htmls/200A/index.html&amp;xid=17259,15700023,15700186,15700191,15700256,15700259,15700262&amp;usg=ALkJrhiU4N6CNU0TdCd5OFMqh4C1HjARQ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en&amp;rurl=translate.google.com&amp;sl=auto&amp;sp=nmt4&amp;tl=zh-CN&amp;u=https://doc.synapticon.com/firmware/servo_node_ethercat/41/documentation_html/object_htmls/6073/index.html&amp;xid=17259,15700023,15700186,15700191,15700256,15700259,15700262&amp;usg=ALkJrhj-RgSwsPhYevatEPK3WUH1G3GS4Q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5851C-919D-4897-89FC-E1E73502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1818</Characters>
  <Application>Microsoft Office Word</Application>
  <DocSecurity>0</DocSecurity>
  <Lines>15</Lines>
  <Paragraphs>4</Paragraphs>
  <ScaleCrop>false</ScaleCrop>
  <Company>ASSA ABLOY Entrance Systems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7</cp:revision>
  <dcterms:created xsi:type="dcterms:W3CDTF">2019-07-11T00:53:00Z</dcterms:created>
  <dcterms:modified xsi:type="dcterms:W3CDTF">2019-07-11T01:00:00Z</dcterms:modified>
</cp:coreProperties>
</file>