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1F" w:rsidRPr="009A7CFD" w:rsidRDefault="00B23083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宋体" w:eastAsia="宋体" w:hAnsi="宋体" w:cs="Times New Roman"/>
          <w:color w:val="auto"/>
          <w:szCs w:val="20"/>
          <w:lang w:val="en-US"/>
        </w:rPr>
      </w:pPr>
      <w:bookmarkStart w:id="0" w:name="_GoBack"/>
      <w:bookmarkEnd w:id="0"/>
      <w:r w:rsidRPr="009A7CFD">
        <w:rPr>
          <w:rStyle w:val="Strong"/>
          <w:color w:val="0080FF"/>
          <w:szCs w:val="20"/>
        </w:rPr>
        <w:t>本文详细讲解了利用</w:t>
      </w:r>
      <w:r w:rsidRPr="009A7CFD">
        <w:rPr>
          <w:rStyle w:val="Strong"/>
          <w:color w:val="0080FF"/>
          <w:szCs w:val="20"/>
        </w:rPr>
        <w:t>__attribute__((section()))</w:t>
      </w:r>
      <w:r w:rsidRPr="009A7CFD">
        <w:rPr>
          <w:rStyle w:val="Strong"/>
          <w:color w:val="0080FF"/>
          <w:szCs w:val="20"/>
        </w:rPr>
        <w:t>构建初始化函数</w:t>
      </w:r>
      <w:r w:rsidRPr="009A7CFD">
        <w:rPr>
          <w:rStyle w:val="Strong"/>
          <w:rFonts w:ascii="宋体" w:eastAsia="宋体" w:hAnsi="宋体" w:cs="宋体" w:hint="eastAsia"/>
          <w:color w:val="0080FF"/>
          <w:szCs w:val="20"/>
        </w:rPr>
        <w:t>表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传统的应用编写时，每添加一个模块，都需要在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中添加新模块的初始化</w:t>
      </w:r>
    </w:p>
    <w:p w:rsidR="00825D0F" w:rsidRPr="00825D0F" w:rsidRDefault="00825D0F" w:rsidP="00CC3FDE">
      <w:pPr>
        <w:tabs>
          <w:tab w:val="clear" w:pos="17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drawing>
          <wp:inline distT="0" distB="0" distL="0" distR="0">
            <wp:extent cx="2541815" cy="1867107"/>
            <wp:effectExtent l="0" t="0" r="0" b="0"/>
            <wp:docPr id="8" name="Picture 8" descr="http://mmbiz.qpic.cn/mmbiz_png/Ass1lsY6bysG0FU0icO36LKkqoQ184dRmBCALiclia2GUSrnZXnAbowW4WoT4oZfdicAyJ51MWx4YpL5nE5ImaWb4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Ass1lsY6bysG0FU0icO36LKkqoQ184dRmBCALiclia2GUSrnZXnAbowW4WoT4oZfdicAyJ51MWx4YpL5nE5ImaWb4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65" cy="18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使用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__attribute__((section()))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构建初始化函数表后，由模块告知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我要初始化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，添加新模块再也不需要在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代码中显式调用模块初始化接口。</w:t>
      </w:r>
    </w:p>
    <w:p w:rsidR="00825D0F" w:rsidRPr="00825D0F" w:rsidRDefault="00825D0F" w:rsidP="000F16DD">
      <w:pPr>
        <w:tabs>
          <w:tab w:val="clear" w:pos="17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drawing>
          <wp:inline distT="0" distB="0" distL="0" distR="0">
            <wp:extent cx="5486513" cy="2046605"/>
            <wp:effectExtent l="0" t="0" r="0" b="0"/>
            <wp:docPr id="7" name="Picture 7" descr="https://mmbiz.qpic.cn/mmbiz_png/Ass1lsY6bysG0FU0icO36LKkqoQ184dRmut8GUibRraKH2czaL9K1KNHI1U7GXuSxyXOLwpEsDrIdbealzrN5ZEQ/640?wx_fmt=gif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Ass1lsY6bysG0FU0icO36LKkqoQ184dRmut8GUibRraKH2czaL9K1KNHI1U7GXuSxyXOLwpEsDrIdbealzrN5ZEQ/640?wx_fmt=gif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86" cy="20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以此实现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与模块之间的隔离，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不再关心有什么模块，模块的删减也不需要修改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那么，如何实现这个功能呢？如何实现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DECLARE_INIT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呢？联想到内核驱动，所有内核驱动的初始化函数表在哪里？</w:t>
      </w:r>
      <w:r w:rsidRPr="00825D0F">
        <w:rPr>
          <w:rFonts w:ascii="宋体" w:eastAsia="宋体" w:hAnsi="宋体" w:cs="宋体" w:hint="eastAsia"/>
          <w:color w:val="FF0000"/>
          <w:szCs w:val="20"/>
          <w:lang w:val="en-US"/>
        </w:rPr>
        <w:t>为什么添加一个内核驱动不需要修改初始化函数表</w:t>
      </w:r>
      <w:r w:rsidRPr="00825D0F">
        <w:rPr>
          <w:rFonts w:ascii="宋体" w:eastAsia="宋体" w:hAnsi="宋体" w:cs="宋体"/>
          <w:color w:val="FF0000"/>
          <w:szCs w:val="20"/>
          <w:lang w:val="en-US"/>
        </w:rPr>
        <w:t>？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下文会从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构建初始化函数表的原理分析、分析内核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实现、演练练习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3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个角度给小伙伴分享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。</w:t>
      </w:r>
    </w:p>
    <w:p w:rsidR="0029400E" w:rsidRDefault="0029400E">
      <w:pPr>
        <w:tabs>
          <w:tab w:val="clear" w:pos="170"/>
        </w:tabs>
        <w:spacing w:line="259" w:lineRule="auto"/>
        <w:rPr>
          <w:rFonts w:ascii="宋体" w:eastAsia="宋体" w:hAnsi="宋体" w:cs="宋体"/>
          <w:color w:val="auto"/>
          <w:szCs w:val="20"/>
          <w:lang w:val="en-US"/>
        </w:rPr>
      </w:pPr>
      <w:r>
        <w:rPr>
          <w:rFonts w:ascii="宋体" w:eastAsia="宋体" w:hAnsi="宋体" w:cs="宋体"/>
          <w:color w:val="auto"/>
          <w:szCs w:val="20"/>
          <w:lang w:val="en-US"/>
        </w:rPr>
        <w:br w:type="page"/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lastRenderedPageBreak/>
        <w:t>构建初始化函数表的原理分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析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(section(”name“)))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是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gcc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编译器支持的一个编译特性（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arm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编译器也支持此特性），实现在</w:t>
      </w:r>
      <w:r w:rsidRPr="00825D0F">
        <w:rPr>
          <w:rFonts w:ascii="宋体" w:eastAsia="宋体" w:hAnsi="宋体" w:cs="Times New Roman" w:hint="eastAsia"/>
          <w:color w:val="FF0000"/>
          <w:szCs w:val="20"/>
          <w:lang w:val="en-US"/>
        </w:rPr>
        <w:t>编译时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把某个函数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数据放到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name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的数据段中。因此实现原理就很简单了：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1.      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模块通过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(section("name")))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的实现，在编译时把初始化的接口放到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name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中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2.      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在执行初始化时并不需要知道有什么模块需要初始化，只需要把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name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数据段中的所有初始化接口执行一遍即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可</w:t>
      </w:r>
      <w:proofErr w:type="gram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首先：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gcc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-c 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-o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test.o</w:t>
      </w:r>
      <w:proofErr w:type="spell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此时编译过程中处理了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atribute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__((section(XXX)))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，把标记的变量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函数放到了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test.o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XXX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的数据段，可用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readelf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命令查询。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最后：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-T 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ldscript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&gt;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test.o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="00201852">
        <w:rPr>
          <w:rFonts w:ascii="Times New Roman" w:eastAsia="Times New Roman" w:hAnsi="Times New Roman" w:cs="Times New Roman"/>
          <w:color w:val="auto"/>
          <w:szCs w:val="20"/>
          <w:lang w:val="en-US"/>
        </w:rPr>
        <w:t>–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o</w:t>
      </w:r>
      <w:r w:rsidR="00201852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test.bin</w:t>
      </w:r>
      <w:proofErr w:type="spell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链接时，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test.o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XXX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数据段（输入段），最终保存在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test.bin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XXX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数据段（输出段），如此在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</w:t>
      </w:r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构建了初始化函数表。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由于自定义了一个数据段，而默认链接脚本缺少自定义的数据段的声明，因此并不能使用默认的链接脚本。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r w:rsidRPr="00825D0F">
        <w:rPr>
          <w:rFonts w:ascii="Times New Roman" w:eastAsia="Times New Roman" w:hAnsi="Times New Roman" w:cs="Times New Roman"/>
          <w:color w:val="FF0000"/>
          <w:szCs w:val="20"/>
          <w:lang w:val="en-US"/>
        </w:rPr>
        <w:t>ld</w:t>
      </w:r>
      <w:proofErr w:type="spellEnd"/>
      <w:r w:rsidRPr="00825D0F">
        <w:rPr>
          <w:rFonts w:ascii="宋体" w:eastAsia="宋体" w:hAnsi="宋体" w:cs="Times New Roman" w:hint="eastAsia"/>
          <w:color w:val="FF0000"/>
          <w:szCs w:val="20"/>
          <w:lang w:val="en-US"/>
        </w:rPr>
        <w:t>链接命令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有两个关键的选项：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-T &lt;script&gt;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：指定链接时的链接脚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本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--verbose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：打印出默认的链接脚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本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在我们下文的演练中，我们首先通过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--verbose”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获取默认链接脚本，然后修改链接脚本，添加自定义的段，最后在链接应用时通过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“-T&lt;script&gt;”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指定我们修改后的链接脚本。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下文，我们首先分析内核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的实现，最后进行应用程序的演练练习。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分析内核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实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现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FF0000"/>
          <w:szCs w:val="20"/>
          <w:lang w:val="en-US"/>
        </w:rPr>
        <w:t>内核驱动的</w:t>
      </w:r>
      <w:r w:rsidRPr="00825D0F">
        <w:rPr>
          <w:rFonts w:ascii="宋体" w:eastAsia="宋体" w:hAnsi="宋体" w:cs="Times New Roman" w:hint="eastAsia"/>
          <w:color w:val="FF0000"/>
          <w:szCs w:val="20"/>
          <w:highlight w:val="yellow"/>
          <w:lang w:val="en-US"/>
        </w:rPr>
        <w:t>初始化函数表</w:t>
      </w:r>
      <w:r w:rsidRPr="00825D0F">
        <w:rPr>
          <w:rFonts w:ascii="宋体" w:eastAsia="宋体" w:hAnsi="宋体" w:cs="Times New Roman" w:hint="eastAsia"/>
          <w:color w:val="FF0000"/>
          <w:szCs w:val="20"/>
          <w:lang w:val="en-US"/>
        </w:rPr>
        <w:t>在哪里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？为什么添加一个内核驱动不需要修改初始化函数表？为什么所有驱动都需要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？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1.      </w:t>
      </w:r>
      <w:proofErr w:type="spellStart"/>
      <w:proofErr w:type="gramStart"/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module_init</w:t>
      </w:r>
      <w:proofErr w:type="spellEnd"/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的定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义</w:t>
      </w:r>
      <w:proofErr w:type="gram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定义在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&lt;include/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init.h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。代码如下：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lastRenderedPageBreak/>
        <w:drawing>
          <wp:inline distT="0" distB="0" distL="0" distR="0">
            <wp:extent cx="5374068" cy="1473200"/>
            <wp:effectExtent l="0" t="0" r="0" b="0"/>
            <wp:docPr id="6" name="Picture 6" descr="https://mmbiz.qpic.cn/mmbiz_png/Ass1lsY6bysG0FU0icO36LKkqoQ184dRmlLG8eNSnUr8tm0UBPXU7wFolTSN8X3OZT8KaYqwen9NQia9WqictNl7Q/640?wx_fmt=gif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Ass1lsY6bysG0FU0icO36LKkqoQ184dRmlLG8eNSnUr8tm0UBPXU7wFolTSN8X3OZT8KaYqwen9NQia9WqictNl7Q/640?wx_fmt=gif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89" cy="14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代码中使用的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“_section_”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，是一层层的宏，为了简化，把其等效理解为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“section”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分析上述代码，我们发现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由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__attribute__((section(“name”)))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实现，把初始化函数地址保存到名为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".initcall6.init"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的数据段中。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2.      </w:t>
      </w:r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链接内核使用自定义的链接脚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本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我们看到内核目录最上层的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Makefile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，存在如下代码：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# Rule to link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 also used during CONFIG_KALLSYMS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 May be overridden by arch/$(ARCH)/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Makefile</w:t>
      </w:r>
      <w:proofErr w:type="spell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quiet_cmd_vmlinux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 ?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 LD      $@  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cmd_vmlinux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 ?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 $(LD) $(LDFLAGS)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LDFLAGS_vmlinux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-o $@ \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-T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vmlinux-lds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vmlinux-init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                          \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--start-group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-main) --end-group                  \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$(filter-out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vmlinux-lds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vmlinux-init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$(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-main)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vmlinux.o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FORCE ,$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^)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本文的关注点在于：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-T $(</w:t>
      </w:r>
      <w:proofErr w:type="spellStart"/>
      <w:r w:rsidRPr="00825D0F">
        <w:rPr>
          <w:rFonts w:ascii="Times New Roman" w:eastAsia="Times New Roman" w:hAnsi="Times New Roman" w:cs="Times New Roman"/>
          <w:color w:val="FF0000"/>
          <w:szCs w:val="20"/>
          <w:highlight w:val="yellow"/>
          <w:lang w:val="en-US"/>
        </w:rPr>
        <w:t>vmlinux-lds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-T &lt;script&gt;”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使用了定制的链接脚本。定制的链接脚本在哪里呢？在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Makefile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存在如下代码：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vmlinux-lds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 := arch/$(SRCARCH)/kernel/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vmlinux.lds</w:t>
      </w:r>
      <w:proofErr w:type="spell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我们</w:t>
      </w:r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以”ARCH=arm“ 为例，查看链接脚本：arch/arm/kernel/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vmlinux.lds</w:t>
      </w:r>
      <w:proofErr w:type="spellEnd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lastRenderedPageBreak/>
        <w:drawing>
          <wp:inline distT="0" distB="0" distL="0" distR="0">
            <wp:extent cx="5689600" cy="3519123"/>
            <wp:effectExtent l="0" t="0" r="6350" b="5715"/>
            <wp:docPr id="5" name="Picture 5" descr="http://mmbiz.qpic.cn/mmbiz_png/Ass1lsY6bysG0FU0icO36LKkqoQ184dRmhHdEQJv4IhEHfr7LryQ7pJDicQydd18hiac931srMiaCZicFXtdCBPjvK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Ass1lsY6bysG0FU0icO36LKkqoQ184dRmhHdEQJv4IhEHfr7LryQ7pJDicQydd18hiac931srMiaCZicFXtdCBPjvK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442" cy="352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在上述代码中，我们聚焦于两个地方：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__initcall6_start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 .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;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由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__initcall6_start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指向当前地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址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*(.initcall6.init)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所有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.o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文件的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.initcall6.init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数据段放到当前位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置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如此，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“__initcall6_start”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指向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“.initcall6.init”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数据段的开始地址，在应用代码中就可通过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“__initcall6_start”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访问数据段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“.initcall6.init”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是不是如此呢？我们再聚焦到文件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main.c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initcall.init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数据段的使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用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main.c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中，有如下代码：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initcall_t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*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initcall_levels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[] __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initdata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{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__initcall0_start,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__initcall1_start,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__initcall2_start,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__initcall3_start,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__initcall4_start,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lastRenderedPageBreak/>
        <w:t>      __initcall5_start,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__initcall6_start,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__initcall7_start,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 __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initcall_end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,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};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int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init_or_module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do_one_initcall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   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if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initcall_debug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 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ret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do_one_initcall_debug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else</w:t>
      </w:r>
      <w:proofErr w:type="gram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 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ret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();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   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void __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do_initcall_level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level)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 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for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initcall_levels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[level];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&lt;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initcall_levels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[level+1];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++)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    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do_one_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*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宋体" w:eastAsia="宋体" w:hAnsi="宋体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按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0-7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的初始化级别，依次调用各个级别的初始化函数表，而驱动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的初始化级别为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6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。在</w:t>
      </w:r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“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for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 xml:space="preserve"> (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 xml:space="preserve">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initcall_levels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 xml:space="preserve">[level];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 xml:space="preserve"> 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initcall_levels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 xml:space="preserve">[level+1];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++)”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for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循环调用中，实现了遍历当前初始化级别的所有初始化函数。</w:t>
      </w:r>
    </w:p>
    <w:p w:rsidR="0082649E" w:rsidRDefault="0082649E">
      <w:pPr>
        <w:tabs>
          <w:tab w:val="clear" w:pos="170"/>
        </w:tabs>
        <w:spacing w:line="259" w:lineRule="auto"/>
        <w:rPr>
          <w:rFonts w:ascii="宋体" w:eastAsia="宋体" w:hAnsi="宋体" w:cs="Times New Roman"/>
          <w:color w:val="auto"/>
          <w:szCs w:val="20"/>
          <w:lang w:val="en-US"/>
        </w:rPr>
      </w:pPr>
      <w:r>
        <w:rPr>
          <w:rFonts w:ascii="宋体" w:eastAsia="宋体" w:hAnsi="宋体" w:cs="Times New Roman"/>
          <w:color w:val="auto"/>
          <w:szCs w:val="20"/>
          <w:lang w:val="en-US"/>
        </w:rPr>
        <w:br w:type="page"/>
      </w:r>
    </w:p>
    <w:p w:rsidR="0082649E" w:rsidRPr="00825D0F" w:rsidRDefault="0082649E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的实现总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结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通过上述的代码追踪，我们发现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的实现有以下关键步骤：</w:t>
      </w:r>
    </w:p>
    <w:p w:rsidR="00825D0F" w:rsidRPr="00825D0F" w:rsidRDefault="00825D0F" w:rsidP="00825D0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通过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module_init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的宏，在编译时，把初始化函数放到了数据段：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.initcall6.init</w:t>
      </w:r>
    </w:p>
    <w:p w:rsidR="00825D0F" w:rsidRPr="00825D0F" w:rsidRDefault="00825D0F" w:rsidP="00825D0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在链接成内核的时候，链接脚本规定好了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.initcall6.init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的数据段以及指向数据段地址的变量：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_initcall6_start</w:t>
      </w:r>
    </w:p>
    <w:p w:rsidR="00825D0F" w:rsidRPr="00825D0F" w:rsidRDefault="00825D0F" w:rsidP="00825D0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main.c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for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循环，通过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_initcall6_start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的指针，调用了所有注册的驱动模块的初始化接口</w:t>
      </w:r>
    </w:p>
    <w:p w:rsidR="00825D0F" w:rsidRPr="00825D0F" w:rsidRDefault="00825D0F" w:rsidP="00825D0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最后通过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Kconfig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Makefile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选择编译的驱动，实现只要编译了驱动代码，则自动把驱动的初始化函数构建到统一的驱动初始化函数表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演练练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习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分析了内核使用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__attribute__((section(“name”)))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构建的驱动初始化函数表，我们接下来练习如何在应用中构建自己的初始化函数表。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下文的练习参考了：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https://my.oschina.net/u/180497/blog/177206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1.      </w:t>
      </w:r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应用代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码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我们的练习代码（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section.c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）如下：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#include 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unistd.h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#include 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stdint.h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#include &lt;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stdio.h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&gt;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typedef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void (*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)(void);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/*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 These two variables are defined in link script.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*/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extern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init_start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extern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init_end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#define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Times New Roman" w:eastAsia="Times New Roman" w:hAnsi="Times New Roman" w:cs="Times New Roman"/>
          <w:color w:val="auto"/>
          <w:szCs w:val="20"/>
          <w:highlight w:val="yellow"/>
          <w:lang w:val="en-US"/>
        </w:rPr>
        <w:t>__attribute_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(unused, section(".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")))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#define DECLARE_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INIT(</w:t>
      </w:r>
      <w:proofErr w:type="spellStart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func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)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_##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func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func</w:t>
      </w:r>
      <w:proofErr w:type="spellEnd"/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void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(void)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write(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1, "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\n",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sizeof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("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\n"));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DECLARE_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INIT(</w:t>
      </w:r>
      <w:proofErr w:type="spellStart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void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(void)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printf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"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\n");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DECLARE_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INIT(</w:t>
      </w:r>
      <w:proofErr w:type="spellStart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void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(void)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lastRenderedPageBreak/>
        <w:t xml:space="preserve">    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printf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"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\n");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DECLARE_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INIT(</w:t>
      </w:r>
      <w:proofErr w:type="spellStart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/*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 DECLARE_INIT like below: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 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fn_A_init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__attribute__((unused, section(".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")))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 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fn_C_init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__attribute__((unused, section(".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")))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 static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fn_B_init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__attribute__((unused, section(".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"))) =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*/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void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do_initcalls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(void)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init_call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*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init_ptr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= &amp;_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init_start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for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(;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init_ptr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&lt; &amp;_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init_end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;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init_ptr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++) 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     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printf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"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address: %p\n",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init_ptr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     (*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init_ptr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)();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  }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int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main(void)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{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initcalls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(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  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return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0;</w:t>
      </w:r>
    </w:p>
    <w:p w:rsidR="00825D0F" w:rsidRPr="00825D0F" w:rsidRDefault="00825D0F" w:rsidP="003655D5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}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在代码中，我们做了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3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件事：</w:t>
      </w:r>
    </w:p>
    <w:p w:rsidR="00825D0F" w:rsidRPr="00825D0F" w:rsidRDefault="00825D0F" w:rsidP="00825D0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使用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__attribute__((section()))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定义了宏：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DECLARE_INIT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，此宏把函数放置到初始化函数表</w:t>
      </w:r>
    </w:p>
    <w:p w:rsidR="00825D0F" w:rsidRPr="00825D0F" w:rsidRDefault="00825D0F" w:rsidP="00825D0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使用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DELCARE_INIT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的宏，声明了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3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个模块初始化函数：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A_init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B_init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/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C_init</w:t>
      </w:r>
      <w:proofErr w:type="spellEnd"/>
    </w:p>
    <w:p w:rsidR="00825D0F" w:rsidRPr="00825D0F" w:rsidRDefault="00825D0F" w:rsidP="00825D0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main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中通过调用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do_initcalls</w:t>
      </w:r>
      <w:proofErr w:type="spellEnd"/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函数，依次调用编译时构建的初始化函数。其中，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init_start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和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“_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init_end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的变量在链接脚本中定义。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2.      </w:t>
      </w:r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链接脚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本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通过命令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--verbose”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获取默认链接脚本：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GNU 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</w:t>
      </w:r>
      <w:proofErr w:type="spellEnd"/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(GNU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Binutils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for Ubuntu) 2.24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 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支持的仿真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 elf_x86_64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  ......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使用内部链接脚本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==================================================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XXXXXXXX 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（缺省链接脚本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）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 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==================================================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我们截取分割线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”</w:t>
      </w:r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=====“之间的链接脚本保存为：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ldscript.lds</w:t>
      </w:r>
      <w:proofErr w:type="spell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在.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bss</w:t>
      </w:r>
      <w:proofErr w:type="spellEnd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的数据段前添加了自定义的数据段：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init_start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 .;</w:t>
      </w:r>
      <w:proofErr w:type="gram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: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{ *(.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}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_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init_end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= .;</w:t>
      </w:r>
      <w:proofErr w:type="gramEnd"/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”_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init_start</w:t>
      </w:r>
      <w:proofErr w:type="spellEnd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“和”_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init_end</w:t>
      </w:r>
      <w:proofErr w:type="spellEnd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“是我们用于识别数据段开始和结束的在链接脚本中定义的变量，而.</w:t>
      </w:r>
      <w:proofErr w:type="spellStart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myinit</w:t>
      </w:r>
      <w:proofErr w:type="spellEnd"/>
      <w:r w:rsidRPr="00825D0F">
        <w:rPr>
          <w:rFonts w:ascii="微软雅黑" w:eastAsia="微软雅黑" w:hAnsi="微软雅黑" w:cs="Times New Roman" w:hint="eastAsia"/>
          <w:color w:val="auto"/>
          <w:szCs w:val="20"/>
          <w:lang w:val="en-US"/>
        </w:rPr>
        <w:t>则是数据段的名称，其中：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</w:t>
      </w:r>
      <w:proofErr w:type="spellStart"/>
      <w:proofErr w:type="gram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:</w:t>
      </w:r>
      <w:proofErr w:type="gram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{ *(.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) }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：表示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.o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中的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数据段（输入段）保存到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</w:t>
      </w:r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中的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.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myinit</w:t>
      </w:r>
      <w:proofErr w:type="spellEnd"/>
      <w:r w:rsidRPr="00825D0F">
        <w:rPr>
          <w:rFonts w:ascii="宋体" w:eastAsia="宋体" w:hAnsi="宋体" w:cs="宋体" w:hint="eastAsia"/>
          <w:color w:val="auto"/>
          <w:szCs w:val="20"/>
          <w:lang w:val="en-US"/>
        </w:rPr>
        <w:t>数据段（输出段）</w:t>
      </w:r>
      <w:r w:rsidRPr="00825D0F">
        <w:rPr>
          <w:rFonts w:ascii="宋体" w:eastAsia="宋体" w:hAnsi="宋体" w:cs="宋体"/>
          <w:color w:val="auto"/>
          <w:szCs w:val="20"/>
          <w:lang w:val="en-US"/>
        </w:rPr>
        <w:t>中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前期准备充足，下面进行编译、链接、执行的演示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3.      </w:t>
      </w:r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编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译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执行：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gcc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-c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section.c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-o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section.o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编译应用源码。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执行：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readelf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-S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section.o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查看段信息，截图如下：</w:t>
      </w:r>
    </w:p>
    <w:p w:rsidR="00825D0F" w:rsidRPr="00825D0F" w:rsidRDefault="00825D0F" w:rsidP="00CE39E3">
      <w:pPr>
        <w:tabs>
          <w:tab w:val="clear" w:pos="17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lastRenderedPageBreak/>
        <w:drawing>
          <wp:inline distT="0" distB="0" distL="0" distR="0">
            <wp:extent cx="5169834" cy="5393690"/>
            <wp:effectExtent l="0" t="0" r="0" b="0"/>
            <wp:docPr id="4" name="Picture 4" descr="http://mmbiz.qpic.cn/mmbiz_png/Ass1lsY6bysG0FU0icO36LKkqoQ184dRmB7V5e7OFMcu43Nv0gY4JQ8eAWJOX0dYFBIyTtKice5L9YL2AeXVG0o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Ass1lsY6bysG0FU0icO36LKkqoQ184dRmB7V5e7OFMcu43Nv0gY4JQ8eAWJOX0dYFBIyTtKice5L9YL2AeXVG0o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64" cy="53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可以看到，段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[6]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是我们自定义的数据段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4.      </w:t>
      </w:r>
      <w:r w:rsidRPr="009A7CFD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链</w:t>
      </w:r>
      <w:r w:rsidRPr="009A7CFD">
        <w:rPr>
          <w:rFonts w:ascii="宋体" w:eastAsia="宋体" w:hAnsi="宋体" w:cs="宋体"/>
          <w:b/>
          <w:bCs/>
          <w:color w:val="auto"/>
          <w:szCs w:val="20"/>
          <w:lang w:val="en-US"/>
        </w:rPr>
        <w:t>接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执行：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gcc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-T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ldscript.lds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section.o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-o section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链接成可执行的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文件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执行：</w:t>
      </w:r>
      <w:proofErr w:type="spellStart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readelf</w:t>
      </w:r>
      <w:proofErr w:type="spellEnd"/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 xml:space="preserve"> -S section 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查看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文件的段分布情况，部分截图如下：</w:t>
      </w:r>
    </w:p>
    <w:p w:rsidR="00825D0F" w:rsidRPr="00825D0F" w:rsidRDefault="00825D0F" w:rsidP="005152D5">
      <w:pPr>
        <w:tabs>
          <w:tab w:val="clear" w:pos="17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lastRenderedPageBreak/>
        <w:drawing>
          <wp:inline distT="0" distB="0" distL="0" distR="0">
            <wp:extent cx="5268595" cy="2372995"/>
            <wp:effectExtent l="0" t="0" r="8255" b="8255"/>
            <wp:docPr id="2" name="Picture 2" descr="http://mmbiz.qpic.cn/mmbiz_png/Ass1lsY6bysG0FU0icO36LKkqoQ184dRmIWqxRYytGkymex75Kd7h26ibiaR61UMJKm1ZicGzwRwiaba4Bu8REfgXH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Ass1lsY6bysG0FU0icO36LKkqoQ184dRmIWqxRYytGkymex75Kd7h26ibiaR61UMJKm1ZicGzwRwiaba4Bu8REfgXH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在我链接成的可执行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bin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中，在</w:t>
      </w:r>
      <w:r w:rsidRPr="00825D0F">
        <w:rPr>
          <w:rFonts w:ascii="Times New Roman" w:eastAsia="Times New Roman" w:hAnsi="Times New Roman" w:cs="Times New Roman"/>
          <w:color w:val="auto"/>
          <w:szCs w:val="20"/>
          <w:lang w:val="en-US"/>
        </w:rPr>
        <w:t>[25]</w:t>
      </w: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段中存在我们自定义的段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</w:pPr>
      <w:r w:rsidRPr="00825D0F">
        <w:rPr>
          <w:rFonts w:ascii="Times New Roman" w:eastAsia="Times New Roman" w:hAnsi="Times New Roman" w:cs="Times New Roman"/>
          <w:b/>
          <w:bCs/>
          <w:color w:val="auto"/>
          <w:szCs w:val="20"/>
          <w:lang w:val="en-US"/>
        </w:rPr>
        <w:t>5.      </w:t>
      </w:r>
      <w:r w:rsidRPr="00825D0F">
        <w:rPr>
          <w:rFonts w:ascii="宋体" w:eastAsia="宋体" w:hAnsi="宋体" w:cs="宋体" w:hint="eastAsia"/>
          <w:b/>
          <w:bCs/>
          <w:color w:val="auto"/>
          <w:szCs w:val="20"/>
          <w:lang w:val="en-US"/>
        </w:rPr>
        <w:t>执</w:t>
      </w:r>
      <w:r w:rsidRPr="00825D0F">
        <w:rPr>
          <w:rFonts w:ascii="宋体" w:eastAsia="宋体" w:hAnsi="宋体" w:cs="宋体"/>
          <w:b/>
          <w:bCs/>
          <w:color w:val="auto"/>
          <w:szCs w:val="20"/>
          <w:lang w:val="en-US"/>
        </w:rPr>
        <w:t>行</w:t>
      </w:r>
    </w:p>
    <w:p w:rsidR="00825D0F" w:rsidRPr="00825D0F" w:rsidRDefault="00825D0F" w:rsidP="00825D0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825D0F">
        <w:rPr>
          <w:rFonts w:ascii="宋体" w:eastAsia="宋体" w:hAnsi="宋体" w:cs="Times New Roman" w:hint="eastAsia"/>
          <w:color w:val="auto"/>
          <w:szCs w:val="20"/>
          <w:lang w:val="en-US"/>
        </w:rPr>
        <w:t>执行结果：</w:t>
      </w:r>
    </w:p>
    <w:p w:rsidR="00825D0F" w:rsidRPr="00825D0F" w:rsidRDefault="00825D0F" w:rsidP="005152D5">
      <w:pPr>
        <w:tabs>
          <w:tab w:val="clear" w:pos="17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Cs w:val="20"/>
          <w:lang w:val="en-US"/>
        </w:rPr>
      </w:pPr>
      <w:r w:rsidRPr="009A7CFD">
        <w:rPr>
          <w:rFonts w:ascii="Times New Roman" w:eastAsia="Times New Roman" w:hAnsi="Times New Roman" w:cs="Times New Roman"/>
          <w:noProof/>
          <w:color w:val="auto"/>
          <w:szCs w:val="20"/>
          <w:lang w:val="en-US"/>
        </w:rPr>
        <w:drawing>
          <wp:inline distT="0" distB="0" distL="0" distR="0">
            <wp:extent cx="5268595" cy="2160905"/>
            <wp:effectExtent l="0" t="0" r="8255" b="0"/>
            <wp:docPr id="1" name="Picture 1" descr="http://mmbiz.qpic.cn/mmbiz_png/Ass1lsY6bysG0FU0icO36LKkqoQ184dRmhYIsQpOic9HYQkSK8vNFADnpgSFNV6ULiblkfw7BM8IicpgUy1YUDia18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png/Ass1lsY6bysG0FU0icO36LKkqoQ184dRmhYIsQpOic9HYQkSK8vNFADnpgSFNV6ULiblkfw7BM8IicpgUy1YUDia18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6" w:rsidRPr="009A7CFD" w:rsidRDefault="004B4F26" w:rsidP="009E7063">
      <w:pPr>
        <w:rPr>
          <w:szCs w:val="20"/>
        </w:rPr>
      </w:pPr>
    </w:p>
    <w:sectPr w:rsidR="004B4F26" w:rsidRPr="009A7CFD" w:rsidSect="009E30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66D" w:rsidRDefault="002E466D" w:rsidP="004B4F26">
      <w:pPr>
        <w:spacing w:after="0" w:line="240" w:lineRule="auto"/>
      </w:pPr>
      <w:r>
        <w:separator/>
      </w:r>
    </w:p>
  </w:endnote>
  <w:endnote w:type="continuationSeparator" w:id="0">
    <w:p w:rsidR="002E466D" w:rsidRDefault="002E466D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19" w:rsidRDefault="00720E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460077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D0F" w:rsidRDefault="00825D0F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20E19">
          <w:t>2</w:t>
        </w:r>
        <w:r>
          <w:fldChar w:fldCharType="end"/>
        </w:r>
      </w:p>
    </w:sdtContent>
  </w:sdt>
  <w:p w:rsidR="0087757A" w:rsidRPr="006A48CF" w:rsidRDefault="0087757A" w:rsidP="00341063">
    <w:pPr>
      <w:pStyle w:val="Footer"/>
      <w:ind w:left="0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19" w:rsidRDefault="00720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66D" w:rsidRDefault="002E466D" w:rsidP="004B4F26">
      <w:pPr>
        <w:spacing w:after="0" w:line="240" w:lineRule="auto"/>
      </w:pPr>
      <w:r>
        <w:separator/>
      </w:r>
    </w:p>
  </w:footnote>
  <w:footnote w:type="continuationSeparator" w:id="0">
    <w:p w:rsidR="002E466D" w:rsidRDefault="002E466D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19" w:rsidRDefault="00720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19" w:rsidRDefault="00720E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6173AD"/>
    <w:multiLevelType w:val="multilevel"/>
    <w:tmpl w:val="F5E263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69B80141"/>
    <w:multiLevelType w:val="multilevel"/>
    <w:tmpl w:val="AB34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B4"/>
    <w:rsid w:val="00056A2A"/>
    <w:rsid w:val="00072111"/>
    <w:rsid w:val="00081C3D"/>
    <w:rsid w:val="00086DDA"/>
    <w:rsid w:val="000B7772"/>
    <w:rsid w:val="000C67F4"/>
    <w:rsid w:val="000C7EF3"/>
    <w:rsid w:val="000E20C0"/>
    <w:rsid w:val="000F16DD"/>
    <w:rsid w:val="001105EC"/>
    <w:rsid w:val="00122832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E4AAD"/>
    <w:rsid w:val="001F1537"/>
    <w:rsid w:val="00201852"/>
    <w:rsid w:val="0022518F"/>
    <w:rsid w:val="00226B8C"/>
    <w:rsid w:val="00230F8A"/>
    <w:rsid w:val="0025315E"/>
    <w:rsid w:val="00264425"/>
    <w:rsid w:val="0029400E"/>
    <w:rsid w:val="0029602E"/>
    <w:rsid w:val="002D2D04"/>
    <w:rsid w:val="002E466D"/>
    <w:rsid w:val="002E6163"/>
    <w:rsid w:val="002F186D"/>
    <w:rsid w:val="00337766"/>
    <w:rsid w:val="00341063"/>
    <w:rsid w:val="003655D5"/>
    <w:rsid w:val="00392C57"/>
    <w:rsid w:val="003942CD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0B1A"/>
    <w:rsid w:val="004B36B2"/>
    <w:rsid w:val="004B4F26"/>
    <w:rsid w:val="004E710D"/>
    <w:rsid w:val="00512E20"/>
    <w:rsid w:val="005152D5"/>
    <w:rsid w:val="00523262"/>
    <w:rsid w:val="0056255A"/>
    <w:rsid w:val="005A2190"/>
    <w:rsid w:val="005D1AFE"/>
    <w:rsid w:val="00606AB1"/>
    <w:rsid w:val="00620E16"/>
    <w:rsid w:val="0064584E"/>
    <w:rsid w:val="00674784"/>
    <w:rsid w:val="00676C96"/>
    <w:rsid w:val="006A48CF"/>
    <w:rsid w:val="006D1217"/>
    <w:rsid w:val="006F2959"/>
    <w:rsid w:val="006F38A6"/>
    <w:rsid w:val="007033AE"/>
    <w:rsid w:val="00720E19"/>
    <w:rsid w:val="00727DF7"/>
    <w:rsid w:val="00743AFA"/>
    <w:rsid w:val="00744D12"/>
    <w:rsid w:val="00752E24"/>
    <w:rsid w:val="007829A7"/>
    <w:rsid w:val="00793C1F"/>
    <w:rsid w:val="007A1C27"/>
    <w:rsid w:val="007B17A3"/>
    <w:rsid w:val="007B59C3"/>
    <w:rsid w:val="007C7733"/>
    <w:rsid w:val="007E1BCA"/>
    <w:rsid w:val="007E7A09"/>
    <w:rsid w:val="00821702"/>
    <w:rsid w:val="00825D0F"/>
    <w:rsid w:val="0082649E"/>
    <w:rsid w:val="0085174F"/>
    <w:rsid w:val="00853134"/>
    <w:rsid w:val="008605CD"/>
    <w:rsid w:val="0086611B"/>
    <w:rsid w:val="00867CD2"/>
    <w:rsid w:val="008751A2"/>
    <w:rsid w:val="0087757A"/>
    <w:rsid w:val="008B6148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A7CFD"/>
    <w:rsid w:val="009B2970"/>
    <w:rsid w:val="009D6D09"/>
    <w:rsid w:val="009E308E"/>
    <w:rsid w:val="009E7063"/>
    <w:rsid w:val="009F0BDF"/>
    <w:rsid w:val="009F7F1C"/>
    <w:rsid w:val="00A01FD3"/>
    <w:rsid w:val="00A61610"/>
    <w:rsid w:val="00A67EB0"/>
    <w:rsid w:val="00A72103"/>
    <w:rsid w:val="00A8388C"/>
    <w:rsid w:val="00A87C58"/>
    <w:rsid w:val="00AA28B4"/>
    <w:rsid w:val="00AC2961"/>
    <w:rsid w:val="00AC482B"/>
    <w:rsid w:val="00AF7CE2"/>
    <w:rsid w:val="00B11A28"/>
    <w:rsid w:val="00B15169"/>
    <w:rsid w:val="00B1731F"/>
    <w:rsid w:val="00B23083"/>
    <w:rsid w:val="00B35604"/>
    <w:rsid w:val="00BA633A"/>
    <w:rsid w:val="00BA6AB8"/>
    <w:rsid w:val="00BB0676"/>
    <w:rsid w:val="00BC4F0B"/>
    <w:rsid w:val="00BC769C"/>
    <w:rsid w:val="00BD7223"/>
    <w:rsid w:val="00C20E22"/>
    <w:rsid w:val="00C24A5D"/>
    <w:rsid w:val="00C31C02"/>
    <w:rsid w:val="00C320CB"/>
    <w:rsid w:val="00C36B9E"/>
    <w:rsid w:val="00C60A98"/>
    <w:rsid w:val="00C72ABC"/>
    <w:rsid w:val="00C81221"/>
    <w:rsid w:val="00C87F6D"/>
    <w:rsid w:val="00CC3FDE"/>
    <w:rsid w:val="00CD277F"/>
    <w:rsid w:val="00CE39E3"/>
    <w:rsid w:val="00CE5C20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FC302-A3D3-4023-B4A9-BAA5E29A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NormalWeb">
    <w:name w:val="Normal (Web)"/>
    <w:basedOn w:val="Normal"/>
    <w:uiPriority w:val="99"/>
    <w:semiHidden/>
    <w:unhideWhenUsed/>
    <w:rsid w:val="00825D0F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6ECC-71B5-4AD6-9417-2D070C91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1667</Words>
  <Characters>4070</Characters>
  <Application>Microsoft Office Word</Application>
  <DocSecurity>0</DocSecurity>
  <Lines>169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24</cp:revision>
  <dcterms:created xsi:type="dcterms:W3CDTF">2019-10-10T03:33:00Z</dcterms:created>
  <dcterms:modified xsi:type="dcterms:W3CDTF">2019-10-10T03:50:00Z</dcterms:modified>
</cp:coreProperties>
</file>