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3680" w:rsidRPr="00983680" w:rsidRDefault="00983680" w:rsidP="00983680">
      <w:pPr>
        <w:autoSpaceDE w:val="0"/>
        <w:autoSpaceDN w:val="0"/>
        <w:adjustRightInd w:val="0"/>
        <w:spacing w:after="0" w:line="360" w:lineRule="auto"/>
        <w:jc w:val="center"/>
        <w:rPr>
          <w:rFonts w:ascii="Arial" w:hAnsi="Arial" w:cs="Arial"/>
          <w:b/>
          <w:bCs/>
          <w:sz w:val="28"/>
          <w:szCs w:val="28"/>
        </w:rPr>
      </w:pPr>
      <w:r w:rsidRPr="00983680">
        <w:rPr>
          <w:rFonts w:ascii="Arial" w:hAnsi="Arial" w:cs="Arial"/>
          <w:b/>
          <w:bCs/>
          <w:sz w:val="28"/>
          <w:szCs w:val="28"/>
        </w:rPr>
        <w:t>Univerzita Hradec Králové</w:t>
      </w:r>
    </w:p>
    <w:p w:rsidR="00F203C1" w:rsidRPr="00983680" w:rsidRDefault="00983680" w:rsidP="00983680">
      <w:pPr>
        <w:spacing w:line="360" w:lineRule="auto"/>
        <w:jc w:val="center"/>
        <w:rPr>
          <w:rFonts w:ascii="Arial" w:hAnsi="Arial" w:cs="Arial"/>
          <w:b/>
          <w:bCs/>
          <w:sz w:val="28"/>
          <w:szCs w:val="28"/>
        </w:rPr>
      </w:pPr>
      <w:r w:rsidRPr="00983680">
        <w:rPr>
          <w:rFonts w:ascii="Arial" w:hAnsi="Arial" w:cs="Arial"/>
          <w:b/>
          <w:bCs/>
          <w:sz w:val="28"/>
          <w:szCs w:val="28"/>
        </w:rPr>
        <w:t>Fakulta informatiky a managementu</w:t>
      </w: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jc w:val="center"/>
        <w:rPr>
          <w:rFonts w:ascii="ComeniaSans-Bold" w:hAnsi="ComeniaSans-Bold" w:cs="ComeniaSans-Bold"/>
          <w:b/>
          <w:bCs/>
          <w:sz w:val="28"/>
          <w:szCs w:val="28"/>
        </w:rPr>
      </w:pPr>
    </w:p>
    <w:p w:rsidR="00983680" w:rsidRDefault="00983680" w:rsidP="00983680">
      <w:pPr>
        <w:pStyle w:val="Titulnnadpis"/>
      </w:pPr>
      <w:r>
        <w:t>BAKALÁŘSKÁ PRÁCE</w:t>
      </w: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Default="00983680" w:rsidP="00983680">
      <w:pPr>
        <w:jc w:val="center"/>
        <w:rPr>
          <w:rFonts w:ascii="ComeniaSans-Bold" w:hAnsi="ComeniaSans-Bold" w:cs="ComeniaSans-Bold"/>
          <w:b/>
          <w:bCs/>
          <w:sz w:val="38"/>
          <w:szCs w:val="38"/>
        </w:rPr>
      </w:pPr>
    </w:p>
    <w:p w:rsidR="00983680" w:rsidRPr="00983680" w:rsidRDefault="00983680" w:rsidP="00983680">
      <w:pPr>
        <w:rPr>
          <w:rFonts w:ascii="Arial" w:hAnsi="Arial" w:cs="Arial"/>
          <w:b/>
          <w:bCs/>
          <w:sz w:val="24"/>
          <w:szCs w:val="24"/>
        </w:rPr>
      </w:pPr>
      <w:r w:rsidRPr="00983680">
        <w:rPr>
          <w:rFonts w:ascii="Arial" w:hAnsi="Arial" w:cs="Arial"/>
          <w:b/>
          <w:bCs/>
          <w:sz w:val="24"/>
          <w:szCs w:val="24"/>
        </w:rPr>
        <w:t>2017</w:t>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r>
      <w:r w:rsidRPr="00983680">
        <w:rPr>
          <w:rFonts w:ascii="Arial" w:hAnsi="Arial" w:cs="Arial"/>
          <w:b/>
          <w:bCs/>
          <w:sz w:val="24"/>
          <w:szCs w:val="24"/>
        </w:rPr>
        <w:tab/>
        <w:t xml:space="preserve">           Adam Ouhrabka</w:t>
      </w:r>
    </w:p>
    <w:p w:rsidR="00983680" w:rsidRDefault="00983680" w:rsidP="00983680">
      <w:pPr>
        <w:rPr>
          <w:rFonts w:ascii="ComeniaSans-Bold" w:hAnsi="ComeniaSans-Bold" w:cs="ComeniaSans-Bold"/>
          <w:b/>
          <w:bCs/>
          <w:sz w:val="24"/>
          <w:szCs w:val="24"/>
        </w:rPr>
      </w:pPr>
    </w:p>
    <w:p w:rsidR="00983680" w:rsidRDefault="00983680" w:rsidP="00983680">
      <w:pPr>
        <w:rPr>
          <w:rFonts w:ascii="ComeniaSans-Bold" w:hAnsi="ComeniaSans-Bold" w:cs="ComeniaSans-Bold"/>
          <w:b/>
          <w:bCs/>
          <w:sz w:val="24"/>
          <w:szCs w:val="24"/>
        </w:rPr>
      </w:pPr>
    </w:p>
    <w:p w:rsidR="00983680" w:rsidRPr="00983680" w:rsidRDefault="00983680" w:rsidP="00983680">
      <w:pPr>
        <w:autoSpaceDE w:val="0"/>
        <w:autoSpaceDN w:val="0"/>
        <w:adjustRightInd w:val="0"/>
        <w:spacing w:after="0" w:line="360" w:lineRule="auto"/>
        <w:jc w:val="center"/>
        <w:rPr>
          <w:rFonts w:ascii="Arial" w:hAnsi="Arial" w:cs="Arial"/>
          <w:b/>
          <w:bCs/>
          <w:sz w:val="24"/>
          <w:szCs w:val="28"/>
        </w:rPr>
      </w:pPr>
      <w:r w:rsidRPr="00983680">
        <w:rPr>
          <w:rFonts w:ascii="Arial" w:hAnsi="Arial" w:cs="Arial"/>
          <w:b/>
          <w:bCs/>
          <w:sz w:val="24"/>
          <w:szCs w:val="28"/>
        </w:rPr>
        <w:t>Univerzita Hradec Králové</w:t>
      </w:r>
    </w:p>
    <w:p w:rsidR="00983680" w:rsidRPr="00983680" w:rsidRDefault="00983680" w:rsidP="00983680">
      <w:pPr>
        <w:autoSpaceDE w:val="0"/>
        <w:autoSpaceDN w:val="0"/>
        <w:adjustRightInd w:val="0"/>
        <w:spacing w:after="0" w:line="360" w:lineRule="auto"/>
        <w:jc w:val="center"/>
        <w:rPr>
          <w:rFonts w:ascii="Arial" w:hAnsi="Arial" w:cs="Arial"/>
          <w:b/>
          <w:bCs/>
          <w:sz w:val="24"/>
          <w:szCs w:val="28"/>
        </w:rPr>
      </w:pPr>
      <w:r w:rsidRPr="00983680">
        <w:rPr>
          <w:rFonts w:ascii="Arial" w:hAnsi="Arial" w:cs="Arial"/>
          <w:b/>
          <w:bCs/>
          <w:sz w:val="24"/>
          <w:szCs w:val="28"/>
        </w:rPr>
        <w:t>Fakulta informatiky a managementu</w:t>
      </w:r>
    </w:p>
    <w:p w:rsidR="00983680" w:rsidRDefault="00983680" w:rsidP="00983680">
      <w:pPr>
        <w:spacing w:line="360" w:lineRule="auto"/>
        <w:jc w:val="center"/>
        <w:rPr>
          <w:rFonts w:ascii="Arial" w:hAnsi="Arial" w:cs="Arial"/>
          <w:b/>
          <w:bCs/>
          <w:sz w:val="24"/>
          <w:szCs w:val="28"/>
        </w:rPr>
      </w:pPr>
      <w:r>
        <w:rPr>
          <w:rFonts w:ascii="Arial" w:hAnsi="Arial" w:cs="Arial"/>
          <w:b/>
          <w:bCs/>
          <w:sz w:val="24"/>
          <w:szCs w:val="28"/>
        </w:rPr>
        <w:t>Katedra Informatiky</w:t>
      </w:r>
    </w:p>
    <w:p w:rsidR="00983680" w:rsidRDefault="00983680" w:rsidP="00983680">
      <w:pPr>
        <w:spacing w:line="360" w:lineRule="auto"/>
        <w:jc w:val="center"/>
        <w:rPr>
          <w:rFonts w:ascii="Arial" w:hAnsi="Arial" w:cs="Arial"/>
          <w:b/>
          <w:bCs/>
          <w:sz w:val="24"/>
          <w:szCs w:val="28"/>
        </w:rPr>
      </w:pPr>
    </w:p>
    <w:p w:rsidR="00983680" w:rsidRDefault="00983680" w:rsidP="00983680">
      <w:pPr>
        <w:spacing w:line="360" w:lineRule="auto"/>
        <w:jc w:val="center"/>
        <w:rPr>
          <w:rFonts w:ascii="Arial" w:hAnsi="Arial" w:cs="Arial"/>
          <w:b/>
          <w:bCs/>
          <w:sz w:val="24"/>
          <w:szCs w:val="28"/>
        </w:rPr>
      </w:pPr>
    </w:p>
    <w:p w:rsidR="00983680" w:rsidRDefault="00983680" w:rsidP="00983680">
      <w:pPr>
        <w:spacing w:line="360" w:lineRule="auto"/>
        <w:jc w:val="center"/>
        <w:rPr>
          <w:rFonts w:ascii="Arial" w:hAnsi="Arial" w:cs="Arial"/>
          <w:b/>
          <w:bCs/>
          <w:sz w:val="24"/>
          <w:szCs w:val="28"/>
        </w:rPr>
      </w:pPr>
    </w:p>
    <w:p w:rsidR="00983680" w:rsidRPr="00983680" w:rsidRDefault="00983680" w:rsidP="00983680">
      <w:pPr>
        <w:spacing w:line="360" w:lineRule="auto"/>
        <w:jc w:val="center"/>
        <w:rPr>
          <w:rFonts w:ascii="Arial" w:hAnsi="Arial" w:cs="Arial"/>
          <w:b/>
          <w:bCs/>
          <w:sz w:val="32"/>
          <w:szCs w:val="28"/>
        </w:rPr>
      </w:pPr>
    </w:p>
    <w:p w:rsidR="00983680" w:rsidRPr="00983680" w:rsidRDefault="0060124E" w:rsidP="00983680">
      <w:pPr>
        <w:spacing w:line="360" w:lineRule="auto"/>
        <w:jc w:val="center"/>
        <w:rPr>
          <w:rFonts w:ascii="Arial" w:hAnsi="Arial" w:cs="Arial"/>
          <w:bCs/>
          <w:sz w:val="32"/>
          <w:szCs w:val="28"/>
          <w:lang w:bidi="he-IL"/>
        </w:rPr>
      </w:pPr>
      <w:r>
        <w:rPr>
          <w:rFonts w:ascii="Arial" w:hAnsi="Arial" w:cs="Arial"/>
          <w:bCs/>
          <w:sz w:val="32"/>
          <w:szCs w:val="28"/>
        </w:rPr>
        <w:t>Strojov</w:t>
      </w:r>
      <w:r>
        <w:rPr>
          <w:rFonts w:ascii="Arial" w:hAnsi="Arial" w:cs="Arial"/>
          <w:bCs/>
          <w:sz w:val="32"/>
          <w:szCs w:val="28"/>
          <w:lang w:bidi="he-IL"/>
        </w:rPr>
        <w:t>é učení v počítačové grafice</w:t>
      </w:r>
    </w:p>
    <w:p w:rsidR="00983680" w:rsidRDefault="00983680" w:rsidP="00983680">
      <w:pPr>
        <w:spacing w:line="360" w:lineRule="auto"/>
        <w:jc w:val="center"/>
        <w:rPr>
          <w:rFonts w:ascii="Arial" w:hAnsi="Arial" w:cs="Arial"/>
          <w:b/>
          <w:bCs/>
          <w:sz w:val="24"/>
          <w:szCs w:val="28"/>
        </w:rPr>
      </w:pPr>
    </w:p>
    <w:p w:rsidR="00983680" w:rsidRDefault="00983680" w:rsidP="00983680">
      <w:pPr>
        <w:spacing w:line="360" w:lineRule="auto"/>
        <w:jc w:val="center"/>
        <w:rPr>
          <w:rFonts w:ascii="Arial" w:hAnsi="Arial" w:cs="Arial"/>
          <w:b/>
          <w:sz w:val="20"/>
        </w:rPr>
      </w:pPr>
    </w:p>
    <w:p w:rsidR="00983680" w:rsidRDefault="00983680" w:rsidP="00983680">
      <w:pPr>
        <w:spacing w:line="360" w:lineRule="auto"/>
        <w:jc w:val="center"/>
        <w:rPr>
          <w:rFonts w:ascii="Arial" w:hAnsi="Arial" w:cs="Arial"/>
          <w:b/>
          <w:sz w:val="20"/>
        </w:rPr>
      </w:pPr>
    </w:p>
    <w:p w:rsidR="00983680" w:rsidRDefault="00983680" w:rsidP="00983680">
      <w:pPr>
        <w:spacing w:line="360" w:lineRule="auto"/>
        <w:jc w:val="center"/>
        <w:rPr>
          <w:rFonts w:ascii="Arial" w:hAnsi="Arial" w:cs="Arial"/>
          <w:b/>
          <w:sz w:val="20"/>
        </w:rPr>
      </w:pPr>
    </w:p>
    <w:p w:rsidR="00983680" w:rsidRDefault="00983680" w:rsidP="00983680">
      <w:pPr>
        <w:spacing w:line="360" w:lineRule="auto"/>
        <w:jc w:val="center"/>
        <w:rPr>
          <w:rFonts w:ascii="Arial" w:hAnsi="Arial" w:cs="Arial"/>
          <w:b/>
          <w:sz w:val="20"/>
        </w:rPr>
      </w:pPr>
    </w:p>
    <w:p w:rsidR="00983680" w:rsidRDefault="00983680" w:rsidP="00983680">
      <w:pPr>
        <w:spacing w:line="360" w:lineRule="auto"/>
        <w:jc w:val="center"/>
        <w:rPr>
          <w:rFonts w:ascii="Arial" w:hAnsi="Arial" w:cs="Arial"/>
          <w:b/>
          <w:sz w:val="20"/>
        </w:rPr>
      </w:pPr>
    </w:p>
    <w:p w:rsidR="00983680" w:rsidRPr="00983680" w:rsidRDefault="00983680" w:rsidP="00983680">
      <w:pPr>
        <w:spacing w:line="360" w:lineRule="auto"/>
        <w:rPr>
          <w:rFonts w:ascii="Cambria" w:hAnsi="Cambria" w:cs="Arial"/>
          <w:sz w:val="24"/>
        </w:rPr>
      </w:pPr>
      <w:r w:rsidRPr="00983680">
        <w:rPr>
          <w:rFonts w:ascii="Cambria" w:hAnsi="Cambria" w:cs="Arial"/>
          <w:sz w:val="24"/>
        </w:rPr>
        <w:t>Autor: Adam, Ouhrabka</w:t>
      </w:r>
    </w:p>
    <w:p w:rsidR="00983680" w:rsidRDefault="00983680" w:rsidP="00983680">
      <w:pPr>
        <w:spacing w:line="360" w:lineRule="auto"/>
        <w:rPr>
          <w:rFonts w:ascii="Cambria" w:hAnsi="Cambria" w:cs="Arial"/>
          <w:sz w:val="24"/>
        </w:rPr>
      </w:pPr>
      <w:r w:rsidRPr="00983680">
        <w:rPr>
          <w:rFonts w:ascii="Cambria" w:hAnsi="Cambria" w:cs="Arial"/>
          <w:sz w:val="24"/>
        </w:rPr>
        <w:t>Aplikovaná inform</w:t>
      </w:r>
      <w:r>
        <w:rPr>
          <w:rFonts w:ascii="Cambria" w:hAnsi="Cambria" w:cs="Arial"/>
          <w:sz w:val="24"/>
        </w:rPr>
        <w:t>a</w:t>
      </w:r>
      <w:r w:rsidRPr="00983680">
        <w:rPr>
          <w:rFonts w:ascii="Cambria" w:hAnsi="Cambria" w:cs="Arial"/>
          <w:sz w:val="24"/>
        </w:rPr>
        <w:t>tika</w:t>
      </w:r>
    </w:p>
    <w:p w:rsidR="00983680" w:rsidRDefault="00983680" w:rsidP="00983680">
      <w:pPr>
        <w:spacing w:line="360" w:lineRule="auto"/>
        <w:rPr>
          <w:rFonts w:ascii="Cambria" w:hAnsi="Cambria" w:cs="Arial"/>
          <w:sz w:val="24"/>
        </w:rPr>
      </w:pPr>
    </w:p>
    <w:p w:rsidR="00983680" w:rsidRDefault="00983680" w:rsidP="00983680">
      <w:pPr>
        <w:spacing w:line="360" w:lineRule="auto"/>
        <w:rPr>
          <w:rFonts w:ascii="Cambria" w:hAnsi="Cambria" w:cs="Arial"/>
          <w:sz w:val="24"/>
        </w:rPr>
      </w:pPr>
    </w:p>
    <w:p w:rsidR="00983680" w:rsidRDefault="00983680" w:rsidP="00983680">
      <w:pPr>
        <w:spacing w:line="360" w:lineRule="auto"/>
        <w:rPr>
          <w:rFonts w:ascii="Cambria" w:hAnsi="Cambria" w:cs="Arial"/>
          <w:sz w:val="24"/>
        </w:rPr>
      </w:pPr>
      <w:r>
        <w:rPr>
          <w:rFonts w:ascii="Cambria" w:hAnsi="Cambria" w:cs="Arial"/>
          <w:sz w:val="24"/>
        </w:rPr>
        <w:t>Vedoucí práce: Ing. Bruno Ježek, PhD.</w:t>
      </w:r>
    </w:p>
    <w:p w:rsidR="00983680" w:rsidRDefault="00983680"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r w:rsidRPr="000551D2">
        <w:rPr>
          <w:rStyle w:val="StadnartntextChar"/>
        </w:rPr>
        <w:lastRenderedPageBreak/>
        <w:t>Hradec Králové</w:t>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r>
      <w:r>
        <w:rPr>
          <w:rFonts w:ascii="Cambria" w:hAnsi="Cambria" w:cs="Arial"/>
          <w:sz w:val="24"/>
        </w:rPr>
        <w:tab/>
        <w:t>XXX 2018</w:t>
      </w:r>
    </w:p>
    <w:p w:rsidR="000551D2" w:rsidRDefault="000551D2" w:rsidP="00983680">
      <w:pPr>
        <w:spacing w:line="360" w:lineRule="auto"/>
        <w:rPr>
          <w:rFonts w:ascii="Cambria" w:hAnsi="Cambria" w:cs="Arial"/>
          <w:sz w:val="24"/>
        </w:rPr>
      </w:pPr>
      <w:r>
        <w:rPr>
          <w:rFonts w:ascii="Cambria" w:hAnsi="Cambria" w:cs="Arial"/>
          <w:sz w:val="24"/>
        </w:rPr>
        <w:t>Prohlášení:</w:t>
      </w:r>
    </w:p>
    <w:p w:rsidR="000551D2" w:rsidRDefault="000551D2" w:rsidP="00983680">
      <w:pPr>
        <w:spacing w:line="360" w:lineRule="auto"/>
        <w:rPr>
          <w:rFonts w:ascii="Cambria" w:hAnsi="Cambria" w:cs="Arial"/>
          <w:sz w:val="24"/>
        </w:rPr>
      </w:pPr>
      <w:r>
        <w:rPr>
          <w:rFonts w:ascii="Cambria" w:hAnsi="Cambria" w:cs="Arial"/>
          <w:sz w:val="24"/>
        </w:rPr>
        <w:tab/>
        <w:t>Prohlašuji, že jsem bakalářskou práci zpracoval samostatně a s použitím uvedené literatury.</w:t>
      </w: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r>
        <w:rPr>
          <w:rFonts w:ascii="Cambria" w:hAnsi="Cambria" w:cs="Arial"/>
          <w:sz w:val="24"/>
        </w:rPr>
        <w:t>V Hradci Králové dne</w:t>
      </w: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983680">
      <w:pPr>
        <w:spacing w:line="360" w:lineRule="auto"/>
        <w:rPr>
          <w:rFonts w:ascii="Cambria" w:hAnsi="Cambria" w:cs="Arial"/>
          <w:sz w:val="24"/>
        </w:rPr>
      </w:pPr>
    </w:p>
    <w:p w:rsidR="000551D2" w:rsidRDefault="000551D2" w:rsidP="000551D2">
      <w:pPr>
        <w:pStyle w:val="Heading1"/>
      </w:pPr>
      <w:r>
        <w:t>Anotace</w:t>
      </w:r>
    </w:p>
    <w:p w:rsidR="000551D2" w:rsidRDefault="000551D2" w:rsidP="000551D2"/>
    <w:p w:rsidR="000551D2" w:rsidRDefault="000551D2" w:rsidP="000551D2"/>
    <w:p w:rsidR="000551D2" w:rsidRDefault="000551D2" w:rsidP="000551D2"/>
    <w:p w:rsidR="000551D2" w:rsidRDefault="000551D2" w:rsidP="000551D2">
      <w:pPr>
        <w:pStyle w:val="Heading1"/>
      </w:pPr>
      <w:r>
        <w:t>Annotation</w:t>
      </w:r>
    </w:p>
    <w:p w:rsidR="000551D2" w:rsidRDefault="000551D2" w:rsidP="000551D2"/>
    <w:p w:rsidR="000551D2" w:rsidRDefault="000551D2" w:rsidP="000551D2"/>
    <w:p w:rsidR="000551D2" w:rsidRDefault="000551D2" w:rsidP="000551D2"/>
    <w:p w:rsidR="000551D2" w:rsidRDefault="000551D2" w:rsidP="000551D2"/>
    <w:p w:rsidR="000551D2" w:rsidRDefault="000551D2" w:rsidP="000551D2"/>
    <w:p w:rsidR="000551D2" w:rsidRDefault="000551D2" w:rsidP="000551D2"/>
    <w:p w:rsidR="000551D2" w:rsidRDefault="000551D2" w:rsidP="000551D2"/>
    <w:p w:rsidR="007270B7" w:rsidRDefault="007270B7" w:rsidP="00466BD0">
      <w:pPr>
        <w:pStyle w:val="Heading1"/>
      </w:pPr>
      <w:r>
        <w:lastRenderedPageBreak/>
        <w:t>Úvod</w:t>
      </w:r>
    </w:p>
    <w:p w:rsidR="00B460B9" w:rsidRDefault="00B460B9" w:rsidP="00B460B9">
      <w:pPr>
        <w:pStyle w:val="NormalWeb"/>
        <w:shd w:val="clear" w:color="auto" w:fill="FFFFFF"/>
        <w:spacing w:before="0" w:beforeAutospacing="0" w:after="0" w:afterAutospacing="0" w:line="233" w:lineRule="atLeast"/>
        <w:ind w:left="720" w:hanging="360"/>
        <w:rPr>
          <w:rFonts w:ascii="Calibri" w:hAnsi="Calibri" w:cs="Calibri"/>
          <w:color w:val="212121"/>
          <w:sz w:val="22"/>
          <w:szCs w:val="22"/>
        </w:rPr>
      </w:pPr>
      <w:r>
        <w:rPr>
          <w:rFonts w:ascii="Calibri" w:hAnsi="Calibri" w:cs="Calibri"/>
          <w:color w:val="000000"/>
          <w:sz w:val="22"/>
          <w:szCs w:val="22"/>
        </w:rPr>
        <w:t>1.</w:t>
      </w:r>
      <w:r>
        <w:rPr>
          <w:color w:val="000000"/>
          <w:sz w:val="14"/>
          <w:szCs w:val="14"/>
        </w:rPr>
        <w:t>       </w:t>
      </w:r>
      <w:r>
        <w:rPr>
          <w:rFonts w:ascii="Calibri" w:hAnsi="Calibri" w:cs="Calibri"/>
          <w:color w:val="212121"/>
          <w:sz w:val="22"/>
          <w:szCs w:val="22"/>
        </w:rPr>
        <w:t>Provést literární rešerši a seznámit se s aktuálním poznáním v oblasti strojového učení.</w:t>
      </w:r>
    </w:p>
    <w:p w:rsidR="00B460B9" w:rsidRDefault="00B460B9" w:rsidP="00B460B9">
      <w:pPr>
        <w:pStyle w:val="NormalWeb"/>
        <w:shd w:val="clear" w:color="auto" w:fill="FFFFFF"/>
        <w:spacing w:before="0" w:beforeAutospacing="0" w:after="0" w:afterAutospacing="0" w:line="233" w:lineRule="atLeast"/>
        <w:ind w:left="720" w:hanging="360"/>
        <w:rPr>
          <w:rFonts w:ascii="Calibri" w:hAnsi="Calibri" w:cs="Calibri"/>
          <w:color w:val="212121"/>
          <w:sz w:val="22"/>
          <w:szCs w:val="22"/>
        </w:rPr>
      </w:pPr>
      <w:r>
        <w:rPr>
          <w:rFonts w:ascii="Calibri" w:hAnsi="Calibri" w:cs="Calibri"/>
          <w:color w:val="000000"/>
          <w:sz w:val="22"/>
          <w:szCs w:val="22"/>
        </w:rPr>
        <w:t>2.</w:t>
      </w:r>
      <w:r>
        <w:rPr>
          <w:color w:val="000000"/>
          <w:sz w:val="14"/>
          <w:szCs w:val="14"/>
        </w:rPr>
        <w:t>       </w:t>
      </w:r>
      <w:r>
        <w:rPr>
          <w:rFonts w:ascii="Calibri" w:hAnsi="Calibri" w:cs="Calibri"/>
          <w:color w:val="000000"/>
          <w:sz w:val="22"/>
          <w:szCs w:val="22"/>
        </w:rPr>
        <w:t>Vytvořit přehled postupů a metod používaných v počítačové grafice pro návrh modelu scény podporovaný metodami strojového učení.</w:t>
      </w:r>
    </w:p>
    <w:p w:rsidR="00B460B9" w:rsidRDefault="00B460B9" w:rsidP="00B460B9">
      <w:pPr>
        <w:pStyle w:val="NormalWeb"/>
        <w:shd w:val="clear" w:color="auto" w:fill="FFFFFF"/>
        <w:spacing w:before="0" w:beforeAutospacing="0" w:after="0" w:afterAutospacing="0" w:line="233" w:lineRule="atLeast"/>
        <w:ind w:left="720" w:hanging="360"/>
        <w:jc w:val="both"/>
        <w:rPr>
          <w:rFonts w:ascii="Calibri" w:hAnsi="Calibri" w:cs="Calibri"/>
          <w:color w:val="212121"/>
          <w:sz w:val="22"/>
          <w:szCs w:val="22"/>
        </w:rPr>
      </w:pPr>
      <w:r>
        <w:rPr>
          <w:rFonts w:ascii="Calibri" w:hAnsi="Calibri" w:cs="Calibri"/>
          <w:color w:val="212121"/>
          <w:sz w:val="22"/>
          <w:szCs w:val="22"/>
        </w:rPr>
        <w:t>3.</w:t>
      </w:r>
      <w:r>
        <w:rPr>
          <w:color w:val="212121"/>
          <w:sz w:val="14"/>
          <w:szCs w:val="14"/>
        </w:rPr>
        <w:t>       </w:t>
      </w:r>
      <w:r>
        <w:rPr>
          <w:rFonts w:ascii="Calibri" w:hAnsi="Calibri" w:cs="Calibri"/>
          <w:color w:val="212121"/>
          <w:sz w:val="22"/>
          <w:szCs w:val="22"/>
        </w:rPr>
        <w:t>Prozkoumat vybrané dostupné technologie pro implementaci metod strojového učení.</w:t>
      </w:r>
    </w:p>
    <w:p w:rsidR="00B460B9" w:rsidRDefault="00B460B9" w:rsidP="00B460B9">
      <w:pPr>
        <w:pStyle w:val="NormalWeb"/>
        <w:shd w:val="clear" w:color="auto" w:fill="FFFFFF"/>
        <w:spacing w:before="0" w:beforeAutospacing="0" w:after="0" w:afterAutospacing="0" w:line="233" w:lineRule="atLeast"/>
        <w:ind w:left="720" w:hanging="360"/>
        <w:rPr>
          <w:rFonts w:ascii="Calibri" w:hAnsi="Calibri" w:cs="Calibri"/>
          <w:color w:val="212121"/>
          <w:sz w:val="22"/>
          <w:szCs w:val="22"/>
        </w:rPr>
      </w:pPr>
      <w:r>
        <w:rPr>
          <w:rFonts w:ascii="Calibri" w:hAnsi="Calibri" w:cs="Calibri"/>
          <w:color w:val="000000"/>
          <w:sz w:val="22"/>
          <w:szCs w:val="22"/>
        </w:rPr>
        <w:t>4.</w:t>
      </w:r>
      <w:r>
        <w:rPr>
          <w:color w:val="000000"/>
          <w:sz w:val="14"/>
          <w:szCs w:val="14"/>
        </w:rPr>
        <w:t>       </w:t>
      </w:r>
      <w:r>
        <w:rPr>
          <w:rFonts w:ascii="Calibri" w:hAnsi="Calibri" w:cs="Calibri"/>
          <w:color w:val="000000"/>
          <w:sz w:val="22"/>
          <w:szCs w:val="22"/>
        </w:rPr>
        <w:t>Zvolit vhodný příklad využití a navrhnout jeho softwarovou implementaci.</w:t>
      </w:r>
    </w:p>
    <w:p w:rsidR="00191F46" w:rsidRPr="00850DC9" w:rsidRDefault="00B460B9" w:rsidP="00850DC9">
      <w:pPr>
        <w:pStyle w:val="NormalWeb"/>
        <w:shd w:val="clear" w:color="auto" w:fill="FFFFFF"/>
        <w:spacing w:before="0" w:beforeAutospacing="0" w:after="160" w:afterAutospacing="0" w:line="233" w:lineRule="atLeast"/>
        <w:ind w:left="720" w:hanging="360"/>
        <w:rPr>
          <w:rFonts w:ascii="Calibri" w:hAnsi="Calibri" w:cs="Calibri"/>
          <w:color w:val="212121"/>
          <w:sz w:val="22"/>
          <w:szCs w:val="22"/>
        </w:rPr>
      </w:pPr>
      <w:r>
        <w:rPr>
          <w:rFonts w:ascii="Calibri" w:hAnsi="Calibri" w:cs="Calibri"/>
          <w:color w:val="000000"/>
          <w:sz w:val="22"/>
          <w:szCs w:val="22"/>
        </w:rPr>
        <w:t>5.</w:t>
      </w:r>
      <w:r>
        <w:rPr>
          <w:color w:val="000000"/>
          <w:sz w:val="14"/>
          <w:szCs w:val="14"/>
        </w:rPr>
        <w:t>       </w:t>
      </w:r>
      <w:r>
        <w:rPr>
          <w:rFonts w:ascii="Calibri" w:hAnsi="Calibri" w:cs="Calibri"/>
          <w:color w:val="212121"/>
          <w:sz w:val="22"/>
          <w:szCs w:val="22"/>
        </w:rPr>
        <w:t>Pro implementované řešení provést testování a zhodnotit dosažené výsledky.</w:t>
      </w:r>
    </w:p>
    <w:p w:rsidR="00191F46" w:rsidRPr="00191F46" w:rsidRDefault="00191F46" w:rsidP="00191F46">
      <w:pPr>
        <w:keepNext/>
        <w:keepLines/>
        <w:spacing w:before="720" w:after="360"/>
        <w:outlineLvl w:val="0"/>
        <w:rPr>
          <w:rFonts w:ascii="Arial" w:eastAsiaTheme="majorEastAsia" w:hAnsi="Arial" w:cstheme="majorBidi"/>
          <w:b/>
          <w:color w:val="000000" w:themeColor="text1"/>
          <w:sz w:val="36"/>
          <w:szCs w:val="32"/>
        </w:rPr>
      </w:pPr>
      <w:r w:rsidRPr="00191F46">
        <w:rPr>
          <w:rFonts w:ascii="Arial" w:eastAsiaTheme="majorEastAsia" w:hAnsi="Arial" w:cstheme="majorBidi"/>
          <w:b/>
          <w:color w:val="000000" w:themeColor="text1"/>
          <w:sz w:val="36"/>
          <w:szCs w:val="32"/>
        </w:rPr>
        <w:t>Strojové učení</w:t>
      </w:r>
    </w:p>
    <w:p w:rsidR="00191F46" w:rsidRDefault="00191F46" w:rsidP="003D3656">
      <w:pPr>
        <w:spacing w:before="240" w:after="240" w:line="360" w:lineRule="auto"/>
        <w:jc w:val="both"/>
        <w:rPr>
          <w:rFonts w:ascii="Cambria" w:hAnsi="Cambria" w:cs="Arial"/>
          <w:sz w:val="26"/>
          <w:lang w:bidi="he-IL"/>
        </w:rPr>
      </w:pPr>
      <w:r w:rsidRPr="00191F46">
        <w:rPr>
          <w:rFonts w:ascii="Cambria" w:hAnsi="Cambria" w:cs="Arial"/>
          <w:sz w:val="26"/>
        </w:rPr>
        <w:tab/>
        <w:t xml:space="preserve">Z formálních definic strojového učení je vybráno tradiční znění Toma Mitchella, který definuje strojové učení násedujícím způsobem. </w:t>
      </w:r>
      <w:r w:rsidRPr="00191F46">
        <w:rPr>
          <w:rFonts w:ascii="Cambria" w:hAnsi="Cambria" w:cs="Arial"/>
          <w:i/>
          <w:sz w:val="26"/>
        </w:rPr>
        <w:t xml:space="preserve">„Stroj (počítačový program) se učí plnit třídu zadání T  ze zkušenost E a s úspěšností P v tom případě, když se úspěšnost plnění zadaných úkolů T  zlepšuje s využitím znalostí nabytých ze </w:t>
      </w:r>
      <w:r w:rsidRPr="00191F46">
        <w:rPr>
          <w:rFonts w:ascii="Cambria" w:hAnsi="Cambria" w:cs="Arial"/>
          <w:sz w:val="26"/>
        </w:rPr>
        <w:t xml:space="preserve">zkušenosti E.“ </w:t>
      </w:r>
      <w:r w:rsidRPr="00191F46">
        <w:rPr>
          <w:rFonts w:ascii="Cambria" w:hAnsi="Cambria" w:cs="Arial"/>
          <w:sz w:val="26"/>
        </w:rPr>
        <w:fldChar w:fldCharType="begin"/>
      </w:r>
      <w:r w:rsidR="003D3656">
        <w:rPr>
          <w:rFonts w:ascii="Cambria" w:hAnsi="Cambria" w:cs="Arial"/>
          <w:sz w:val="26"/>
        </w:rPr>
        <w:instrText xml:space="preserve"> ADDIN ZOTERO_ITEM CSL_CITATION {"citationID":"DAB58nC8","properties":{"formattedCitation":"(Mitchell 1997a)","plainCitation":"(Mitchell 1997a)","noteIndex":0},"citationItems":[{"id":"hA0wgkxk/cCVRH0T9","uris":["http://zotero.org/users/local/IbRhotwj/items/JNC9CCCD"],"uri":["http://zotero.org/users/local/IbRhotwj/items/JNC9CCCD"],"itemData":{"id":159,"type":"book","title":"Machine Learning","collection-title":"McGraw-Hill series in computer science","publisher":"McGraw-Hill","publisher-place":"New York","number-of-pages":"414","source":"Library of Congress ISBN","event-place":"New York","ISBN":"978-0-07-042807-2","call-number":"Q325.5 .M58 1997","language":"en","author":[{"family":"Mitchell","given":"Tom M."}],"issued":{"date-parts":[["1997"]]}}}],"schema":"https://github.com/citation-style-language/schema/raw/master/csl-citation.json"} </w:instrText>
      </w:r>
      <w:r w:rsidRPr="00191F46">
        <w:rPr>
          <w:rFonts w:ascii="Cambria" w:hAnsi="Cambria" w:cs="Arial"/>
          <w:sz w:val="26"/>
        </w:rPr>
        <w:fldChar w:fldCharType="separate"/>
      </w:r>
      <w:r w:rsidR="003D3656" w:rsidRPr="003D3656">
        <w:rPr>
          <w:rFonts w:ascii="Cambria" w:hAnsi="Cambria"/>
          <w:sz w:val="26"/>
        </w:rPr>
        <w:t>(Mitchell 1997a)</w:t>
      </w:r>
      <w:r w:rsidRPr="00191F46">
        <w:rPr>
          <w:rFonts w:ascii="Cambria" w:hAnsi="Cambria" w:cs="Arial"/>
          <w:sz w:val="26"/>
        </w:rPr>
        <w:fldChar w:fldCharType="end"/>
      </w:r>
      <w:r w:rsidRPr="00191F46">
        <w:rPr>
          <w:rFonts w:ascii="Cambria" w:hAnsi="Cambria" w:cs="Arial"/>
          <w:sz w:val="26"/>
        </w:rPr>
        <w:t xml:space="preserve">. </w:t>
      </w:r>
      <w:r w:rsidR="00EC2DCC">
        <w:rPr>
          <w:rFonts w:ascii="Cambria" w:hAnsi="Cambria" w:cs="Arial"/>
          <w:sz w:val="26"/>
        </w:rPr>
        <w:t>K </w:t>
      </w:r>
      <w:r w:rsidR="00EC2DCC">
        <w:rPr>
          <w:rFonts w:ascii="Cambria" w:hAnsi="Cambria" w:cs="Arial"/>
          <w:sz w:val="26"/>
          <w:lang w:bidi="he-IL"/>
        </w:rPr>
        <w:t>základním praktickým úlohám</w:t>
      </w:r>
      <w:r w:rsidR="005815BF">
        <w:rPr>
          <w:rFonts w:ascii="Cambria" w:hAnsi="Cambria" w:cs="Arial"/>
          <w:sz w:val="26"/>
          <w:lang w:bidi="he-IL"/>
        </w:rPr>
        <w:t>,</w:t>
      </w:r>
      <w:r w:rsidR="00EC2DCC">
        <w:rPr>
          <w:rFonts w:ascii="Cambria" w:hAnsi="Cambria" w:cs="Arial"/>
          <w:sz w:val="26"/>
          <w:lang w:bidi="he-IL"/>
        </w:rPr>
        <w:t xml:space="preserve"> na něž jsou algoritmy strojového učení aplikovány patří klasifikace, predikce, plánování, popřípadě obecná kontrola agenta</w:t>
      </w:r>
      <w:r w:rsidR="005815BF">
        <w:rPr>
          <w:rFonts w:ascii="Cambria" w:hAnsi="Cambria" w:cs="Arial"/>
          <w:sz w:val="26"/>
          <w:lang w:bidi="he-IL"/>
        </w:rPr>
        <w:t xml:space="preserve"> konkrétního autonomního systému</w:t>
      </w:r>
      <w:r w:rsidR="00EC2DCC">
        <w:rPr>
          <w:rFonts w:ascii="Cambria" w:hAnsi="Cambria" w:cs="Arial"/>
          <w:sz w:val="26"/>
          <w:lang w:bidi="he-IL"/>
        </w:rPr>
        <w:t>.</w:t>
      </w:r>
      <w:r w:rsidR="005815BF">
        <w:rPr>
          <w:rFonts w:ascii="Cambria" w:hAnsi="Cambria" w:cs="Arial"/>
          <w:sz w:val="26"/>
          <w:lang w:bidi="he-IL"/>
        </w:rPr>
        <w:t xml:space="preserve"> </w:t>
      </w:r>
      <w:r w:rsidR="00EC2DCC">
        <w:rPr>
          <w:rFonts w:ascii="Cambria" w:hAnsi="Cambria" w:cs="Arial"/>
          <w:sz w:val="26"/>
          <w:lang w:bidi="he-IL"/>
        </w:rPr>
        <w:t xml:space="preserve"> </w:t>
      </w:r>
    </w:p>
    <w:p w:rsidR="00191F46" w:rsidRDefault="005815BF" w:rsidP="00191F46">
      <w:pPr>
        <w:spacing w:before="240" w:after="240" w:line="360" w:lineRule="auto"/>
        <w:jc w:val="both"/>
        <w:rPr>
          <w:rFonts w:ascii="Cambria" w:hAnsi="Cambria"/>
          <w:sz w:val="26"/>
        </w:rPr>
      </w:pPr>
      <w:r>
        <w:rPr>
          <w:rFonts w:ascii="Cambria" w:hAnsi="Cambria" w:cs="Arial"/>
          <w:sz w:val="26"/>
          <w:lang w:bidi="he-IL"/>
        </w:rPr>
        <w:tab/>
        <w:t xml:space="preserve">Následuje výčet hlavních argumentů pro upřednostňování algoritmů strojového učení, namísto implementace </w:t>
      </w:r>
      <w:r w:rsidR="00FD3A97">
        <w:rPr>
          <w:rFonts w:ascii="Cambria" w:hAnsi="Cambria" w:cs="Arial"/>
          <w:sz w:val="26"/>
          <w:lang w:bidi="he-IL"/>
        </w:rPr>
        <w:t>jiného</w:t>
      </w:r>
      <w:r>
        <w:rPr>
          <w:rFonts w:ascii="Cambria" w:hAnsi="Cambria" w:cs="Arial"/>
          <w:sz w:val="26"/>
          <w:lang w:bidi="he-IL"/>
        </w:rPr>
        <w:t xml:space="preserve"> systému. Mitchellem definovaná zkušenost </w:t>
      </w:r>
      <w:r w:rsidRPr="005815BF">
        <w:rPr>
          <w:rFonts w:ascii="Cambria" w:hAnsi="Cambria" w:cs="Arial"/>
          <w:i/>
          <w:iCs/>
          <w:sz w:val="26"/>
          <w:lang w:bidi="he-IL"/>
        </w:rPr>
        <w:t>E</w:t>
      </w:r>
      <w:r>
        <w:rPr>
          <w:rFonts w:ascii="Cambria" w:hAnsi="Cambria" w:cs="Arial"/>
          <w:i/>
          <w:iCs/>
          <w:sz w:val="26"/>
          <w:lang w:bidi="he-IL"/>
        </w:rPr>
        <w:t xml:space="preserve"> </w:t>
      </w:r>
      <w:r>
        <w:rPr>
          <w:rFonts w:ascii="Cambria" w:hAnsi="Cambria" w:cs="Arial"/>
          <w:sz w:val="26"/>
          <w:lang w:bidi="he-IL"/>
        </w:rPr>
        <w:t xml:space="preserve">je v oblasti strojového učení reprezentována daty. </w:t>
      </w:r>
      <w:r w:rsidR="00FA2FB4">
        <w:rPr>
          <w:rFonts w:ascii="Cambria" w:hAnsi="Cambria" w:cs="Arial"/>
          <w:sz w:val="26"/>
          <w:lang w:bidi="he-IL"/>
        </w:rPr>
        <w:t>Pro trénovací sadu je důležité jaké formy nabývá, v jakém pořadí vstupují jednotlivá data do algoritmu, a především „</w:t>
      </w:r>
      <w:r w:rsidR="00FA2FB4" w:rsidRPr="00FA2FB4">
        <w:rPr>
          <w:rFonts w:ascii="Cambria" w:hAnsi="Cambria" w:cs="Arial"/>
          <w:i/>
          <w:iCs/>
          <w:sz w:val="26"/>
          <w:lang w:bidi="he-IL"/>
        </w:rPr>
        <w:t xml:space="preserve">…jak dobře reprezentuje distribuci </w:t>
      </w:r>
      <w:r w:rsidR="00FA2FB4">
        <w:rPr>
          <w:rFonts w:ascii="Cambria" w:hAnsi="Cambria" w:cs="Arial"/>
          <w:i/>
          <w:iCs/>
          <w:sz w:val="26"/>
          <w:lang w:bidi="he-IL"/>
        </w:rPr>
        <w:t>příkladů, přes které musí být výsledný systém evaluován úspěšností P.“</w:t>
      </w:r>
      <w:r w:rsidR="00FA2FB4">
        <w:rPr>
          <w:rFonts w:ascii="Cambria" w:hAnsi="Cambria" w:cs="Arial"/>
          <w:sz w:val="26"/>
          <w:lang w:bidi="he-IL"/>
        </w:rPr>
        <w:t xml:space="preserve"> </w:t>
      </w:r>
      <w:r w:rsidR="00FA2FB4">
        <w:rPr>
          <w:rFonts w:ascii="Cambria" w:hAnsi="Cambria" w:cs="Arial"/>
          <w:sz w:val="26"/>
          <w:lang w:bidi="he-IL"/>
        </w:rPr>
        <w:fldChar w:fldCharType="begin"/>
      </w:r>
      <w:r w:rsidR="00FA2FB4">
        <w:rPr>
          <w:rFonts w:ascii="Cambria" w:hAnsi="Cambria" w:cs="Arial"/>
          <w:sz w:val="26"/>
          <w:lang w:bidi="he-IL"/>
        </w:rPr>
        <w:instrText xml:space="preserve"> ADDIN ZOTERO_ITEM CSL_CITATION {"citationID":"KGtGwr0L","properties":{"formattedCitation":"(Mitchell 1997b)","plainCitation":"(Mitchell 1997b)","noteIndex":0},"citationItems":[{"id":249,"uris":["http://zotero.org/users/local/DXBpxSa9/items/C6L4M5DL"],"uri":["http://zotero.org/users/local/DXBpxSa9/items/C6L4M5DL"],"itemData":{"id":249,"type":"book","title":"Machine Learning","collection-title":"McGraw-Hill series in computer science","publisher":"McGraw-Hill","publisher-place":"New York","number-of-pages":"414","source":"Library of Congress ISBN","event-place":"New York","ISBN":"978-0-07-042807-2","call-number":"Q325.5 .M58 1997","language":"en","author":[{"family":"Mitchell","given":"Tom M."}],"issued":{"date-parts":[["1997"]]}}}],"schema":"https://github.com/citation-style-language/schema/raw/master/csl-citation.json"} </w:instrText>
      </w:r>
      <w:r w:rsidR="00FA2FB4">
        <w:rPr>
          <w:rFonts w:ascii="Cambria" w:hAnsi="Cambria" w:cs="Arial"/>
          <w:sz w:val="26"/>
          <w:lang w:bidi="he-IL"/>
        </w:rPr>
        <w:fldChar w:fldCharType="separate"/>
      </w:r>
      <w:r w:rsidR="003D3656" w:rsidRPr="003D3656">
        <w:rPr>
          <w:rFonts w:ascii="Cambria" w:hAnsi="Cambria"/>
          <w:sz w:val="26"/>
        </w:rPr>
        <w:t>(Mitchell 1997b)</w:t>
      </w:r>
      <w:r w:rsidR="00FA2FB4">
        <w:rPr>
          <w:rFonts w:ascii="Cambria" w:hAnsi="Cambria" w:cs="Arial"/>
          <w:sz w:val="26"/>
          <w:lang w:bidi="he-IL"/>
        </w:rPr>
        <w:fldChar w:fldCharType="end"/>
      </w:r>
      <w:r w:rsidR="00FA2FB4">
        <w:rPr>
          <w:rFonts w:ascii="Cambria" w:hAnsi="Cambria" w:cs="Arial"/>
          <w:sz w:val="26"/>
          <w:lang w:bidi="he-IL"/>
        </w:rPr>
        <w:t xml:space="preserve"> V takto definované trénovací sadě, lze pak za pomocí vhodných algoritmů strojového učení hledat obecné vztahy a korelace, které by tradiční analýze zůstaly skryté</w:t>
      </w:r>
      <w:r w:rsidR="00A00427">
        <w:rPr>
          <w:rFonts w:ascii="Cambria" w:hAnsi="Cambria" w:cs="Arial"/>
          <w:sz w:val="26"/>
          <w:lang w:bidi="he-IL"/>
        </w:rPr>
        <w:t xml:space="preserve"> tj. jen těžko by se hledala přiměřená algoritmizovatelná logika</w:t>
      </w:r>
      <w:r w:rsidR="00FA2FB4">
        <w:rPr>
          <w:rFonts w:ascii="Cambria" w:hAnsi="Cambria" w:cs="Arial"/>
          <w:sz w:val="26"/>
          <w:lang w:bidi="he-IL"/>
        </w:rPr>
        <w:t>. Vzhledem k záměru této práce lze dodat, že tyto vztahy mohou být později užity ke generování nových vzorků zachovávajících obecné charakteristiky</w:t>
      </w:r>
      <w:r w:rsidR="00715B21">
        <w:rPr>
          <w:rFonts w:ascii="Cambria" w:hAnsi="Cambria" w:cs="Arial"/>
          <w:sz w:val="26"/>
          <w:lang w:bidi="he-IL"/>
        </w:rPr>
        <w:t xml:space="preserve"> a </w:t>
      </w:r>
      <w:r w:rsidR="00632EFF">
        <w:rPr>
          <w:rFonts w:ascii="Cambria" w:hAnsi="Cambria" w:cs="Arial"/>
          <w:sz w:val="26"/>
          <w:lang w:bidi="he-IL"/>
        </w:rPr>
        <w:t>distribuce</w:t>
      </w:r>
      <w:r w:rsidR="00FA2FB4">
        <w:rPr>
          <w:rFonts w:ascii="Cambria" w:hAnsi="Cambria" w:cs="Arial"/>
          <w:sz w:val="26"/>
          <w:lang w:bidi="he-IL"/>
        </w:rPr>
        <w:t xml:space="preserve"> trénovací sady. Dalším</w:t>
      </w:r>
      <w:r w:rsidR="00FB1A31">
        <w:rPr>
          <w:rFonts w:ascii="Cambria" w:hAnsi="Cambria" w:cs="Arial"/>
          <w:sz w:val="26"/>
          <w:lang w:bidi="he-IL"/>
        </w:rPr>
        <w:t>i</w:t>
      </w:r>
      <w:r w:rsidR="00FA2FB4">
        <w:rPr>
          <w:rFonts w:ascii="Cambria" w:hAnsi="Cambria" w:cs="Arial"/>
          <w:sz w:val="26"/>
          <w:lang w:bidi="he-IL"/>
        </w:rPr>
        <w:t xml:space="preserve"> důvod</w:t>
      </w:r>
      <w:r w:rsidR="00FB1A31">
        <w:rPr>
          <w:rFonts w:ascii="Cambria" w:hAnsi="Cambria" w:cs="Arial"/>
          <w:sz w:val="26"/>
          <w:lang w:bidi="he-IL"/>
        </w:rPr>
        <w:t>y</w:t>
      </w:r>
      <w:r w:rsidR="00FA2FB4">
        <w:rPr>
          <w:rFonts w:ascii="Cambria" w:hAnsi="Cambria" w:cs="Arial"/>
          <w:sz w:val="26"/>
          <w:lang w:bidi="he-IL"/>
        </w:rPr>
        <w:t xml:space="preserve"> pro preferenci </w:t>
      </w:r>
      <w:r w:rsidR="00FB1A31">
        <w:rPr>
          <w:rFonts w:ascii="Cambria" w:hAnsi="Cambria" w:cs="Arial"/>
          <w:sz w:val="26"/>
          <w:lang w:bidi="he-IL"/>
        </w:rPr>
        <w:t>ASU je dle Nil</w:t>
      </w:r>
      <w:r w:rsidR="00FA2FB4">
        <w:rPr>
          <w:rFonts w:ascii="Cambria" w:hAnsi="Cambria" w:cs="Arial"/>
          <w:sz w:val="26"/>
          <w:lang w:bidi="he-IL"/>
        </w:rPr>
        <w:t>s</w:t>
      </w:r>
      <w:r w:rsidR="00FB1A31">
        <w:rPr>
          <w:rFonts w:ascii="Cambria" w:hAnsi="Cambria" w:cs="Arial"/>
          <w:sz w:val="26"/>
          <w:lang w:bidi="he-IL"/>
        </w:rPr>
        <w:t>s</w:t>
      </w:r>
      <w:r w:rsidR="00FA2FB4">
        <w:rPr>
          <w:rFonts w:ascii="Cambria" w:hAnsi="Cambria" w:cs="Arial"/>
          <w:sz w:val="26"/>
          <w:lang w:bidi="he-IL"/>
        </w:rPr>
        <w:t xml:space="preserve">ona </w:t>
      </w:r>
      <w:r w:rsidR="00FB1A31">
        <w:rPr>
          <w:rFonts w:ascii="Cambria" w:hAnsi="Cambria" w:cs="Arial"/>
          <w:sz w:val="26"/>
          <w:lang w:bidi="he-IL"/>
        </w:rPr>
        <w:t xml:space="preserve">enormní velikost datové sady, která znemožňuje syntézu do tradičního programu. Dále je </w:t>
      </w:r>
      <w:r w:rsidR="00FB1A31">
        <w:rPr>
          <w:rFonts w:ascii="Cambria" w:hAnsi="Cambria" w:cs="Arial"/>
          <w:sz w:val="26"/>
          <w:lang w:bidi="he-IL"/>
        </w:rPr>
        <w:lastRenderedPageBreak/>
        <w:t>to dynamická proměnlivost dat, na kterou musí být systém schopný v ideálním případě reagovat. A konečně jsou některé úlohy definovatelné pouze pomocí předkládání četných příkladů. (Nilsson 1998)</w:t>
      </w:r>
      <w:r w:rsidR="00F619E4">
        <w:rPr>
          <w:rFonts w:ascii="Cambria" w:hAnsi="Cambria"/>
          <w:sz w:val="26"/>
        </w:rPr>
        <w:t>.</w:t>
      </w:r>
    </w:p>
    <w:p w:rsidR="00F619E4" w:rsidRDefault="00F619E4" w:rsidP="00F619E4">
      <w:pPr>
        <w:pStyle w:val="Heading2"/>
      </w:pPr>
      <w:r>
        <w:t>Rozlišení učících algoritmů s učitelem a bez učitele</w:t>
      </w:r>
    </w:p>
    <w:p w:rsidR="00F619E4" w:rsidRPr="00F619E4" w:rsidRDefault="00F619E4" w:rsidP="00F619E4">
      <w:pPr>
        <w:pStyle w:val="Stadnartntext"/>
      </w:pPr>
      <w:r>
        <w:tab/>
      </w:r>
      <w:r w:rsidR="00A70E18">
        <w:t xml:space="preserve">Modely </w:t>
      </w:r>
    </w:p>
    <w:p w:rsidR="00715B21" w:rsidRDefault="00715B21" w:rsidP="00715B21">
      <w:pPr>
        <w:pStyle w:val="Heading2"/>
        <w:rPr>
          <w:lang w:bidi="he-IL"/>
        </w:rPr>
      </w:pPr>
      <w:r>
        <w:t>Rozli</w:t>
      </w:r>
      <w:r>
        <w:rPr>
          <w:lang w:bidi="he-IL"/>
        </w:rPr>
        <w:t>šení diskriminativních a generativních modelů</w:t>
      </w:r>
    </w:p>
    <w:p w:rsidR="00F619E4" w:rsidRPr="00787F85" w:rsidRDefault="001B67A0" w:rsidP="00F619E4">
      <w:pPr>
        <w:pStyle w:val="Stadnartntext"/>
        <w:rPr>
          <w:lang w:bidi="he-IL"/>
        </w:rPr>
      </w:pPr>
      <w:r>
        <w:rPr>
          <w:lang w:bidi="he-IL"/>
        </w:rPr>
        <w:tab/>
      </w:r>
      <w:r w:rsidR="00212DFE">
        <w:rPr>
          <w:lang w:bidi="he-IL"/>
        </w:rPr>
        <w:t>Kromě</w:t>
      </w:r>
      <w:r w:rsidR="00F619E4">
        <w:rPr>
          <w:lang w:bidi="he-IL"/>
        </w:rPr>
        <w:t xml:space="preserve"> již uvedeného</w:t>
      </w:r>
      <w:r w:rsidR="00212DFE">
        <w:rPr>
          <w:lang w:bidi="he-IL"/>
        </w:rPr>
        <w:t xml:space="preserve"> </w:t>
      </w:r>
      <w:r w:rsidR="00F619E4">
        <w:rPr>
          <w:lang w:bidi="he-IL"/>
        </w:rPr>
        <w:t>čle</w:t>
      </w:r>
      <w:r w:rsidR="00212DFE">
        <w:rPr>
          <w:lang w:bidi="he-IL"/>
        </w:rPr>
        <w:t>lení na učení s učitelem a učení bez učitele, lze algoritmy rozdělit rovněž na diskriminativní a generativní. Na rozdíl mezi nimi lze dobře poukázat v</w:t>
      </w:r>
      <w:r>
        <w:rPr>
          <w:lang w:bidi="he-IL"/>
        </w:rPr>
        <w:t> aplikaci na klasifik</w:t>
      </w:r>
      <w:r w:rsidR="00212DFE">
        <w:rPr>
          <w:lang w:bidi="he-IL"/>
        </w:rPr>
        <w:t xml:space="preserve">aci, kde obvykle jde o rozdělení datové distribuce do několika oblastí. </w:t>
      </w:r>
      <w:r w:rsidR="00884992">
        <w:rPr>
          <w:lang w:bidi="he-IL"/>
        </w:rPr>
        <w:t>Zatímco u diskriminativních modelů jde o namapování vstupů na konkrétní výstup, kterým může být konkrétní třída či skalární hodnota, generativní přístup modeluje pravděpodobnostní relace mezi proměnnými daného modelu</w:t>
      </w:r>
      <w:r w:rsidR="00787F85">
        <w:rPr>
          <w:lang w:bidi="he-IL"/>
        </w:rPr>
        <w:t xml:space="preserve"> </w:t>
      </w:r>
      <w:r w:rsidR="00884992">
        <w:rPr>
          <w:lang w:bidi="he-IL"/>
        </w:rPr>
        <w:fldChar w:fldCharType="begin"/>
      </w:r>
      <w:r w:rsidR="003D3656">
        <w:rPr>
          <w:lang w:bidi="he-IL"/>
        </w:rPr>
        <w:instrText xml:space="preserve"> ADDIN ZOTERO_ITEM CSL_CITATION {"citationID":"OPrn0G7O","properties":{"formattedCitation":"(Jebara 1996)","plainCitation":"(Jebara 1996)","noteIndex":0},"citationItems":[{"id":481,"uris":["http://zotero.org/users/local/DXBpxSa9/items/HK5UUPBX"],"uri":["http://zotero.org/users/local/DXBpxSa9/items/HK5UUPBX"],"itemData":{"id":481,"type":"article-journal","title":"Discriminative, Generative and Imitative Learning","page":"212","source":"Zotero","abstract":"I propose a common framework that combines three diﬀerent paradigms in machine learning: generative, discriminative and imitative learning. A generative probabilistic distribution is a principled way to model many machine learning and machine perception problems. Therein, one provides domain speciﬁc knowledge in terms of structure and parameter priors over the joint space of variables. Bayesian networks and Bayesian statistics provide a rich and ﬂexible language for specifying this knowledge and subsequently reﬁning it with data and observations. The ﬁnal result is a distribution that is a good generator of novel exemplars.","language":"en","author":[{"family":"Jebara","given":"Tony"}],"issued":{"date-parts":[["1996"]]}}}],"schema":"https://github.com/citation-style-language/schema/raw/master/csl-citation.json"} </w:instrText>
      </w:r>
      <w:r w:rsidR="00884992">
        <w:rPr>
          <w:lang w:bidi="he-IL"/>
        </w:rPr>
        <w:fldChar w:fldCharType="separate"/>
      </w:r>
      <w:r w:rsidR="003D3656" w:rsidRPr="003D3656">
        <w:t>(Jebara 1996)</w:t>
      </w:r>
      <w:r w:rsidR="00884992">
        <w:rPr>
          <w:lang w:bidi="he-IL"/>
        </w:rPr>
        <w:fldChar w:fldCharType="end"/>
      </w:r>
      <w:r w:rsidR="00884992">
        <w:rPr>
          <w:lang w:bidi="he-IL"/>
        </w:rPr>
        <w:t xml:space="preserve">. </w:t>
      </w:r>
      <w:r w:rsidR="00273E31">
        <w:rPr>
          <w:lang w:bidi="he-IL"/>
        </w:rPr>
        <w:t xml:space="preserve">Pro N proměnných lze v těchto modelech nalézt úplnou </w:t>
      </w:r>
      <w:r w:rsidR="003D3656">
        <w:rPr>
          <w:lang w:bidi="he-IL"/>
        </w:rPr>
        <w:t>s</w:t>
      </w:r>
      <w:r w:rsidR="00273E31">
        <w:rPr>
          <w:lang w:bidi="he-IL"/>
        </w:rPr>
        <w:t>druženou pravděpodobnost ve formě p(x</w:t>
      </w:r>
      <w:r w:rsidR="00273E31" w:rsidRPr="00F619E4">
        <w:rPr>
          <w:vertAlign w:val="subscript"/>
          <w:lang w:bidi="he-IL"/>
        </w:rPr>
        <w:t>1</w:t>
      </w:r>
      <w:r w:rsidR="00273E31">
        <w:rPr>
          <w:lang w:bidi="he-IL"/>
        </w:rPr>
        <w:t>,…..x</w:t>
      </w:r>
      <w:r w:rsidR="00273E31" w:rsidRPr="00F619E4">
        <w:rPr>
          <w:vertAlign w:val="subscript"/>
          <w:lang w:bidi="he-IL"/>
        </w:rPr>
        <w:t>n</w:t>
      </w:r>
      <w:r w:rsidR="00273E31">
        <w:rPr>
          <w:lang w:bidi="he-IL"/>
        </w:rPr>
        <w:t>). Existuje-li vyjádření takové distribuce, lze na základě této formule odvozovat další hodnoty proměnných pomocí bayesovských pravidel.</w:t>
      </w:r>
      <w:r w:rsidR="00BF2378">
        <w:rPr>
          <w:lang w:bidi="he-IL"/>
        </w:rPr>
        <w:t xml:space="preserve"> Tomuto procesu se říká inference.</w:t>
      </w:r>
      <w:r w:rsidR="00444C8F">
        <w:rPr>
          <w:lang w:bidi="he-IL"/>
        </w:rPr>
        <w:t xml:space="preserve"> Ve vztahu ke klasifikaci je to pak především pravděpodobnost p(y</w:t>
      </w:r>
      <w:r w:rsidR="00444C8F" w:rsidRPr="00444C8F">
        <w:rPr>
          <w:lang w:bidi="he-IL"/>
        </w:rPr>
        <w:t>|x</w:t>
      </w:r>
      <w:r w:rsidR="00444C8F">
        <w:rPr>
          <w:lang w:bidi="he-IL"/>
        </w:rPr>
        <w:t xml:space="preserve">), kde </w:t>
      </w:r>
      <w:r w:rsidR="00444C8F">
        <w:rPr>
          <w:i/>
          <w:iCs/>
          <w:lang w:bidi="he-IL"/>
        </w:rPr>
        <w:t>y</w:t>
      </w:r>
      <w:r w:rsidR="00395921">
        <w:rPr>
          <w:i/>
          <w:iCs/>
          <w:lang w:bidi="he-IL"/>
        </w:rPr>
        <w:t xml:space="preserve"> </w:t>
      </w:r>
      <w:r w:rsidR="00444C8F">
        <w:rPr>
          <w:lang w:bidi="he-IL"/>
        </w:rPr>
        <w:t>je třída</w:t>
      </w:r>
      <w:r w:rsidR="00850DC9">
        <w:rPr>
          <w:lang w:bidi="he-IL"/>
        </w:rPr>
        <w:t xml:space="preserve"> objektu</w:t>
      </w:r>
      <w:r w:rsidR="00444C8F">
        <w:rPr>
          <w:lang w:bidi="he-IL"/>
        </w:rPr>
        <w:t xml:space="preserve"> vzhledem k</w:t>
      </w:r>
      <w:r w:rsidR="00850DC9">
        <w:rPr>
          <w:lang w:bidi="he-IL"/>
        </w:rPr>
        <w:t xml:space="preserve"> rozdělení</w:t>
      </w:r>
      <w:r w:rsidR="00444C8F">
        <w:rPr>
          <w:lang w:bidi="he-IL"/>
        </w:rPr>
        <w:t> </w:t>
      </w:r>
      <w:r w:rsidR="00444C8F" w:rsidRPr="00444C8F">
        <w:rPr>
          <w:i/>
          <w:iCs/>
          <w:lang w:bidi="he-IL"/>
        </w:rPr>
        <w:t>x</w:t>
      </w:r>
      <w:r w:rsidR="00444C8F">
        <w:rPr>
          <w:lang w:bidi="he-IL"/>
        </w:rPr>
        <w:t xml:space="preserve">. </w:t>
      </w:r>
      <w:r w:rsidR="00444C8F">
        <w:rPr>
          <w:lang w:bidi="he-IL"/>
        </w:rPr>
        <w:fldChar w:fldCharType="begin"/>
      </w:r>
      <w:r w:rsidR="00444C8F">
        <w:rPr>
          <w:lang w:bidi="he-IL"/>
        </w:rPr>
        <w:instrText xml:space="preserve"> ADDIN ZOTERO_ITEM CSL_CITATION {"citationID":"g6QdBucy","properties":{"formattedCitation":"(Ng a Jordan nedatov\\uc0\\u225{}no)","plainCitation":"(Ng a Jordan nedatováno)","noteIndex":0},"citationItems":[{"id":274,"uris":["http://zotero.org/users/local/DXBpxSa9/items/SWT9YI2N"],"uri":["http://zotero.org/users/local/DXBpxSa9/items/SWT9YI2N"],"itemData":{"id":274,"type":"article-journal","title":"On Discriminative vs. Generative Classifiers: A comparison of logistic regression and naive Bayes","page":"8","source":"Zotero","abstract":"We compare discriminative and generative learning as typified by logistic regression and naive Bayes. We show, contrary to a widelyheld belief that discriminative classifiers are almost always to be preferred, that there can often be two distinct regimes of performance as the training set size is increased, one in which each algorithm does better. This stems from the observation- which is borne out in repeated experiments- that while discriminative learning has lower asymptotic error, a generative classifier may also approach its (higher) asymptotic error much faster.","language":"en","author":[{"family":"Ng","given":"Andrew Y"},{"family":"Jordan","given":"Michael I"}]}}],"schema":"https://github.com/citation-style-language/schema/raw/master/csl-citation.json"} </w:instrText>
      </w:r>
      <w:r w:rsidR="00444C8F">
        <w:rPr>
          <w:lang w:bidi="he-IL"/>
        </w:rPr>
        <w:fldChar w:fldCharType="separate"/>
      </w:r>
      <w:r w:rsidR="00444C8F" w:rsidRPr="00444C8F">
        <w:rPr>
          <w:rFonts w:cs="Times New Roman"/>
          <w:szCs w:val="24"/>
        </w:rPr>
        <w:t>(Ng a Jordan nedatováno)</w:t>
      </w:r>
      <w:r w:rsidR="00444C8F">
        <w:rPr>
          <w:lang w:bidi="he-IL"/>
        </w:rPr>
        <w:fldChar w:fldCharType="end"/>
      </w:r>
      <w:r w:rsidR="00444C8F">
        <w:rPr>
          <w:lang w:bidi="he-IL"/>
        </w:rPr>
        <w:t>.</w:t>
      </w:r>
      <w:r w:rsidR="00273E31">
        <w:rPr>
          <w:lang w:bidi="he-IL"/>
        </w:rPr>
        <w:t xml:space="preserve"> </w:t>
      </w:r>
      <w:r w:rsidR="00787F85">
        <w:rPr>
          <w:lang w:bidi="he-IL"/>
        </w:rPr>
        <w:t xml:space="preserve">Generativní modely existují většinou ve formě grafických modelů, mezi které patří primárně bayesovské sítě se směrovými relacemi mezi proměnnými a Markovovy modely, popřípadě Markovovy nahodilostní pole. (Jebara – google books). </w:t>
      </w:r>
      <w:r w:rsidR="00F619E4">
        <w:rPr>
          <w:lang w:bidi="he-IL"/>
        </w:rPr>
        <w:t xml:space="preserve">Na příkladu klasifikace jednociferných čísel demonstruje Revow zásadní praktický důsledek při použití generativních modelů, totiž ten, že najdeme-li generativní model pro daný systém, našli jsme i model, který je schopen generovat nové vzorky </w:t>
      </w:r>
      <w:r w:rsidR="00F619E4">
        <w:rPr>
          <w:lang w:bidi="he-IL"/>
        </w:rPr>
        <w:fldChar w:fldCharType="begin"/>
      </w:r>
      <w:r w:rsidR="00F619E4">
        <w:rPr>
          <w:lang w:bidi="he-IL"/>
        </w:rPr>
        <w:instrText xml:space="preserve"> ADDIN ZOTERO_ITEM CSL_CITATION {"citationID":"xYr2fYji","properties":{"formattedCitation":"(Michael Revow et al. 1996)","plainCitation":"(Michael Revow et al. 1996)","noteIndex":0},"citationItems":[{"id":486,"uris":["http://zotero.org/users/local/DXBpxSa9/items/WDPKK3UD"],"uri":["http://zotero.org/users/local/DXBpxSa9/items/WDPKK3UD"],"itemData":{"id":486,"type":"article-journal","title":"Using Generative Models for Handwritten Digit Recognition","container-title":"IEEE Transactions on pattern analysis and machine intelligence","page":"15","volume":"18","issue":"6","author":[{"literal":"Michael Revow"},{"literal":"Christopher K.I Williams"},{"literal":"Geoffrey E. Hinton"}],"issued":{"date-parts":[["1996"]]}}}],"schema":"https://github.com/citation-style-language/schema/raw/master/csl-citation.json"} </w:instrText>
      </w:r>
      <w:r w:rsidR="00F619E4">
        <w:rPr>
          <w:lang w:bidi="he-IL"/>
        </w:rPr>
        <w:fldChar w:fldCharType="separate"/>
      </w:r>
      <w:r w:rsidR="00F619E4" w:rsidRPr="003D3656">
        <w:t>(Michael Revow et al. 1996)</w:t>
      </w:r>
      <w:r w:rsidR="00F619E4">
        <w:rPr>
          <w:lang w:bidi="he-IL"/>
        </w:rPr>
        <w:fldChar w:fldCharType="end"/>
      </w:r>
      <w:r w:rsidR="00F619E4">
        <w:rPr>
          <w:lang w:bidi="he-IL"/>
        </w:rPr>
        <w:t>.</w:t>
      </w:r>
    </w:p>
    <w:p w:rsidR="001B67A0" w:rsidRDefault="001B67A0" w:rsidP="003D3656">
      <w:pPr>
        <w:pStyle w:val="Stadnartntext"/>
        <w:rPr>
          <w:lang w:bidi="he-IL"/>
        </w:rPr>
      </w:pPr>
    </w:p>
    <w:p w:rsidR="000B6173" w:rsidRPr="00787F85" w:rsidRDefault="00273E31" w:rsidP="003D3656">
      <w:pPr>
        <w:pStyle w:val="Stadnartntext"/>
        <w:rPr>
          <w:lang w:bidi="he-IL"/>
        </w:rPr>
      </w:pPr>
      <w:r>
        <w:rPr>
          <w:lang w:bidi="he-IL"/>
        </w:rPr>
        <w:lastRenderedPageBreak/>
        <w:tab/>
        <w:t>Diskriminativní modely se v jádru svého fungovaní snaží aproximovat ideální hranici, kter</w:t>
      </w:r>
      <w:r w:rsidR="000B6173">
        <w:rPr>
          <w:lang w:bidi="he-IL"/>
        </w:rPr>
        <w:t>á žádoucím způsobem</w:t>
      </w:r>
      <w:r>
        <w:rPr>
          <w:lang w:bidi="he-IL"/>
        </w:rPr>
        <w:t xml:space="preserve"> </w:t>
      </w:r>
      <w:r w:rsidR="000B6173">
        <w:rPr>
          <w:lang w:bidi="he-IL"/>
        </w:rPr>
        <w:t>odděluje</w:t>
      </w:r>
      <w:r w:rsidR="00F619E4">
        <w:rPr>
          <w:lang w:bidi="he-IL"/>
        </w:rPr>
        <w:t xml:space="preserve"> vícedimenzionální</w:t>
      </w:r>
      <w:r>
        <w:rPr>
          <w:lang w:bidi="he-IL"/>
        </w:rPr>
        <w:t xml:space="preserve"> datovou distribuci.</w:t>
      </w:r>
      <w:r w:rsidR="005F037B">
        <w:rPr>
          <w:lang w:bidi="he-IL"/>
        </w:rPr>
        <w:t xml:space="preserve"> Mezi diskriminativní algoritmy patří typicky neuronové sítě, support vector machines,  line</w:t>
      </w:r>
      <w:r w:rsidR="00F619E4">
        <w:rPr>
          <w:lang w:bidi="he-IL"/>
        </w:rPr>
        <w:t xml:space="preserve">ární regresní algoritmy a další </w:t>
      </w:r>
      <w:r>
        <w:rPr>
          <w:lang w:bidi="he-IL"/>
        </w:rPr>
        <w:fldChar w:fldCharType="begin"/>
      </w:r>
      <w:r w:rsidR="003D3656">
        <w:rPr>
          <w:lang w:bidi="he-IL"/>
        </w:rPr>
        <w:instrText xml:space="preserve"> ADDIN ZOTERO_ITEM CSL_CITATION {"citationID":"XD5LMBoy","properties":{"formattedCitation":"(Jebara 1996)","plainCitation":"(Jebara 1996)","noteIndex":0},"citationItems":[{"id":481,"uris":["http://zotero.org/users/local/DXBpxSa9/items/HK5UUPBX"],"uri":["http://zotero.org/users/local/DXBpxSa9/items/HK5UUPBX"],"itemData":{"id":481,"type":"article-journal","title":"Discriminative, Generative and Imitative Learning","page":"212","source":"Zotero","abstract":"I propose a common framework that combines three diﬀerent paradigms in machine learning: generative, discriminative and imitative learning. A generative probabilistic distribution is a principled way to model many machine learning and machine perception problems. Therein, one provides domain speciﬁc knowledge in terms of structure and parameter priors over the joint space of variables. Bayesian networks and Bayesian statistics provide a rich and ﬂexible language for specifying this knowledge and subsequently reﬁning it with data and observations. The ﬁnal result is a distribution that is a good generator of novel exemplars.","language":"en","author":[{"family":"Jebara","given":"Tony"}],"issued":{"date-parts":[["1996"]]}}}],"schema":"https://github.com/citation-style-language/schema/raw/master/csl-citation.json"} </w:instrText>
      </w:r>
      <w:r>
        <w:rPr>
          <w:lang w:bidi="he-IL"/>
        </w:rPr>
        <w:fldChar w:fldCharType="separate"/>
      </w:r>
      <w:r w:rsidR="003D3656" w:rsidRPr="003D3656">
        <w:t>(Jebara 1996)</w:t>
      </w:r>
      <w:r>
        <w:rPr>
          <w:lang w:bidi="he-IL"/>
        </w:rPr>
        <w:fldChar w:fldCharType="end"/>
      </w:r>
      <w:r w:rsidR="00F619E4">
        <w:rPr>
          <w:lang w:bidi="he-IL"/>
        </w:rPr>
        <w:t>. Primární užití diskriminativních algoritmů lze vidět v klasifikaci popřípadě regresi.</w:t>
      </w:r>
    </w:p>
    <w:p w:rsidR="00191F46" w:rsidRPr="00191F46" w:rsidRDefault="00191F46" w:rsidP="00191F46">
      <w:pPr>
        <w:keepNext/>
        <w:keepLines/>
        <w:spacing w:before="640" w:after="320"/>
        <w:outlineLvl w:val="1"/>
        <w:rPr>
          <w:rFonts w:ascii="Arial" w:eastAsiaTheme="majorEastAsia" w:hAnsi="Arial" w:cstheme="majorBidi"/>
          <w:b/>
          <w:color w:val="000000" w:themeColor="text1"/>
          <w:sz w:val="32"/>
          <w:szCs w:val="26"/>
        </w:rPr>
      </w:pPr>
      <w:r w:rsidRPr="00191F46">
        <w:rPr>
          <w:rFonts w:ascii="Arial" w:eastAsiaTheme="majorEastAsia" w:hAnsi="Arial" w:cstheme="majorBidi"/>
          <w:b/>
          <w:color w:val="000000" w:themeColor="text1"/>
          <w:sz w:val="32"/>
          <w:szCs w:val="26"/>
        </w:rPr>
        <w:t>Metody strojového učení</w:t>
      </w:r>
    </w:p>
    <w:p w:rsidR="000C6491" w:rsidRPr="00F619E4" w:rsidRDefault="00191F46" w:rsidP="00F619E4">
      <w:pPr>
        <w:spacing w:before="240" w:after="240" w:line="360" w:lineRule="auto"/>
        <w:jc w:val="both"/>
        <w:rPr>
          <w:rFonts w:ascii="Cambria" w:hAnsi="Cambria" w:cs="Arial"/>
          <w:sz w:val="26"/>
        </w:rPr>
      </w:pPr>
      <w:r w:rsidRPr="00191F46">
        <w:rPr>
          <w:rFonts w:ascii="Cambria" w:hAnsi="Cambria" w:cs="Arial"/>
          <w:sz w:val="26"/>
        </w:rPr>
        <w:tab/>
        <w:t>V následujících kapitolách budou postupně představeny konkrétní metody strojového učení.</w:t>
      </w:r>
      <w:r w:rsidR="00D0369F">
        <w:rPr>
          <w:rFonts w:ascii="Cambria" w:hAnsi="Cambria" w:cs="Arial"/>
          <w:sz w:val="26"/>
        </w:rPr>
        <w:t xml:space="preserve"> Vzhledem k praktické části práce je důraz kladen na představení</w:t>
      </w:r>
      <w:r w:rsidR="00F619E4">
        <w:rPr>
          <w:rFonts w:ascii="Cambria" w:hAnsi="Cambria" w:cs="Arial"/>
          <w:sz w:val="26"/>
        </w:rPr>
        <w:t xml:space="preserve"> generativních popřípadě</w:t>
      </w:r>
      <w:r w:rsidR="00D0369F">
        <w:rPr>
          <w:rFonts w:ascii="Cambria" w:hAnsi="Cambria" w:cs="Arial"/>
          <w:sz w:val="26"/>
        </w:rPr>
        <w:t xml:space="preserve"> pravděpodobnostních grafických modelů a těch, které</w:t>
      </w:r>
      <w:r w:rsidRPr="00191F46">
        <w:rPr>
          <w:rFonts w:ascii="Cambria" w:hAnsi="Cambria" w:cs="Arial"/>
          <w:sz w:val="26"/>
        </w:rPr>
        <w:t xml:space="preserve"> se dle Summervilla mohou uplatnit v rámci PCGML </w:t>
      </w:r>
      <w:r w:rsidRPr="00191F46">
        <w:rPr>
          <w:rFonts w:ascii="Cambria" w:hAnsi="Cambria" w:cs="Arial"/>
          <w:sz w:val="26"/>
        </w:rPr>
        <w:fldChar w:fldCharType="begin"/>
      </w:r>
      <w:r w:rsidR="003D3656">
        <w:rPr>
          <w:rFonts w:ascii="Cambria" w:hAnsi="Cambria" w:cs="Arial"/>
          <w:sz w:val="26"/>
        </w:rPr>
        <w:instrText xml:space="preserve"> ADDIN ZOTERO_ITEM CSL_CITATION {"citationID":"6CREefZ3","properties":{"formattedCitation":"(Summerville et al. 2017)","plainCitation":"(Summerville et al. 2017)","noteIndex":0},"citationItems":[{"id":2,"uris":["http://zotero.org/users/local/DXBpxSa9/items/YXC6SJCI"],"uri":["http://zotero.org/users/local/DXBpxSa9/items/YXC6SJCI"],"itemData":{"id":2,"type":"article-journal","title":"Procedural Content Generation via Machine Learning (PCGML)","container-title":"arXiv:1702.00539 [cs]","source":"arXiv.org","abstract":"This survey explores Procedural Content Generation via Machine Learning (PCGML), defined as the generation of game content using machine learning models trained on existing content. As the importance of PCG for game development increases, researchers explore new avenues for generating high-quality content with or without human involvement; this paper addresses the relatively new paradigm of using machine learning (in contrast with search-based, solver-based, and constructive methods). We focus on what is most often considered functional game content such as platformer levels, game maps, interactive fiction stories, and cards in collectible card games, as opposed to cosmetic content such as sprites and sound effects. In addition to using PCG for autonomous generation, co-creativity, mixed-initiative design, and compression, PCGML is suited for repair, critique, and content analysis because of its focus on modeling existing content. We discuss various data sources and representations that affect the resulting generated content. Multiple PCGML methods are covered, including neural networks, long short-term memory (LSTM) networks, autoencoders, and deep convolutional networks; Markov models, $n$-grams, and multi-dimensional Markov chains; clustering; and matrix factorization. Finally, we discuss open problems in the application of PCGML, including learning from small datasets, lack of training data, multi-layered learning, style-transfer, parameter tuning, and PCG as a game mechanic.","URL":"http://arxiv.org/abs/1702.00539","note":"arXiv: 1702.00539","author":[{"family":"Summerville","given":"Adam"},{"family":"Snodgrass","given":"Sam"},{"family":"Guzdial","given":"Matthew"},{"family":"Holmgård","given":"Christoffer"},{"family":"Hoover","given":"Amy K."},{"family":"Isaksen","given":"Aaron"},{"family":"Nealen","given":"Andy"},{"family":"Togelius","given":"Julian"}],"issued":{"date-parts":[["2017",2,1]]},"accessed":{"date-parts":[["2018",5,31]]}}}],"schema":"https://github.com/citation-style-language/schema/raw/master/csl-citation.json"} </w:instrText>
      </w:r>
      <w:r w:rsidRPr="00191F46">
        <w:rPr>
          <w:rFonts w:ascii="Cambria" w:hAnsi="Cambria" w:cs="Arial"/>
          <w:sz w:val="26"/>
        </w:rPr>
        <w:fldChar w:fldCharType="separate"/>
      </w:r>
      <w:r w:rsidRPr="00191F46">
        <w:rPr>
          <w:rFonts w:ascii="Cambria" w:hAnsi="Cambria" w:cs="Arial"/>
          <w:sz w:val="26"/>
        </w:rPr>
        <w:t>(Summerville et al. 2017)</w:t>
      </w:r>
      <w:r w:rsidRPr="00191F46">
        <w:rPr>
          <w:rFonts w:ascii="Cambria" w:hAnsi="Cambria" w:cs="Arial"/>
          <w:sz w:val="26"/>
        </w:rPr>
        <w:fldChar w:fldCharType="end"/>
      </w:r>
      <w:r w:rsidRPr="00191F46">
        <w:rPr>
          <w:rFonts w:ascii="Cambria" w:hAnsi="Cambria" w:cs="Arial"/>
          <w:sz w:val="26"/>
        </w:rPr>
        <w:t>.</w:t>
      </w:r>
    </w:p>
    <w:p w:rsidR="009215AD" w:rsidRPr="009215AD" w:rsidRDefault="00D0369F" w:rsidP="00F619E4">
      <w:pPr>
        <w:pStyle w:val="Heading3"/>
      </w:pPr>
      <w:r>
        <w:t>Pravděpodobnostní g</w:t>
      </w:r>
      <w:r w:rsidR="009215AD">
        <w:t>rafické modely</w:t>
      </w:r>
    </w:p>
    <w:p w:rsidR="00191F46" w:rsidRPr="00191F46" w:rsidRDefault="00191F46" w:rsidP="00F619E4">
      <w:pPr>
        <w:pStyle w:val="Heading3"/>
      </w:pPr>
      <w:r w:rsidRPr="00191F46">
        <w:t>Markovovy řetězce</w:t>
      </w:r>
    </w:p>
    <w:p w:rsidR="00191F46" w:rsidRPr="00191F46" w:rsidRDefault="00F619E4" w:rsidP="00F619E4">
      <w:pPr>
        <w:pStyle w:val="Heading3"/>
      </w:pPr>
      <w:r>
        <w:t>Neuronové sítě</w:t>
      </w:r>
    </w:p>
    <w:p w:rsidR="00191F46" w:rsidRPr="00191F46" w:rsidRDefault="00191F46" w:rsidP="00191F46">
      <w:pPr>
        <w:spacing w:before="240" w:after="240" w:line="360" w:lineRule="auto"/>
        <w:jc w:val="both"/>
        <w:rPr>
          <w:rFonts w:ascii="Cambria" w:hAnsi="Cambria" w:cs="Arial"/>
          <w:sz w:val="26"/>
        </w:rPr>
      </w:pPr>
      <w:r w:rsidRPr="00191F46">
        <w:rPr>
          <w:rFonts w:ascii="Cambria" w:hAnsi="Cambria" w:cs="Arial"/>
          <w:sz w:val="26"/>
        </w:rPr>
        <w:tab/>
        <w:t xml:space="preserve">Neuronové sítě jsou jednou z často používaných metod strojového učení. Je to aparát, který má charakter funkce a lze jej popsat jako </w:t>
      </w:r>
      <w:r w:rsidRPr="00191F46">
        <w:rPr>
          <w:rFonts w:ascii="Cambria" w:hAnsi="Cambria" w:cs="Arial"/>
          <w:i/>
          <w:sz w:val="26"/>
        </w:rPr>
        <w:t>masivně paralelní procesor</w:t>
      </w:r>
      <w:r w:rsidRPr="00191F46">
        <w:rPr>
          <w:rFonts w:ascii="Cambria" w:hAnsi="Cambria" w:cs="Arial"/>
          <w:sz w:val="26"/>
        </w:rPr>
        <w:t xml:space="preserve">. Mnohačetným předkládáním </w:t>
      </w:r>
      <w:r w:rsidRPr="00191F46">
        <w:rPr>
          <w:rFonts w:ascii="Cambria" w:hAnsi="Cambria" w:cs="Arial"/>
          <w:i/>
          <w:sz w:val="26"/>
        </w:rPr>
        <w:t>m</w:t>
      </w:r>
      <w:r w:rsidRPr="00191F46">
        <w:rPr>
          <w:rFonts w:ascii="Cambria" w:hAnsi="Cambria" w:cs="Arial"/>
          <w:sz w:val="26"/>
        </w:rPr>
        <w:t xml:space="preserve"> vzorů do neuronové sítě je možné adaptovat funkční parametry jednotlivých neuronů [</w:t>
      </w:r>
      <m:oMath>
        <m:sSub>
          <m:sSubPr>
            <m:ctrlPr>
              <w:rPr>
                <w:rFonts w:ascii="Cambria Math" w:hAnsi="Cambria Math" w:cs="Arial"/>
                <w:i/>
                <w:sz w:val="26"/>
              </w:rPr>
            </m:ctrlPr>
          </m:sSubPr>
          <m:e>
            <m:r>
              <w:rPr>
                <w:rFonts w:ascii="Cambria Math" w:hAnsi="Cambria Math" w:cs="Arial"/>
                <w:sz w:val="26"/>
              </w:rPr>
              <m:t>w</m:t>
            </m:r>
          </m:e>
          <m:sub>
            <m:r>
              <w:rPr>
                <w:rFonts w:ascii="Cambria Math" w:hAnsi="Cambria Math" w:cs="Arial"/>
                <w:sz w:val="26"/>
              </w:rPr>
              <m:t>i</m:t>
            </m:r>
          </m:sub>
        </m:sSub>
        <m:r>
          <w:rPr>
            <w:rFonts w:ascii="Cambria Math" w:hAnsi="Cambria Math" w:cs="Arial"/>
            <w:sz w:val="26"/>
          </w:rPr>
          <m:t xml:space="preserve"> , θ</m:t>
        </m:r>
      </m:oMath>
      <w:r w:rsidRPr="00191F46">
        <w:rPr>
          <w:rFonts w:ascii="Cambria" w:hAnsi="Cambria" w:cs="Arial"/>
          <w:sz w:val="26"/>
        </w:rPr>
        <w:t xml:space="preserve">] tak, že vznikne obecně použitý model pro klasifikaci či predikci dat na základě nového vektoru vstupních hodnot. Tento proces adapatace je chápán jako učení </w:t>
      </w:r>
      <w:r w:rsidR="00F619E4">
        <w:rPr>
          <w:rFonts w:ascii="Cambria" w:hAnsi="Cambria" w:cs="Arial"/>
          <w:sz w:val="26"/>
        </w:rPr>
        <w:t>neuronové sítě</w:t>
      </w:r>
      <w:r w:rsidRPr="00191F46">
        <w:rPr>
          <w:rFonts w:ascii="Cambria" w:hAnsi="Cambria" w:cs="Arial"/>
          <w:sz w:val="26"/>
        </w:rPr>
        <w:t>. Implementace tohoto učení stojí na minimalizaci chybové funkce [</w:t>
      </w:r>
      <m:oMath>
        <m:sSub>
          <m:sSubPr>
            <m:ctrlPr>
              <w:rPr>
                <w:rFonts w:ascii="Cambria Math" w:hAnsi="Cambria Math" w:cs="Arial"/>
                <w:i/>
                <w:sz w:val="26"/>
              </w:rPr>
            </m:ctrlPr>
          </m:sSubPr>
          <m:e>
            <m:r>
              <w:rPr>
                <w:rFonts w:ascii="Cambria Math" w:hAnsi="Cambria Math" w:cs="Arial"/>
                <w:sz w:val="26"/>
              </w:rPr>
              <m:t>E</m:t>
            </m:r>
          </m:e>
          <m:sub>
            <m:r>
              <w:rPr>
                <w:rFonts w:ascii="Cambria Math" w:hAnsi="Cambria Math" w:cs="Arial"/>
                <w:sz w:val="26"/>
              </w:rPr>
              <m:t>t</m:t>
            </m:r>
          </m:sub>
        </m:sSub>
      </m:oMath>
      <w:r w:rsidRPr="00191F46">
        <w:rPr>
          <w:rFonts w:ascii="Cambria" w:hAnsi="Cambria" w:cs="Arial"/>
          <w:sz w:val="26"/>
        </w:rPr>
        <w:t xml:space="preserve">], která agreguje rozdíl výstupních výsledných hodnot vyprodukovaných neuronovou sítí </w:t>
      </w:r>
      <m:oMath>
        <m:r>
          <w:rPr>
            <w:rFonts w:ascii="Cambria Math" w:hAnsi="Cambria Math" w:cs="Arial"/>
            <w:sz w:val="26"/>
          </w:rPr>
          <m:t>[</m:t>
        </m:r>
        <m:sSub>
          <m:sSubPr>
            <m:ctrlPr>
              <w:rPr>
                <w:rFonts w:ascii="Cambria Math" w:hAnsi="Cambria Math" w:cs="Arial"/>
                <w:i/>
                <w:sz w:val="26"/>
              </w:rPr>
            </m:ctrlPr>
          </m:sSubPr>
          <m:e>
            <m:acc>
              <m:accPr>
                <m:ctrlPr>
                  <w:rPr>
                    <w:rFonts w:ascii="Cambria Math" w:hAnsi="Cambria Math" w:cs="Arial"/>
                    <w:i/>
                    <w:sz w:val="26"/>
                  </w:rPr>
                </m:ctrlPr>
              </m:accPr>
              <m:e>
                <m:r>
                  <w:rPr>
                    <w:rFonts w:ascii="Cambria Math" w:hAnsi="Cambria Math" w:cs="Arial"/>
                    <w:sz w:val="26"/>
                  </w:rPr>
                  <m:t>y</m:t>
                </m:r>
              </m:e>
            </m:acc>
          </m:e>
          <m:sub>
            <m:r>
              <w:rPr>
                <w:rFonts w:ascii="Cambria Math" w:hAnsi="Cambria Math" w:cs="Arial"/>
                <w:sz w:val="26"/>
              </w:rPr>
              <m:t>k</m:t>
            </m:r>
          </m:sub>
        </m:sSub>
        <m:d>
          <m:dPr>
            <m:ctrlPr>
              <w:rPr>
                <w:rFonts w:ascii="Cambria Math" w:hAnsi="Cambria Math" w:cs="Arial"/>
                <w:i/>
                <w:sz w:val="26"/>
              </w:rPr>
            </m:ctrlPr>
          </m:dPr>
          <m:e>
            <m:r>
              <w:rPr>
                <w:rFonts w:ascii="Cambria Math" w:hAnsi="Cambria Math" w:cs="Arial"/>
                <w:sz w:val="26"/>
              </w:rPr>
              <m:t>t</m:t>
            </m:r>
          </m:e>
        </m:d>
        <m:r>
          <w:rPr>
            <w:rFonts w:ascii="Cambria Math" w:hAnsi="Cambria Math" w:cs="Arial"/>
            <w:sz w:val="26"/>
          </w:rPr>
          <m:t>]</m:t>
        </m:r>
      </m:oMath>
      <w:r w:rsidRPr="00191F46">
        <w:rPr>
          <w:rFonts w:ascii="Cambria" w:hAnsi="Cambria" w:cs="Arial"/>
          <w:sz w:val="26"/>
        </w:rPr>
        <w:t xml:space="preserve"> s výslednými hodnotami pro konkrétní vzor [</w:t>
      </w:r>
      <m:oMath>
        <m:sSub>
          <m:sSubPr>
            <m:ctrlPr>
              <w:rPr>
                <w:rFonts w:ascii="Cambria Math" w:hAnsi="Cambria Math" w:cs="Arial"/>
                <w:i/>
                <w:sz w:val="26"/>
              </w:rPr>
            </m:ctrlPr>
          </m:sSubPr>
          <m:e>
            <m:r>
              <w:rPr>
                <w:rFonts w:ascii="Cambria Math" w:hAnsi="Cambria Math" w:cs="Arial"/>
                <w:sz w:val="26"/>
              </w:rPr>
              <m:t>y</m:t>
            </m:r>
          </m:e>
          <m:sub>
            <m:r>
              <w:rPr>
                <w:rFonts w:ascii="Cambria Math" w:hAnsi="Cambria Math" w:cs="Arial"/>
                <w:sz w:val="26"/>
              </w:rPr>
              <m:t>k</m:t>
            </m:r>
          </m:sub>
        </m:sSub>
      </m:oMath>
      <w:r w:rsidRPr="00191F46">
        <w:rPr>
          <w:rFonts w:ascii="Cambria" w:hAnsi="Cambria" w:cs="Arial"/>
          <w:sz w:val="26"/>
        </w:rPr>
        <w:t xml:space="preserve">] </w:t>
      </w:r>
      <w:r w:rsidRPr="00191F46">
        <w:rPr>
          <w:rFonts w:ascii="Cambria" w:hAnsi="Cambria" w:cs="Arial"/>
          <w:sz w:val="26"/>
        </w:rPr>
        <w:fldChar w:fldCharType="begin"/>
      </w:r>
      <w:r w:rsidR="003D3656">
        <w:rPr>
          <w:rFonts w:ascii="Cambria" w:hAnsi="Cambria" w:cs="Arial"/>
          <w:sz w:val="26"/>
        </w:rPr>
        <w:instrText xml:space="preserve"> ADDIN ZOTERO_ITEM CSL_CITATION {"citationID":"5kUXKvYM","properties":{"formattedCitation":"(Vladim\\uc0\\u237{}r Olej a H\\uc0\\u225{}jek Petr 2010)","plainCitation":"(Vladimír Olej a Hájek Petr 2010)","noteIndex":0},"citationItems":[{"id":"hA0wgkxk/UqjVOKH2","uris":["http://zotero.org/users/local/IbRhotwj/items/7KQBQP9T"],"uri":["http://zotero.org/users/local/IbRhotwj/items/7KQBQP9T"],"itemData":{"id":155,"type":"book","title":"Úvod do umělé inteligence","publisher":"Univerzita Pardubice Fakulta ekonomicko-správní","abstract":"Hájek","ISBN":"978-80-7395-307-2","author":[{"literal":"Vladimír Olej"},{"literal":"Hájek Petr"}],"issued":{"date-parts":[["2010"]]}}}],"schema":"https://github.com/citation-style-language/schema/raw/master/csl-citation.json"} </w:instrText>
      </w:r>
      <w:r w:rsidRPr="00191F46">
        <w:rPr>
          <w:rFonts w:ascii="Cambria" w:hAnsi="Cambria" w:cs="Arial"/>
          <w:sz w:val="26"/>
        </w:rPr>
        <w:fldChar w:fldCharType="separate"/>
      </w:r>
      <w:r w:rsidRPr="00191F46">
        <w:rPr>
          <w:rFonts w:ascii="Cambria" w:hAnsi="Cambria" w:cs="Times New Roman"/>
          <w:sz w:val="26"/>
          <w:szCs w:val="24"/>
        </w:rPr>
        <w:t>(Vladimír Olej a Hájek Petr 2010)</w:t>
      </w:r>
      <w:r w:rsidRPr="00191F46">
        <w:rPr>
          <w:rFonts w:ascii="Cambria" w:hAnsi="Cambria" w:cs="Arial"/>
          <w:sz w:val="26"/>
        </w:rPr>
        <w:fldChar w:fldCharType="end"/>
      </w:r>
      <w:r w:rsidRPr="00191F46">
        <w:rPr>
          <w:rFonts w:ascii="Cambria" w:hAnsi="Cambria" w:cs="Arial"/>
          <w:sz w:val="26"/>
        </w:rPr>
        <w:t>.</w:t>
      </w:r>
    </w:p>
    <w:p w:rsidR="00191F46" w:rsidRPr="00191F46" w:rsidRDefault="00EF3F70" w:rsidP="00191F46">
      <w:pPr>
        <w:spacing w:before="240" w:after="240" w:line="360" w:lineRule="auto"/>
        <w:jc w:val="both"/>
        <w:rPr>
          <w:rFonts w:ascii="Cambria" w:eastAsiaTheme="minorEastAsia" w:hAnsi="Cambria" w:cs="Arial"/>
          <w:sz w:val="26"/>
        </w:rPr>
      </w:pPr>
      <m:oMathPara>
        <m:oMath>
          <m:sSub>
            <m:sSubPr>
              <m:ctrlPr>
                <w:rPr>
                  <w:rFonts w:ascii="Cambria Math" w:hAnsi="Cambria Math" w:cs="Arial"/>
                  <w:i/>
                  <w:sz w:val="26"/>
                </w:rPr>
              </m:ctrlPr>
            </m:sSubPr>
            <m:e>
              <m:r>
                <w:rPr>
                  <w:rFonts w:ascii="Cambria Math" w:hAnsi="Cambria Math" w:cs="Arial"/>
                  <w:sz w:val="26"/>
                </w:rPr>
                <m:t>E</m:t>
              </m:r>
            </m:e>
            <m:sub>
              <m:r>
                <w:rPr>
                  <w:rFonts w:ascii="Cambria Math" w:hAnsi="Cambria Math" w:cs="Arial"/>
                  <w:sz w:val="26"/>
                </w:rPr>
                <m:t>t</m:t>
              </m:r>
            </m:sub>
          </m:sSub>
          <m:r>
            <w:rPr>
              <w:rFonts w:ascii="Cambria Math" w:hAnsi="Cambria Math" w:cs="Arial"/>
              <w:sz w:val="26"/>
            </w:rPr>
            <m:t>=</m:t>
          </m:r>
          <m:f>
            <m:fPr>
              <m:ctrlPr>
                <w:rPr>
                  <w:rFonts w:ascii="Cambria Math" w:hAnsi="Cambria Math" w:cs="Arial"/>
                  <w:i/>
                  <w:sz w:val="26"/>
                </w:rPr>
              </m:ctrlPr>
            </m:fPr>
            <m:num>
              <m:r>
                <w:rPr>
                  <w:rFonts w:ascii="Cambria Math" w:hAnsi="Cambria Math" w:cs="Arial"/>
                  <w:sz w:val="26"/>
                </w:rPr>
                <m:t>1</m:t>
              </m:r>
            </m:num>
            <m:den>
              <m:r>
                <w:rPr>
                  <w:rFonts w:ascii="Cambria Math" w:hAnsi="Cambria Math" w:cs="Arial"/>
                  <w:sz w:val="26"/>
                </w:rPr>
                <m:t>2</m:t>
              </m:r>
            </m:den>
          </m:f>
          <m:nary>
            <m:naryPr>
              <m:chr m:val="∑"/>
              <m:limLoc m:val="undOvr"/>
              <m:ctrlPr>
                <w:rPr>
                  <w:rFonts w:ascii="Cambria Math" w:hAnsi="Cambria Math" w:cs="Arial"/>
                  <w:i/>
                  <w:sz w:val="26"/>
                </w:rPr>
              </m:ctrlPr>
            </m:naryPr>
            <m:sub>
              <m:r>
                <w:rPr>
                  <w:rFonts w:ascii="Cambria Math" w:hAnsi="Cambria Math" w:cs="Arial"/>
                  <w:sz w:val="26"/>
                </w:rPr>
                <m:t>k=1</m:t>
              </m:r>
            </m:sub>
            <m:sup>
              <m:r>
                <w:rPr>
                  <w:rFonts w:ascii="Cambria Math" w:hAnsi="Cambria Math" w:cs="Arial"/>
                  <w:sz w:val="26"/>
                </w:rPr>
                <m:t>m</m:t>
              </m:r>
            </m:sup>
            <m:e>
              <m:sSup>
                <m:sSupPr>
                  <m:ctrlPr>
                    <w:rPr>
                      <w:rFonts w:ascii="Cambria Math" w:hAnsi="Cambria Math" w:cs="Arial"/>
                      <w:i/>
                      <w:sz w:val="26"/>
                    </w:rPr>
                  </m:ctrlPr>
                </m:sSupPr>
                <m:e>
                  <m:r>
                    <w:rPr>
                      <w:rFonts w:ascii="Cambria Math" w:hAnsi="Cambria Math" w:cs="Arial"/>
                      <w:sz w:val="26"/>
                    </w:rPr>
                    <m:t>[</m:t>
                  </m:r>
                  <m:sSub>
                    <m:sSubPr>
                      <m:ctrlPr>
                        <w:rPr>
                          <w:rFonts w:ascii="Cambria Math" w:hAnsi="Cambria Math" w:cs="Arial"/>
                          <w:i/>
                          <w:sz w:val="26"/>
                        </w:rPr>
                      </m:ctrlPr>
                    </m:sSubPr>
                    <m:e>
                      <m:acc>
                        <m:accPr>
                          <m:ctrlPr>
                            <w:rPr>
                              <w:rFonts w:ascii="Cambria Math" w:hAnsi="Cambria Math" w:cs="Arial"/>
                              <w:i/>
                              <w:sz w:val="26"/>
                            </w:rPr>
                          </m:ctrlPr>
                        </m:accPr>
                        <m:e>
                          <m:r>
                            <w:rPr>
                              <w:rFonts w:ascii="Cambria Math" w:hAnsi="Cambria Math" w:cs="Arial"/>
                              <w:sz w:val="26"/>
                            </w:rPr>
                            <m:t>y</m:t>
                          </m:r>
                        </m:e>
                      </m:acc>
                    </m:e>
                    <m:sub>
                      <m:r>
                        <w:rPr>
                          <w:rFonts w:ascii="Cambria Math" w:hAnsi="Cambria Math" w:cs="Arial"/>
                          <w:sz w:val="26"/>
                        </w:rPr>
                        <m:t>k</m:t>
                      </m:r>
                    </m:sub>
                  </m:sSub>
                  <m:d>
                    <m:dPr>
                      <m:ctrlPr>
                        <w:rPr>
                          <w:rFonts w:ascii="Cambria Math" w:hAnsi="Cambria Math" w:cs="Arial"/>
                          <w:i/>
                          <w:sz w:val="26"/>
                        </w:rPr>
                      </m:ctrlPr>
                    </m:dPr>
                    <m:e>
                      <m:r>
                        <w:rPr>
                          <w:rFonts w:ascii="Cambria Math" w:hAnsi="Cambria Math" w:cs="Arial"/>
                          <w:sz w:val="26"/>
                        </w:rPr>
                        <m:t>t</m:t>
                      </m:r>
                    </m:e>
                  </m:d>
                  <m:r>
                    <w:rPr>
                      <w:rFonts w:ascii="Cambria Math" w:hAnsi="Cambria Math" w:cs="Arial"/>
                      <w:sz w:val="26"/>
                    </w:rPr>
                    <m:t>-</m:t>
                  </m:r>
                  <m:sSub>
                    <m:sSubPr>
                      <m:ctrlPr>
                        <w:rPr>
                          <w:rFonts w:ascii="Cambria Math" w:hAnsi="Cambria Math" w:cs="Arial"/>
                          <w:i/>
                          <w:sz w:val="26"/>
                        </w:rPr>
                      </m:ctrlPr>
                    </m:sSubPr>
                    <m:e>
                      <m:r>
                        <w:rPr>
                          <w:rFonts w:ascii="Cambria Math" w:hAnsi="Cambria Math" w:cs="Arial"/>
                          <w:sz w:val="26"/>
                        </w:rPr>
                        <m:t>y</m:t>
                      </m:r>
                    </m:e>
                    <m:sub>
                      <m:r>
                        <w:rPr>
                          <w:rFonts w:ascii="Cambria Math" w:hAnsi="Cambria Math" w:cs="Arial"/>
                          <w:sz w:val="26"/>
                        </w:rPr>
                        <m:t>k</m:t>
                      </m:r>
                    </m:sub>
                  </m:sSub>
                  <m:r>
                    <w:rPr>
                      <w:rFonts w:ascii="Cambria Math" w:hAnsi="Cambria Math" w:cs="Arial"/>
                      <w:sz w:val="26"/>
                    </w:rPr>
                    <m:t>]</m:t>
                  </m:r>
                </m:e>
                <m:sup>
                  <m:r>
                    <w:rPr>
                      <w:rFonts w:ascii="Cambria Math" w:hAnsi="Cambria Math" w:cs="Arial"/>
                      <w:sz w:val="26"/>
                    </w:rPr>
                    <m:t>2</m:t>
                  </m:r>
                </m:sup>
              </m:sSup>
            </m:e>
          </m:nary>
        </m:oMath>
      </m:oMathPara>
    </w:p>
    <w:p w:rsidR="00191F46" w:rsidRPr="00191F46" w:rsidRDefault="00191F46" w:rsidP="00191F46">
      <w:pPr>
        <w:spacing w:after="200" w:line="360" w:lineRule="auto"/>
        <w:jc w:val="center"/>
        <w:rPr>
          <w:rFonts w:ascii="Cambria" w:hAnsi="Cambria"/>
          <w:i/>
          <w:iCs/>
          <w:sz w:val="20"/>
          <w:szCs w:val="18"/>
        </w:rPr>
      </w:pPr>
      <w:r w:rsidRPr="00191F46">
        <w:rPr>
          <w:rFonts w:ascii="Cambria" w:hAnsi="Cambria"/>
          <w:i/>
          <w:iCs/>
          <w:sz w:val="20"/>
          <w:szCs w:val="18"/>
        </w:rPr>
        <w:t xml:space="preserve">Rovnice </w:t>
      </w:r>
      <w:r w:rsidRPr="00191F46">
        <w:rPr>
          <w:rFonts w:ascii="Cambria" w:hAnsi="Cambria"/>
          <w:i/>
          <w:iCs/>
          <w:sz w:val="20"/>
          <w:szCs w:val="18"/>
        </w:rPr>
        <w:fldChar w:fldCharType="begin"/>
      </w:r>
      <w:r w:rsidRPr="00191F46">
        <w:rPr>
          <w:rFonts w:ascii="Cambria" w:hAnsi="Cambria"/>
          <w:i/>
          <w:iCs/>
          <w:sz w:val="20"/>
          <w:szCs w:val="18"/>
        </w:rPr>
        <w:instrText xml:space="preserve"> SEQ Rovnice \* ARABIC </w:instrText>
      </w:r>
      <w:r w:rsidRPr="00191F46">
        <w:rPr>
          <w:rFonts w:ascii="Cambria" w:hAnsi="Cambria"/>
          <w:i/>
          <w:iCs/>
          <w:sz w:val="20"/>
          <w:szCs w:val="18"/>
        </w:rPr>
        <w:fldChar w:fldCharType="separate"/>
      </w:r>
      <w:r w:rsidRPr="00191F46">
        <w:rPr>
          <w:rFonts w:ascii="Cambria" w:hAnsi="Cambria"/>
          <w:i/>
          <w:iCs/>
          <w:noProof/>
          <w:sz w:val="20"/>
          <w:szCs w:val="18"/>
        </w:rPr>
        <w:t>1</w:t>
      </w:r>
      <w:r w:rsidRPr="00191F46">
        <w:rPr>
          <w:rFonts w:ascii="Cambria" w:hAnsi="Cambria"/>
          <w:i/>
          <w:iCs/>
          <w:sz w:val="20"/>
          <w:szCs w:val="18"/>
        </w:rPr>
        <w:fldChar w:fldCharType="end"/>
      </w:r>
      <w:r w:rsidRPr="00191F46">
        <w:rPr>
          <w:rFonts w:ascii="Cambria" w:hAnsi="Cambria"/>
          <w:i/>
          <w:iCs/>
          <w:sz w:val="20"/>
          <w:szCs w:val="18"/>
        </w:rPr>
        <w:t xml:space="preserve"> chybová funkce množiny předkládaných vzorů (neuronová síť s dvěmi a více výstupními neurony)</w:t>
      </w:r>
    </w:p>
    <w:p w:rsidR="00191F46" w:rsidRPr="00191F46" w:rsidRDefault="00191F46" w:rsidP="00191F46">
      <w:pPr>
        <w:spacing w:before="240" w:after="240" w:line="360" w:lineRule="auto"/>
        <w:ind w:firstLine="708"/>
        <w:jc w:val="both"/>
        <w:rPr>
          <w:rFonts w:ascii="Cambria" w:hAnsi="Cambria" w:cs="Arial"/>
          <w:sz w:val="26"/>
        </w:rPr>
      </w:pPr>
      <w:r w:rsidRPr="00191F46">
        <w:rPr>
          <w:rFonts w:ascii="Cambria" w:hAnsi="Cambria" w:cs="Arial"/>
          <w:sz w:val="26"/>
        </w:rPr>
        <w:t xml:space="preserve">Přestože existují různé varianty a topologie neuronových sítí, základní principy korelují </w:t>
      </w:r>
      <w:r w:rsidRPr="00191F46">
        <w:rPr>
          <w:rFonts w:ascii="Cambria" w:hAnsi="Cambria" w:cs="Arial"/>
          <w:sz w:val="26"/>
        </w:rPr>
        <w:fldChar w:fldCharType="begin"/>
      </w:r>
      <w:r w:rsidR="003D3656">
        <w:rPr>
          <w:rFonts w:ascii="Cambria" w:hAnsi="Cambria" w:cs="Arial"/>
          <w:sz w:val="26"/>
        </w:rPr>
        <w:instrText xml:space="preserve"> ADDIN ZOTERO_ITEM CSL_CITATION {"citationID":"3MatGFA7","properties":{"formattedCitation":"(Tu\\uc0\\u269{}kov\\uc0\\u225{} 2003)","plainCitation":"(Tučková 2003)","noteIndex":0},"citationItems":[{"id":"hA0wgkxk/URkK9FjJ","uris":["http://zotero.org/users/local/IbRhotwj/items/7J6RTQD3"],"uri":["http://zotero.org/users/local/IbRhotwj/items/7J6RTQD3"],"itemData":{"id":156,"type":"book","title":"Úvod do teorie a aplikací umělých neuronových sítí","publisher":"ČVUT","ISBN":"80-01-02800-3","author":[{"family":"Tučková","given":"Jana"}],"issued":{"date-parts":[["2003"]]}}}],"schema":"https://github.com/citation-style-language/schema/raw/master/csl-citation.json"} </w:instrText>
      </w:r>
      <w:r w:rsidRPr="00191F46">
        <w:rPr>
          <w:rFonts w:ascii="Cambria" w:hAnsi="Cambria" w:cs="Arial"/>
          <w:sz w:val="26"/>
        </w:rPr>
        <w:fldChar w:fldCharType="separate"/>
      </w:r>
      <w:r w:rsidRPr="00191F46">
        <w:rPr>
          <w:rFonts w:ascii="Cambria" w:hAnsi="Cambria" w:cs="Times New Roman"/>
          <w:sz w:val="26"/>
          <w:szCs w:val="24"/>
        </w:rPr>
        <w:t>(Tučková 2003)</w:t>
      </w:r>
      <w:r w:rsidRPr="00191F46">
        <w:rPr>
          <w:rFonts w:ascii="Cambria" w:hAnsi="Cambria" w:cs="Arial"/>
          <w:sz w:val="26"/>
        </w:rPr>
        <w:fldChar w:fldCharType="end"/>
      </w:r>
      <w:r w:rsidRPr="00191F46">
        <w:rPr>
          <w:rFonts w:ascii="Cambria" w:hAnsi="Cambria" w:cs="Arial"/>
          <w:sz w:val="26"/>
        </w:rPr>
        <w:t>.</w:t>
      </w:r>
    </w:p>
    <w:p w:rsidR="00191F46" w:rsidRPr="00191F46" w:rsidRDefault="00191F46" w:rsidP="00191F46">
      <w:pPr>
        <w:spacing w:before="240" w:after="240" w:line="360" w:lineRule="auto"/>
        <w:jc w:val="both"/>
        <w:rPr>
          <w:rFonts w:ascii="Cambria" w:eastAsiaTheme="minorEastAsia" w:hAnsi="Cambria" w:cs="Arial"/>
          <w:sz w:val="26"/>
        </w:rPr>
      </w:pPr>
      <w:r w:rsidRPr="00191F46">
        <w:rPr>
          <w:rFonts w:ascii="Cambria" w:hAnsi="Cambria" w:cs="Arial"/>
          <w:sz w:val="26"/>
        </w:rPr>
        <w:tab/>
        <w:t xml:space="preserve">Stavebním elementem neuronových sítí je neuron, jež si lze představit jako funkci na jejímž vstupu je vektor hodnot, které vyšly z předcházející vrstvy neuronové sítě (NS) a na jejím výstupu skalární hodnota, jež figuruje jako vstup pro další vrstvy popřípadě jako výstup neuronové sítě. Vstupní vektor je nejprve agregován do skalární hodnoty, která je následně vstupem do aktivační funkce. Ta převede vstupní hodnotu do výstupní hodnoty celého neuronu. Parametr </w:t>
      </w:r>
      <m:oMath>
        <m:r>
          <w:rPr>
            <w:rFonts w:ascii="Cambria Math" w:hAnsi="Cambria Math" w:cs="Arial"/>
            <w:sz w:val="26"/>
          </w:rPr>
          <m:t>θ</m:t>
        </m:r>
      </m:oMath>
      <w:r w:rsidRPr="00191F46">
        <w:rPr>
          <w:rFonts w:ascii="Cambria" w:eastAsiaTheme="minorEastAsia" w:hAnsi="Cambria" w:cs="Arial"/>
          <w:sz w:val="26"/>
        </w:rPr>
        <w:t xml:space="preserve"> přidává prahovou hodnotu neuronu (bias), která přispívá k aktivizaci neuronu. </w:t>
      </w:r>
    </w:p>
    <w:p w:rsidR="00191F46" w:rsidRPr="00191F46" w:rsidRDefault="00191F46" w:rsidP="00191F46">
      <w:pPr>
        <w:spacing w:before="240" w:after="240" w:line="360" w:lineRule="auto"/>
        <w:jc w:val="both"/>
        <w:rPr>
          <w:rFonts w:ascii="Cambria" w:eastAsiaTheme="minorEastAsia" w:hAnsi="Cambria" w:cs="Arial"/>
          <w:sz w:val="26"/>
        </w:rPr>
      </w:pPr>
      <m:oMathPara>
        <m:oMath>
          <m:r>
            <w:rPr>
              <w:rFonts w:ascii="Cambria Math" w:hAnsi="Cambria Math" w:cs="Arial"/>
              <w:sz w:val="26"/>
            </w:rPr>
            <m:t>y=</m:t>
          </m:r>
          <m:nary>
            <m:naryPr>
              <m:chr m:val="∑"/>
              <m:limLoc m:val="undOvr"/>
              <m:ctrlPr>
                <w:rPr>
                  <w:rFonts w:ascii="Cambria Math" w:hAnsi="Cambria Math" w:cs="Arial"/>
                  <w:i/>
                  <w:sz w:val="26"/>
                </w:rPr>
              </m:ctrlPr>
            </m:naryPr>
            <m:sub>
              <m:r>
                <w:rPr>
                  <w:rFonts w:ascii="Cambria Math" w:hAnsi="Cambria Math" w:cs="Arial"/>
                  <w:sz w:val="26"/>
                </w:rPr>
                <m:t>1</m:t>
              </m:r>
            </m:sub>
            <m:sup>
              <m:r>
                <w:rPr>
                  <w:rFonts w:ascii="Cambria Math" w:hAnsi="Cambria Math" w:cs="Arial"/>
                  <w:sz w:val="26"/>
                </w:rPr>
                <m:t>n</m:t>
              </m:r>
            </m:sup>
            <m:e>
              <m:sSub>
                <m:sSubPr>
                  <m:ctrlPr>
                    <w:rPr>
                      <w:rFonts w:ascii="Cambria Math" w:hAnsi="Cambria Math" w:cs="Arial"/>
                      <w:i/>
                      <w:sz w:val="26"/>
                    </w:rPr>
                  </m:ctrlPr>
                </m:sSubPr>
                <m:e>
                  <m:r>
                    <w:rPr>
                      <w:rFonts w:ascii="Cambria Math" w:hAnsi="Cambria Math" w:cs="Arial"/>
                      <w:sz w:val="26"/>
                    </w:rPr>
                    <m:t>x</m:t>
                  </m:r>
                </m:e>
                <m:sub>
                  <m:r>
                    <w:rPr>
                      <w:rFonts w:ascii="Cambria Math" w:hAnsi="Cambria Math" w:cs="Arial"/>
                      <w:sz w:val="26"/>
                    </w:rPr>
                    <m:t>i</m:t>
                  </m:r>
                </m:sub>
              </m:sSub>
              <m:sSub>
                <m:sSubPr>
                  <m:ctrlPr>
                    <w:rPr>
                      <w:rFonts w:ascii="Cambria Math" w:hAnsi="Cambria Math" w:cs="Arial"/>
                      <w:i/>
                      <w:sz w:val="26"/>
                    </w:rPr>
                  </m:ctrlPr>
                </m:sSubPr>
                <m:e>
                  <m:r>
                    <w:rPr>
                      <w:rFonts w:ascii="Cambria Math" w:hAnsi="Cambria Math" w:cs="Arial"/>
                      <w:sz w:val="26"/>
                    </w:rPr>
                    <m:t>w</m:t>
                  </m:r>
                </m:e>
                <m:sub>
                  <m:r>
                    <w:rPr>
                      <w:rFonts w:ascii="Cambria Math" w:hAnsi="Cambria Math" w:cs="Arial"/>
                      <w:sz w:val="26"/>
                    </w:rPr>
                    <m:t>i</m:t>
                  </m:r>
                </m:sub>
              </m:sSub>
              <m:r>
                <w:rPr>
                  <w:rFonts w:ascii="Cambria Math" w:hAnsi="Cambria Math" w:cs="Arial"/>
                  <w:sz w:val="26"/>
                </w:rPr>
                <m:t>+θ</m:t>
              </m:r>
            </m:e>
          </m:nary>
        </m:oMath>
      </m:oMathPara>
    </w:p>
    <w:p w:rsidR="00191F46" w:rsidRPr="00191F46" w:rsidRDefault="00191F46" w:rsidP="00191F46">
      <w:pPr>
        <w:keepNext/>
        <w:spacing w:after="200" w:line="360" w:lineRule="auto"/>
        <w:jc w:val="center"/>
        <w:rPr>
          <w:rFonts w:ascii="Cambria" w:hAnsi="Cambria"/>
          <w:i/>
          <w:iCs/>
          <w:sz w:val="20"/>
          <w:szCs w:val="18"/>
        </w:rPr>
      </w:pPr>
      <w:r w:rsidRPr="00191F46">
        <w:rPr>
          <w:rFonts w:ascii="Cambria" w:hAnsi="Cambria"/>
          <w:i/>
          <w:iCs/>
          <w:sz w:val="20"/>
          <w:szCs w:val="18"/>
        </w:rPr>
        <w:t xml:space="preserve">Rovnice </w:t>
      </w:r>
      <w:r w:rsidRPr="00191F46">
        <w:rPr>
          <w:rFonts w:ascii="Cambria" w:hAnsi="Cambria"/>
          <w:i/>
          <w:iCs/>
          <w:sz w:val="20"/>
          <w:szCs w:val="18"/>
        </w:rPr>
        <w:fldChar w:fldCharType="begin"/>
      </w:r>
      <w:r w:rsidRPr="00191F46">
        <w:rPr>
          <w:rFonts w:ascii="Cambria" w:hAnsi="Cambria"/>
          <w:i/>
          <w:iCs/>
          <w:sz w:val="20"/>
          <w:szCs w:val="18"/>
        </w:rPr>
        <w:instrText xml:space="preserve"> SEQ Rovnice \* ARABIC </w:instrText>
      </w:r>
      <w:r w:rsidRPr="00191F46">
        <w:rPr>
          <w:rFonts w:ascii="Cambria" w:hAnsi="Cambria"/>
          <w:i/>
          <w:iCs/>
          <w:sz w:val="20"/>
          <w:szCs w:val="18"/>
        </w:rPr>
        <w:fldChar w:fldCharType="separate"/>
      </w:r>
      <w:r w:rsidRPr="00191F46">
        <w:rPr>
          <w:rFonts w:ascii="Cambria" w:hAnsi="Cambria"/>
          <w:i/>
          <w:iCs/>
          <w:noProof/>
          <w:sz w:val="20"/>
          <w:szCs w:val="18"/>
        </w:rPr>
        <w:t>2</w:t>
      </w:r>
      <w:r w:rsidRPr="00191F46">
        <w:rPr>
          <w:rFonts w:ascii="Cambria" w:hAnsi="Cambria"/>
          <w:i/>
          <w:iCs/>
          <w:sz w:val="20"/>
          <w:szCs w:val="18"/>
        </w:rPr>
        <w:fldChar w:fldCharType="end"/>
      </w:r>
      <w:r w:rsidRPr="00191F46">
        <w:rPr>
          <w:rFonts w:ascii="Cambria" w:hAnsi="Cambria"/>
          <w:i/>
          <w:iCs/>
          <w:sz w:val="20"/>
          <w:szCs w:val="18"/>
        </w:rPr>
        <w:t xml:space="preserve"> agregace vstupnich hodnot neuronu</w:t>
      </w:r>
    </w:p>
    <w:p w:rsidR="00191F46" w:rsidRPr="00191F46" w:rsidRDefault="00191F46" w:rsidP="00191F46">
      <w:pPr>
        <w:spacing w:before="240" w:after="240" w:line="360" w:lineRule="auto"/>
        <w:ind w:firstLine="708"/>
        <w:jc w:val="both"/>
        <w:rPr>
          <w:rFonts w:ascii="Cambria" w:hAnsi="Cambria" w:cs="Arial"/>
          <w:sz w:val="26"/>
        </w:rPr>
      </w:pPr>
      <w:r w:rsidRPr="00191F46">
        <w:rPr>
          <w:rFonts w:ascii="Cambria" w:hAnsi="Cambria" w:cs="Arial"/>
          <w:sz w:val="26"/>
        </w:rPr>
        <w:t xml:space="preserve">Konkrétních aktivačních funkcí existuje celá řada a mají zásadní charakter na fungování NS. Aktivační funkce mohou mít za důsledek lineární i nelineární charakter klasifikačních oblastí vyprodukovaných neuronovou sítí, přičemž však vzhledem ke složitosti uchovávaných znalostí, užívají se především tzv. nelineární aktivační funkce jako je například sigmoidální funkce </w:t>
      </w:r>
      <w:r w:rsidRPr="00191F46">
        <w:rPr>
          <w:rFonts w:ascii="Cambria" w:hAnsi="Cambria" w:cs="Arial"/>
          <w:sz w:val="26"/>
        </w:rPr>
        <w:fldChar w:fldCharType="begin"/>
      </w:r>
      <w:r w:rsidR="003D3656">
        <w:rPr>
          <w:rFonts w:ascii="Cambria" w:hAnsi="Cambria" w:cs="Arial"/>
          <w:sz w:val="26"/>
        </w:rPr>
        <w:instrText xml:space="preserve"> ADDIN ZOTERO_ITEM CSL_CITATION {"citationID":"YHpujSWa","properties":{"formattedCitation":"(Vladim\\uc0\\u237{}r Olej a H\\uc0\\u225{}jek Petr 2010)","plainCitation":"(Vladimír Olej a Hájek Petr 2010)","noteIndex":0},"citationItems":[{"id":"hA0wgkxk/UqjVOKH2","uris":["http://zotero.org/users/local/IbRhotwj/items/7KQBQP9T"],"uri":["http://zotero.org/users/local/IbRhotwj/items/7KQBQP9T"],"itemData":{"id":155,"type":"book","title":"Úvod do umělé inteligence","publisher":"Univerzita Pardubice Fakulta ekonomicko-správní","abstract":"Hájek","ISBN":"978-80-7395-307-2","author":[{"literal":"Vladimír Olej"},{"literal":"Hájek Petr"}],"issued":{"date-parts":[["2010"]]}}}],"schema":"https://github.com/citation-style-language/schema/raw/master/csl-citation.json"} </w:instrText>
      </w:r>
      <w:r w:rsidRPr="00191F46">
        <w:rPr>
          <w:rFonts w:ascii="Cambria" w:hAnsi="Cambria" w:cs="Arial"/>
          <w:sz w:val="26"/>
        </w:rPr>
        <w:fldChar w:fldCharType="separate"/>
      </w:r>
      <w:r w:rsidRPr="00191F46">
        <w:rPr>
          <w:rFonts w:ascii="Cambria" w:hAnsi="Cambria" w:cs="Times New Roman"/>
          <w:sz w:val="26"/>
          <w:szCs w:val="24"/>
        </w:rPr>
        <w:t>(Vladimír Olej a Hájek Petr 2010)</w:t>
      </w:r>
      <w:r w:rsidRPr="00191F46">
        <w:rPr>
          <w:rFonts w:ascii="Cambria" w:hAnsi="Cambria" w:cs="Arial"/>
          <w:sz w:val="26"/>
        </w:rPr>
        <w:fldChar w:fldCharType="end"/>
      </w:r>
      <w:r w:rsidRPr="00191F46">
        <w:rPr>
          <w:rFonts w:ascii="Cambria" w:hAnsi="Cambria" w:cs="Arial"/>
          <w:sz w:val="26"/>
        </w:rPr>
        <w:t>.</w:t>
      </w:r>
    </w:p>
    <w:p w:rsidR="00191F46" w:rsidRPr="00191F46" w:rsidRDefault="00191F46" w:rsidP="00191F46">
      <w:pPr>
        <w:spacing w:before="240" w:after="240" w:line="360" w:lineRule="auto"/>
        <w:jc w:val="both"/>
        <w:rPr>
          <w:rFonts w:ascii="Cambria" w:eastAsiaTheme="minorEastAsia" w:hAnsi="Cambria" w:cs="Arial"/>
          <w:sz w:val="26"/>
        </w:rPr>
      </w:pPr>
      <m:oMathPara>
        <m:oMath>
          <m:r>
            <w:rPr>
              <w:rFonts w:ascii="Cambria Math" w:hAnsi="Cambria Math" w:cs="Arial"/>
              <w:sz w:val="26"/>
            </w:rPr>
            <m:t>y=</m:t>
          </m:r>
          <m:f>
            <m:fPr>
              <m:ctrlPr>
                <w:rPr>
                  <w:rFonts w:ascii="Cambria Math" w:hAnsi="Cambria Math" w:cs="Arial"/>
                  <w:i/>
                  <w:sz w:val="26"/>
                </w:rPr>
              </m:ctrlPr>
            </m:fPr>
            <m:num>
              <m:r>
                <w:rPr>
                  <w:rFonts w:ascii="Cambria Math" w:hAnsi="Cambria Math" w:cs="Arial"/>
                  <w:sz w:val="26"/>
                </w:rPr>
                <m:t>1</m:t>
              </m:r>
            </m:num>
            <m:den>
              <m:r>
                <w:rPr>
                  <w:rFonts w:ascii="Cambria Math" w:hAnsi="Cambria Math" w:cs="Arial"/>
                  <w:sz w:val="26"/>
                </w:rPr>
                <m:t>1+</m:t>
              </m:r>
              <m:sSup>
                <m:sSupPr>
                  <m:ctrlPr>
                    <w:rPr>
                      <w:rFonts w:ascii="Cambria Math" w:hAnsi="Cambria Math" w:cs="Arial"/>
                      <w:i/>
                      <w:sz w:val="26"/>
                    </w:rPr>
                  </m:ctrlPr>
                </m:sSupPr>
                <m:e>
                  <m:r>
                    <w:rPr>
                      <w:rFonts w:ascii="Cambria Math" w:hAnsi="Cambria Math" w:cs="Arial"/>
                      <w:sz w:val="26"/>
                    </w:rPr>
                    <m:t>e</m:t>
                  </m:r>
                </m:e>
                <m:sup>
                  <m:sSub>
                    <m:sSubPr>
                      <m:ctrlPr>
                        <w:rPr>
                          <w:rFonts w:ascii="Cambria Math" w:hAnsi="Cambria Math" w:cs="Arial"/>
                          <w:i/>
                          <w:sz w:val="26"/>
                        </w:rPr>
                      </m:ctrlPr>
                    </m:sSubPr>
                    <m:e>
                      <m:r>
                        <w:rPr>
                          <w:rFonts w:ascii="Cambria Math" w:hAnsi="Cambria Math" w:cs="Arial"/>
                          <w:sz w:val="26"/>
                        </w:rPr>
                        <m:t>y</m:t>
                      </m:r>
                    </m:e>
                    <m:sub>
                      <m:r>
                        <w:rPr>
                          <w:rFonts w:ascii="Cambria Math" w:hAnsi="Cambria Math" w:cs="Arial"/>
                          <w:sz w:val="26"/>
                        </w:rPr>
                        <m:t>i</m:t>
                      </m:r>
                    </m:sub>
                  </m:sSub>
                </m:sup>
              </m:sSup>
            </m:den>
          </m:f>
        </m:oMath>
      </m:oMathPara>
    </w:p>
    <w:p w:rsidR="00191F46" w:rsidRPr="00191F46" w:rsidRDefault="00191F46" w:rsidP="00191F46">
      <w:pPr>
        <w:spacing w:after="200" w:line="360" w:lineRule="auto"/>
        <w:jc w:val="center"/>
        <w:rPr>
          <w:rFonts w:ascii="Cambria" w:hAnsi="Cambria"/>
          <w:i/>
          <w:iCs/>
          <w:sz w:val="20"/>
          <w:szCs w:val="18"/>
        </w:rPr>
      </w:pPr>
      <w:r w:rsidRPr="00191F46">
        <w:rPr>
          <w:rFonts w:ascii="Cambria" w:hAnsi="Cambria"/>
          <w:i/>
          <w:iCs/>
          <w:sz w:val="20"/>
          <w:szCs w:val="18"/>
        </w:rPr>
        <w:t xml:space="preserve">Rovnice </w:t>
      </w:r>
      <w:r w:rsidRPr="00191F46">
        <w:rPr>
          <w:rFonts w:ascii="Cambria" w:hAnsi="Cambria"/>
          <w:i/>
          <w:iCs/>
          <w:sz w:val="20"/>
          <w:szCs w:val="18"/>
        </w:rPr>
        <w:fldChar w:fldCharType="begin"/>
      </w:r>
      <w:r w:rsidRPr="00191F46">
        <w:rPr>
          <w:rFonts w:ascii="Cambria" w:hAnsi="Cambria"/>
          <w:i/>
          <w:iCs/>
          <w:sz w:val="20"/>
          <w:szCs w:val="18"/>
        </w:rPr>
        <w:instrText xml:space="preserve"> SEQ Rovnice \* ARABIC </w:instrText>
      </w:r>
      <w:r w:rsidRPr="00191F46">
        <w:rPr>
          <w:rFonts w:ascii="Cambria" w:hAnsi="Cambria"/>
          <w:i/>
          <w:iCs/>
          <w:sz w:val="20"/>
          <w:szCs w:val="18"/>
        </w:rPr>
        <w:fldChar w:fldCharType="separate"/>
      </w:r>
      <w:r w:rsidRPr="00191F46">
        <w:rPr>
          <w:rFonts w:ascii="Cambria" w:hAnsi="Cambria"/>
          <w:i/>
          <w:iCs/>
          <w:noProof/>
          <w:sz w:val="20"/>
          <w:szCs w:val="18"/>
        </w:rPr>
        <w:t>3</w:t>
      </w:r>
      <w:r w:rsidRPr="00191F46">
        <w:rPr>
          <w:rFonts w:ascii="Cambria" w:hAnsi="Cambria"/>
          <w:i/>
          <w:iCs/>
          <w:sz w:val="20"/>
          <w:szCs w:val="18"/>
        </w:rPr>
        <w:fldChar w:fldCharType="end"/>
      </w:r>
      <w:r w:rsidRPr="00191F46">
        <w:rPr>
          <w:rFonts w:ascii="Cambria" w:hAnsi="Cambria"/>
          <w:i/>
          <w:iCs/>
          <w:sz w:val="20"/>
          <w:szCs w:val="18"/>
        </w:rPr>
        <w:t xml:space="preserve"> výstupní hodnota neuronu při užití funkce sigmoid</w:t>
      </w:r>
    </w:p>
    <w:p w:rsidR="00191F46" w:rsidRPr="00191F46" w:rsidRDefault="00191F46" w:rsidP="00F619E4">
      <w:pPr>
        <w:pStyle w:val="Heading3"/>
      </w:pPr>
      <w:r w:rsidRPr="00191F46">
        <w:lastRenderedPageBreak/>
        <w:t>Učení neuronových sítí</w:t>
      </w:r>
    </w:p>
    <w:p w:rsidR="00191F46" w:rsidRPr="00191F46" w:rsidRDefault="00191F46" w:rsidP="00191F46">
      <w:pPr>
        <w:spacing w:before="240" w:after="240" w:line="360" w:lineRule="auto"/>
        <w:jc w:val="both"/>
        <w:rPr>
          <w:rFonts w:ascii="Cambria" w:hAnsi="Cambria" w:cs="Arial"/>
          <w:sz w:val="26"/>
        </w:rPr>
      </w:pPr>
      <w:r w:rsidRPr="00191F46">
        <w:rPr>
          <w:rFonts w:ascii="Cambria" w:hAnsi="Cambria" w:cs="Arial"/>
          <w:sz w:val="26"/>
        </w:rPr>
        <w:tab/>
        <w:t>K adaptaci standardních modelů hlubokého učení s učitelem tj. primárně umělých neuronových sítí a jejich variant se používá algoritmus zpětného šíření chyby (</w:t>
      </w:r>
      <w:r w:rsidR="00E50481">
        <w:rPr>
          <w:rFonts w:ascii="Cambria" w:hAnsi="Cambria" w:cs="Arial"/>
          <w:sz w:val="26"/>
        </w:rPr>
        <w:t>Backpropagation algorithm</w:t>
      </w:r>
      <w:r w:rsidRPr="00191F46">
        <w:rPr>
          <w:rFonts w:ascii="Cambria" w:hAnsi="Cambria" w:cs="Arial"/>
          <w:sz w:val="26"/>
        </w:rPr>
        <w:t xml:space="preserve">). Ten spočívá v iterační minimalizaci chybové funkce viz. </w:t>
      </w:r>
      <w:r w:rsidRPr="00191F46">
        <w:rPr>
          <w:rFonts w:ascii="Cambria" w:hAnsi="Cambria" w:cs="Arial"/>
          <w:i/>
          <w:sz w:val="26"/>
        </w:rPr>
        <w:t>Rovnice 1,</w:t>
      </w:r>
      <w:r w:rsidRPr="00191F46">
        <w:rPr>
          <w:rFonts w:ascii="Cambria" w:hAnsi="Cambria" w:cs="Arial"/>
          <w:sz w:val="26"/>
        </w:rPr>
        <w:t xml:space="preserve"> za pomocí úpravy vah napojených na jednotlivé neurony ve vrstvách sítě. Výsledným vztahem pro korekci všech váh v NS je rovnice, kde  </w:t>
      </w:r>
      <m:oMath>
        <m:sSub>
          <m:sSubPr>
            <m:ctrlPr>
              <w:rPr>
                <w:rFonts w:ascii="Cambria Math" w:eastAsiaTheme="minorEastAsia" w:hAnsi="Cambria Math" w:cs="Arial"/>
                <w:i/>
                <w:sz w:val="26"/>
              </w:rPr>
            </m:ctrlPr>
          </m:sSubPr>
          <m:e>
            <m:r>
              <w:rPr>
                <w:rFonts w:ascii="Cambria Math" w:eastAsiaTheme="minorEastAsia" w:hAnsi="Cambria Math" w:cs="Arial"/>
                <w:sz w:val="26"/>
              </w:rPr>
              <m:t>α</m:t>
            </m:r>
          </m:e>
          <m:sub>
            <m:r>
              <w:rPr>
                <w:rFonts w:ascii="Cambria Math" w:eastAsiaTheme="minorEastAsia" w:hAnsi="Cambria Math" w:cs="Arial"/>
                <w:sz w:val="26"/>
              </w:rPr>
              <m:t>k</m:t>
            </m:r>
          </m:sub>
        </m:sSub>
      </m:oMath>
      <w:r w:rsidRPr="00191F46">
        <w:rPr>
          <w:rFonts w:ascii="Cambria" w:eastAsiaTheme="minorEastAsia" w:hAnsi="Cambria" w:cs="Arial"/>
          <w:sz w:val="26"/>
        </w:rPr>
        <w:t xml:space="preserve"> je keocifient posunu v rámci gradientu, </w:t>
      </w:r>
      <m:oMath>
        <m:sSub>
          <m:sSubPr>
            <m:ctrlPr>
              <w:rPr>
                <w:rFonts w:ascii="Cambria Math" w:eastAsiaTheme="minorEastAsia" w:hAnsi="Cambria Math" w:cs="Arial"/>
                <w:i/>
                <w:sz w:val="26"/>
              </w:rPr>
            </m:ctrlPr>
          </m:sSubPr>
          <m:e>
            <m:r>
              <w:rPr>
                <w:rFonts w:ascii="Cambria Math" w:eastAsiaTheme="minorEastAsia" w:hAnsi="Cambria Math" w:cs="Arial"/>
                <w:sz w:val="26"/>
              </w:rPr>
              <m:t>g</m:t>
            </m:r>
          </m:e>
          <m:sub>
            <m:r>
              <w:rPr>
                <w:rFonts w:ascii="Cambria Math" w:eastAsiaTheme="minorEastAsia" w:hAnsi="Cambria Math" w:cs="Arial"/>
                <w:sz w:val="26"/>
              </w:rPr>
              <m:t>k</m:t>
            </m:r>
          </m:sub>
        </m:sSub>
      </m:oMath>
      <w:r w:rsidRPr="00191F46">
        <w:rPr>
          <w:rFonts w:ascii="Cambria" w:eastAsiaTheme="minorEastAsia" w:hAnsi="Cambria" w:cs="Arial"/>
          <w:sz w:val="26"/>
        </w:rPr>
        <w:t xml:space="preserve">je směr gradientu a </w:t>
      </w:r>
      <m:oMath>
        <m:sSub>
          <m:sSubPr>
            <m:ctrlPr>
              <w:rPr>
                <w:rFonts w:ascii="Cambria Math" w:eastAsiaTheme="minorEastAsia" w:hAnsi="Cambria Math" w:cs="Arial"/>
                <w:i/>
                <w:sz w:val="26"/>
              </w:rPr>
            </m:ctrlPr>
          </m:sSubPr>
          <m:e>
            <m:r>
              <w:rPr>
                <w:rFonts w:ascii="Cambria Math" w:eastAsiaTheme="minorEastAsia" w:hAnsi="Cambria Math" w:cs="Arial"/>
                <w:sz w:val="26"/>
              </w:rPr>
              <m:t>W</m:t>
            </m:r>
          </m:e>
          <m:sub>
            <m:r>
              <w:rPr>
                <w:rFonts w:ascii="Cambria Math" w:eastAsiaTheme="minorEastAsia" w:hAnsi="Cambria Math" w:cs="Arial"/>
                <w:sz w:val="26"/>
              </w:rPr>
              <m:t>k</m:t>
            </m:r>
          </m:sub>
        </m:sSub>
      </m:oMath>
      <w:r w:rsidRPr="00191F46">
        <w:rPr>
          <w:rFonts w:ascii="Cambria" w:eastAsiaTheme="minorEastAsia" w:hAnsi="Cambria" w:cs="Arial"/>
          <w:sz w:val="26"/>
        </w:rPr>
        <w:t>je původní hodota příslušné váhy.</w:t>
      </w:r>
    </w:p>
    <w:p w:rsidR="00191F46" w:rsidRPr="00191F46" w:rsidRDefault="00EF3F70" w:rsidP="00191F46">
      <w:pPr>
        <w:spacing w:before="240" w:after="240" w:line="360" w:lineRule="auto"/>
        <w:jc w:val="both"/>
        <w:rPr>
          <w:rFonts w:ascii="Cambria" w:hAnsi="Cambria" w:cs="Arial"/>
          <w:sz w:val="26"/>
        </w:rPr>
      </w:pPr>
      <m:oMathPara>
        <m:oMath>
          <m:sSub>
            <m:sSubPr>
              <m:ctrlPr>
                <w:rPr>
                  <w:rFonts w:ascii="Cambria Math" w:hAnsi="Cambria Math" w:cs="Arial"/>
                  <w:i/>
                  <w:sz w:val="26"/>
                </w:rPr>
              </m:ctrlPr>
            </m:sSubPr>
            <m:e>
              <m:r>
                <w:rPr>
                  <w:rFonts w:ascii="Cambria Math" w:hAnsi="Cambria Math" w:cs="Arial"/>
                  <w:sz w:val="26"/>
                </w:rPr>
                <m:t>W</m:t>
              </m:r>
            </m:e>
            <m:sub>
              <m:r>
                <w:rPr>
                  <w:rFonts w:ascii="Cambria Math" w:hAnsi="Cambria Math" w:cs="Arial"/>
                  <w:sz w:val="26"/>
                </w:rPr>
                <m:t>k+1</m:t>
              </m:r>
            </m:sub>
          </m:sSub>
          <m:r>
            <w:rPr>
              <w:rFonts w:ascii="Cambria Math" w:eastAsiaTheme="minorEastAsia" w:hAnsi="Cambria Math" w:cs="Arial"/>
              <w:sz w:val="26"/>
            </w:rPr>
            <m:t>=</m:t>
          </m:r>
          <m:sSub>
            <m:sSubPr>
              <m:ctrlPr>
                <w:rPr>
                  <w:rFonts w:ascii="Cambria Math" w:eastAsiaTheme="minorEastAsia" w:hAnsi="Cambria Math" w:cs="Arial"/>
                  <w:i/>
                  <w:sz w:val="26"/>
                </w:rPr>
              </m:ctrlPr>
            </m:sSubPr>
            <m:e>
              <m:r>
                <w:rPr>
                  <w:rFonts w:ascii="Cambria Math" w:eastAsiaTheme="minorEastAsia" w:hAnsi="Cambria Math" w:cs="Arial"/>
                  <w:sz w:val="26"/>
                </w:rPr>
                <m:t>W</m:t>
              </m:r>
            </m:e>
            <m:sub>
              <m:r>
                <w:rPr>
                  <w:rFonts w:ascii="Cambria Math" w:eastAsiaTheme="minorEastAsia" w:hAnsi="Cambria Math" w:cs="Arial"/>
                  <w:sz w:val="26"/>
                </w:rPr>
                <m:t>k</m:t>
              </m:r>
            </m:sub>
          </m:sSub>
          <m:r>
            <w:rPr>
              <w:rFonts w:ascii="Cambria Math" w:eastAsiaTheme="minorEastAsia" w:hAnsi="Cambria Math" w:cs="Arial"/>
              <w:sz w:val="26"/>
            </w:rPr>
            <m:t>-</m:t>
          </m:r>
          <m:sSub>
            <m:sSubPr>
              <m:ctrlPr>
                <w:rPr>
                  <w:rFonts w:ascii="Cambria Math" w:eastAsiaTheme="minorEastAsia" w:hAnsi="Cambria Math" w:cs="Arial"/>
                  <w:i/>
                  <w:sz w:val="26"/>
                </w:rPr>
              </m:ctrlPr>
            </m:sSubPr>
            <m:e>
              <m:r>
                <w:rPr>
                  <w:rFonts w:ascii="Cambria Math" w:eastAsiaTheme="minorEastAsia" w:hAnsi="Cambria Math" w:cs="Arial"/>
                  <w:sz w:val="26"/>
                </w:rPr>
                <m:t>α</m:t>
              </m:r>
            </m:e>
            <m:sub>
              <m:r>
                <w:rPr>
                  <w:rFonts w:ascii="Cambria Math" w:eastAsiaTheme="minorEastAsia" w:hAnsi="Cambria Math" w:cs="Arial"/>
                  <w:sz w:val="26"/>
                </w:rPr>
                <m:t>k</m:t>
              </m:r>
            </m:sub>
          </m:sSub>
          <m:sSub>
            <m:sSubPr>
              <m:ctrlPr>
                <w:rPr>
                  <w:rFonts w:ascii="Cambria Math" w:eastAsiaTheme="minorEastAsia" w:hAnsi="Cambria Math" w:cs="Arial"/>
                  <w:i/>
                  <w:sz w:val="26"/>
                </w:rPr>
              </m:ctrlPr>
            </m:sSubPr>
            <m:e>
              <m:r>
                <w:rPr>
                  <w:rFonts w:ascii="Cambria Math" w:eastAsiaTheme="minorEastAsia" w:hAnsi="Cambria Math" w:cs="Arial"/>
                  <w:sz w:val="26"/>
                </w:rPr>
                <m:t>g</m:t>
              </m:r>
            </m:e>
            <m:sub>
              <m:r>
                <w:rPr>
                  <w:rFonts w:ascii="Cambria Math" w:eastAsiaTheme="minorEastAsia" w:hAnsi="Cambria Math" w:cs="Arial"/>
                  <w:sz w:val="26"/>
                </w:rPr>
                <m:t>k</m:t>
              </m:r>
            </m:sub>
          </m:sSub>
        </m:oMath>
      </m:oMathPara>
    </w:p>
    <w:p w:rsidR="00191F46" w:rsidRPr="00191F46" w:rsidRDefault="00191F46" w:rsidP="00191F46">
      <w:pPr>
        <w:spacing w:after="200" w:line="360" w:lineRule="auto"/>
        <w:jc w:val="center"/>
        <w:rPr>
          <w:rFonts w:ascii="Cambria" w:hAnsi="Cambria"/>
          <w:i/>
          <w:iCs/>
          <w:sz w:val="20"/>
          <w:szCs w:val="18"/>
        </w:rPr>
      </w:pPr>
      <w:r w:rsidRPr="00191F46">
        <w:rPr>
          <w:rFonts w:ascii="Cambria" w:hAnsi="Cambria"/>
          <w:i/>
          <w:iCs/>
          <w:sz w:val="20"/>
          <w:szCs w:val="18"/>
        </w:rPr>
        <w:t xml:space="preserve">Rovnice </w:t>
      </w:r>
      <w:r w:rsidRPr="00191F46">
        <w:rPr>
          <w:rFonts w:ascii="Cambria" w:hAnsi="Cambria"/>
          <w:i/>
          <w:iCs/>
          <w:sz w:val="20"/>
          <w:szCs w:val="18"/>
        </w:rPr>
        <w:fldChar w:fldCharType="begin"/>
      </w:r>
      <w:r w:rsidRPr="00191F46">
        <w:rPr>
          <w:rFonts w:ascii="Cambria" w:hAnsi="Cambria"/>
          <w:i/>
          <w:iCs/>
          <w:sz w:val="20"/>
          <w:szCs w:val="18"/>
        </w:rPr>
        <w:instrText xml:space="preserve"> SEQ Rovnice \* ARABIC </w:instrText>
      </w:r>
      <w:r w:rsidRPr="00191F46">
        <w:rPr>
          <w:rFonts w:ascii="Cambria" w:hAnsi="Cambria"/>
          <w:i/>
          <w:iCs/>
          <w:sz w:val="20"/>
          <w:szCs w:val="18"/>
        </w:rPr>
        <w:fldChar w:fldCharType="separate"/>
      </w:r>
      <w:r w:rsidRPr="00191F46">
        <w:rPr>
          <w:rFonts w:ascii="Cambria" w:hAnsi="Cambria"/>
          <w:i/>
          <w:iCs/>
          <w:noProof/>
          <w:sz w:val="20"/>
          <w:szCs w:val="18"/>
        </w:rPr>
        <w:t>4</w:t>
      </w:r>
      <w:r w:rsidRPr="00191F46">
        <w:rPr>
          <w:rFonts w:ascii="Cambria" w:hAnsi="Cambria"/>
          <w:i/>
          <w:iCs/>
          <w:sz w:val="20"/>
          <w:szCs w:val="18"/>
        </w:rPr>
        <w:fldChar w:fldCharType="end"/>
      </w:r>
      <w:r w:rsidRPr="00191F46">
        <w:rPr>
          <w:rFonts w:ascii="Cambria" w:hAnsi="Cambria"/>
          <w:i/>
          <w:iCs/>
          <w:sz w:val="20"/>
          <w:szCs w:val="18"/>
        </w:rPr>
        <w:t xml:space="preserve"> korekce vah v BPA</w:t>
      </w:r>
    </w:p>
    <w:p w:rsidR="00191F46" w:rsidRPr="00191F46" w:rsidRDefault="00191F46" w:rsidP="00191F46">
      <w:pPr>
        <w:spacing w:before="240" w:after="240" w:line="360" w:lineRule="auto"/>
        <w:jc w:val="both"/>
        <w:rPr>
          <w:rFonts w:ascii="Cambria" w:hAnsi="Cambria" w:cs="Arial"/>
          <w:sz w:val="26"/>
        </w:rPr>
      </w:pPr>
      <w:r w:rsidRPr="00191F46">
        <w:rPr>
          <w:rFonts w:ascii="Cambria" w:hAnsi="Cambria" w:cs="Arial"/>
          <w:sz w:val="26"/>
        </w:rPr>
        <w:tab/>
        <w:t xml:space="preserve">Ve chvíli, kdy je v rámci jedné iterace průchodu dat neuronovou sítí spočítána hodnota chybové funkce výstupní vrstvy, je nutné zpětně pro všechny neurony skrytých vrstev vypočítat nakolik váhy, které z nich vedou přispívají ke konkrétní hodnotě celkové chyby </w:t>
      </w:r>
      <w:r w:rsidRPr="00191F46">
        <w:rPr>
          <w:rFonts w:ascii="Cambria" w:hAnsi="Cambria" w:cs="Arial"/>
          <w:i/>
          <w:sz w:val="26"/>
        </w:rPr>
        <w:t>E</w:t>
      </w:r>
      <w:r w:rsidRPr="00191F46">
        <w:rPr>
          <w:rFonts w:ascii="Cambria" w:hAnsi="Cambria" w:cs="Arial"/>
          <w:sz w:val="26"/>
        </w:rPr>
        <w:t xml:space="preserve"> výstupní vrstvy.  </w:t>
      </w:r>
    </w:p>
    <w:p w:rsidR="00191F46" w:rsidRPr="00191F46" w:rsidRDefault="00191F46" w:rsidP="00191F46">
      <w:pPr>
        <w:spacing w:before="240" w:after="240" w:line="360" w:lineRule="auto"/>
        <w:jc w:val="both"/>
        <w:rPr>
          <w:rFonts w:ascii="Cambria" w:hAnsi="Cambria" w:cs="Arial"/>
          <w:sz w:val="26"/>
        </w:rPr>
      </w:pPr>
    </w:p>
    <w:p w:rsidR="00191F46" w:rsidRPr="00191F46" w:rsidRDefault="00EF3F70" w:rsidP="00191F46">
      <w:pPr>
        <w:spacing w:before="240" w:after="240" w:line="360" w:lineRule="auto"/>
        <w:jc w:val="both"/>
        <w:rPr>
          <w:rFonts w:ascii="Cambria" w:eastAsiaTheme="minorEastAsia" w:hAnsi="Cambria" w:cs="Arial"/>
          <w:sz w:val="26"/>
        </w:rPr>
      </w:pPr>
      <m:oMathPara>
        <m:oMath>
          <m:nary>
            <m:naryPr>
              <m:chr m:val="∑"/>
              <m:limLoc m:val="undOvr"/>
              <m:ctrlPr>
                <w:rPr>
                  <w:rFonts w:ascii="Cambria Math" w:hAnsi="Cambria Math" w:cs="Arial"/>
                  <w:i/>
                  <w:sz w:val="26"/>
                </w:rPr>
              </m:ctrlPr>
            </m:naryPr>
            <m:sub>
              <m:r>
                <w:rPr>
                  <w:rFonts w:ascii="Cambria Math" w:hAnsi="Cambria Math" w:cs="Arial"/>
                  <w:sz w:val="26"/>
                </w:rPr>
                <m:t>j=1</m:t>
              </m:r>
            </m:sub>
            <m:sup>
              <m:sSub>
                <m:sSubPr>
                  <m:ctrlPr>
                    <w:rPr>
                      <w:rFonts w:ascii="Cambria Math" w:hAnsi="Cambria Math" w:cs="Arial"/>
                      <w:i/>
                      <w:sz w:val="26"/>
                    </w:rPr>
                  </m:ctrlPr>
                </m:sSubPr>
                <m:e>
                  <m:r>
                    <w:rPr>
                      <w:rFonts w:ascii="Cambria Math" w:hAnsi="Cambria Math" w:cs="Arial"/>
                      <w:sz w:val="26"/>
                    </w:rPr>
                    <m:t>S</m:t>
                  </m:r>
                </m:e>
                <m:sub>
                  <m:r>
                    <w:rPr>
                      <w:rFonts w:ascii="Cambria Math" w:hAnsi="Cambria Math" w:cs="Arial"/>
                      <w:sz w:val="26"/>
                    </w:rPr>
                    <m:t>i</m:t>
                  </m:r>
                </m:sub>
              </m:sSub>
            </m:sup>
            <m:e>
              <m:sSub>
                <m:sSubPr>
                  <m:ctrlPr>
                    <w:rPr>
                      <w:rFonts w:ascii="Cambria Math" w:hAnsi="Cambria Math" w:cs="Arial"/>
                      <w:i/>
                      <w:sz w:val="26"/>
                    </w:rPr>
                  </m:ctrlPr>
                </m:sSubPr>
                <m:e>
                  <m:r>
                    <w:rPr>
                      <w:rFonts w:ascii="Cambria Math" w:hAnsi="Cambria Math" w:cs="Arial"/>
                      <w:sz w:val="26"/>
                    </w:rPr>
                    <m:t>w</m:t>
                  </m:r>
                </m:e>
                <m:sub>
                  <m:r>
                    <w:rPr>
                      <w:rFonts w:ascii="Cambria Math" w:hAnsi="Cambria Math" w:cs="Arial"/>
                      <w:sz w:val="26"/>
                    </w:rPr>
                    <m:t>ij</m:t>
                  </m:r>
                </m:sub>
              </m:sSub>
              <m:sSub>
                <m:sSubPr>
                  <m:ctrlPr>
                    <w:rPr>
                      <w:rFonts w:ascii="Cambria Math" w:hAnsi="Cambria Math" w:cs="Arial"/>
                      <w:i/>
                      <w:sz w:val="26"/>
                    </w:rPr>
                  </m:ctrlPr>
                </m:sSubPr>
                <m:e>
                  <m:r>
                    <w:rPr>
                      <w:rFonts w:ascii="Cambria Math" w:hAnsi="Cambria Math" w:cs="Arial"/>
                      <w:sz w:val="26"/>
                    </w:rPr>
                    <m:t>E</m:t>
                  </m:r>
                </m:e>
                <m:sub>
                  <m:r>
                    <w:rPr>
                      <w:rFonts w:ascii="Cambria Math" w:hAnsi="Cambria Math" w:cs="Arial"/>
                      <w:sz w:val="26"/>
                    </w:rPr>
                    <m:t>j</m:t>
                  </m:r>
                </m:sub>
              </m:sSub>
            </m:e>
          </m:nary>
        </m:oMath>
      </m:oMathPara>
    </w:p>
    <w:p w:rsidR="00191F46" w:rsidRPr="00191F46" w:rsidRDefault="00191F46" w:rsidP="00191F46">
      <w:pPr>
        <w:spacing w:after="200" w:line="360" w:lineRule="auto"/>
        <w:jc w:val="center"/>
        <w:rPr>
          <w:rFonts w:ascii="Cambria" w:hAnsi="Cambria"/>
          <w:i/>
          <w:iCs/>
          <w:sz w:val="20"/>
          <w:szCs w:val="18"/>
        </w:rPr>
      </w:pPr>
      <w:r w:rsidRPr="00191F46">
        <w:rPr>
          <w:rFonts w:ascii="Cambria" w:hAnsi="Cambria"/>
          <w:i/>
          <w:iCs/>
          <w:sz w:val="20"/>
          <w:szCs w:val="18"/>
        </w:rPr>
        <w:t xml:space="preserve">Rovnice </w:t>
      </w:r>
      <w:r w:rsidRPr="00191F46">
        <w:rPr>
          <w:rFonts w:ascii="Cambria" w:hAnsi="Cambria"/>
          <w:i/>
          <w:iCs/>
          <w:sz w:val="20"/>
          <w:szCs w:val="18"/>
        </w:rPr>
        <w:fldChar w:fldCharType="begin"/>
      </w:r>
      <w:r w:rsidRPr="00191F46">
        <w:rPr>
          <w:rFonts w:ascii="Cambria" w:hAnsi="Cambria"/>
          <w:i/>
          <w:iCs/>
          <w:sz w:val="20"/>
          <w:szCs w:val="18"/>
        </w:rPr>
        <w:instrText xml:space="preserve"> SEQ Rovnice \* ARABIC </w:instrText>
      </w:r>
      <w:r w:rsidRPr="00191F46">
        <w:rPr>
          <w:rFonts w:ascii="Cambria" w:hAnsi="Cambria"/>
          <w:i/>
          <w:iCs/>
          <w:sz w:val="20"/>
          <w:szCs w:val="18"/>
        </w:rPr>
        <w:fldChar w:fldCharType="separate"/>
      </w:r>
      <w:r w:rsidRPr="00191F46">
        <w:rPr>
          <w:rFonts w:ascii="Cambria" w:hAnsi="Cambria"/>
          <w:i/>
          <w:iCs/>
          <w:noProof/>
          <w:sz w:val="20"/>
          <w:szCs w:val="18"/>
        </w:rPr>
        <w:t>5</w:t>
      </w:r>
      <w:r w:rsidRPr="00191F46">
        <w:rPr>
          <w:rFonts w:ascii="Cambria" w:hAnsi="Cambria"/>
          <w:i/>
          <w:iCs/>
          <w:sz w:val="20"/>
          <w:szCs w:val="18"/>
        </w:rPr>
        <w:fldChar w:fldCharType="end"/>
      </w:r>
      <w:r w:rsidRPr="00191F46">
        <w:rPr>
          <w:rFonts w:ascii="Cambria" w:hAnsi="Cambria"/>
          <w:i/>
          <w:iCs/>
          <w:sz w:val="20"/>
          <w:szCs w:val="18"/>
        </w:rPr>
        <w:t xml:space="preserve"> výpočet chyby neuronu</w:t>
      </w:r>
    </w:p>
    <w:p w:rsidR="00191F46" w:rsidRPr="00191F46" w:rsidRDefault="00191F46" w:rsidP="00F619E4">
      <w:pPr>
        <w:pStyle w:val="Heading3"/>
      </w:pPr>
      <w:r w:rsidRPr="00191F46">
        <w:t>Generativně kontradiktorní sítě</w:t>
      </w:r>
    </w:p>
    <w:p w:rsidR="00191F46" w:rsidRPr="00A70E18" w:rsidRDefault="00191F46" w:rsidP="00A70E18">
      <w:pPr>
        <w:spacing w:before="240" w:after="240" w:line="360" w:lineRule="auto"/>
        <w:jc w:val="both"/>
        <w:rPr>
          <w:rFonts w:ascii="Cambria" w:hAnsi="Cambria" w:cs="Arial"/>
          <w:sz w:val="26"/>
        </w:rPr>
      </w:pPr>
      <w:r w:rsidRPr="00191F46">
        <w:rPr>
          <w:rFonts w:ascii="Cambria" w:hAnsi="Cambria" w:cs="Arial"/>
          <w:sz w:val="26"/>
        </w:rPr>
        <w:tab/>
        <w:t xml:space="preserve">Jsou specifické architektury neuronových sítí, které patří do rodiny generativních modelů a byly vynalezeny Ianem Goodfellowem v roce 2014 </w:t>
      </w:r>
      <w:r w:rsidRPr="00191F46">
        <w:rPr>
          <w:rFonts w:ascii="Cambria" w:hAnsi="Cambria" w:cs="Arial"/>
          <w:sz w:val="26"/>
        </w:rPr>
        <w:fldChar w:fldCharType="begin"/>
      </w:r>
      <w:r w:rsidR="003D3656">
        <w:rPr>
          <w:rFonts w:ascii="Cambria" w:hAnsi="Cambria" w:cs="Arial"/>
          <w:sz w:val="26"/>
        </w:rPr>
        <w:instrText xml:space="preserve"> ADDIN ZOTERO_ITEM CSL_CITATION {"citationID":"uwfiUxRv","properties":{"formattedCitation":"(Goodfellow et al. 2014)","plainCitation":"(Goodfellow et al. 2014)","noteIndex":0},"citationItems":[{"id":"hA0wgkxk/QYlECI2t","uris":["http://zotero.org/users/local/IbRhotwj/items/HLRBGLQV"],"uri":["http://zotero.org/users/local/IbRhotwj/items/HLRBGLQV"],"itemData":{"id":63,"type":"chapter","title":"Generative Adversarial Nets","container-title":"Advances in Neural Information Processing Systems 27","publisher":"Curran Associates, Inc.","page":"2672–2680","source":"Neural Information Processing Systems","URL":"http://papers.nips.cc/paper/5423-generative-adversarial-nets.pdf","author":[{"family":"Goodfellow","given":"Ian"},{"family":"Pouget-Abadie","given":"Jean"},{"family":"Mirza","given":"Mehdi"},{"family":"Xu","given":"Bing"},{"family":"Warde-Farley","given":"David"},{"family":"Ozair","given":"Sherjil"},{"family":"Courville","given":"Aaron"},{"family":"Bengio","given":"Yoshua"}],"editor":[{"family":"Ghahramani","given":"Z."},{"family":"Welling","given":"M."},{"family":"Cortes","given":"C."},{"family":"Lawrence","given":"N. D."},{"family":"Weinberger","given":"K. Q."}],"issued":{"date-parts":[["2014"]]},"accessed":{"date-parts":[["2018",6,4]]}}}],"schema":"https://github.com/citation-style-language/schema/raw/master/csl-citation.json"} </w:instrText>
      </w:r>
      <w:r w:rsidRPr="00191F46">
        <w:rPr>
          <w:rFonts w:ascii="Cambria" w:hAnsi="Cambria" w:cs="Arial"/>
          <w:sz w:val="26"/>
        </w:rPr>
        <w:fldChar w:fldCharType="separate"/>
      </w:r>
      <w:r w:rsidRPr="00191F46">
        <w:rPr>
          <w:rFonts w:ascii="Cambria" w:hAnsi="Cambria" w:cs="Arial"/>
          <w:sz w:val="26"/>
        </w:rPr>
        <w:t>(Goodfellow et al. 2014)</w:t>
      </w:r>
      <w:r w:rsidRPr="00191F46">
        <w:rPr>
          <w:rFonts w:ascii="Cambria" w:hAnsi="Cambria" w:cs="Arial"/>
          <w:sz w:val="26"/>
        </w:rPr>
        <w:fldChar w:fldCharType="end"/>
      </w:r>
      <w:r w:rsidRPr="00191F46">
        <w:rPr>
          <w:rFonts w:ascii="Cambria" w:hAnsi="Cambria" w:cs="Arial"/>
          <w:sz w:val="26"/>
        </w:rPr>
        <w:t xml:space="preserve">. Sám Goodfellow obecně definuje generativní modely jako </w:t>
      </w:r>
      <w:r w:rsidRPr="00191F46">
        <w:rPr>
          <w:rFonts w:ascii="Cambria" w:hAnsi="Cambria" w:cs="Arial"/>
          <w:i/>
          <w:sz w:val="26"/>
        </w:rPr>
        <w:t>„...modely, které se na základě tréninkové distribuce dat tvořených množinou p</w:t>
      </w:r>
      <w:r w:rsidRPr="00191F46">
        <w:rPr>
          <w:rFonts w:ascii="Cambria" w:hAnsi="Cambria" w:cs="Arial"/>
          <w:i/>
          <w:sz w:val="26"/>
          <w:vertAlign w:val="subscript"/>
        </w:rPr>
        <w:t xml:space="preserve">data </w:t>
      </w:r>
      <w:r w:rsidRPr="00191F46">
        <w:rPr>
          <w:rFonts w:ascii="Cambria" w:hAnsi="Cambria" w:cs="Arial"/>
          <w:i/>
          <w:sz w:val="26"/>
        </w:rPr>
        <w:t>naučí odhad takové distribuce reprezentovat“</w:t>
      </w:r>
      <w:r w:rsidRPr="00191F46">
        <w:rPr>
          <w:rFonts w:ascii="Cambria" w:hAnsi="Cambria" w:cs="Arial"/>
          <w:sz w:val="26"/>
        </w:rPr>
        <w:t xml:space="preserve">. V konkrétních aplikacích </w:t>
      </w:r>
      <w:r w:rsidRPr="00191F46">
        <w:rPr>
          <w:rFonts w:ascii="Cambria" w:hAnsi="Cambria" w:cs="Arial"/>
          <w:sz w:val="26"/>
        </w:rPr>
        <w:lastRenderedPageBreak/>
        <w:t>mohou takové modely buď plnit pouze onu reprezentativní funkci a nebo mohou na základě vnitřní struktury modelu generovat nové originální vzorky.</w:t>
      </w:r>
    </w:p>
    <w:p w:rsidR="00191F46" w:rsidRDefault="00191F46" w:rsidP="00191F46">
      <w:pPr>
        <w:pStyle w:val="Heading1"/>
      </w:pPr>
      <w:r>
        <w:t>Strojové učení v počítačové grafice</w:t>
      </w:r>
    </w:p>
    <w:p w:rsidR="00D71B7E" w:rsidRDefault="00D71B7E" w:rsidP="00D71B7E">
      <w:pPr>
        <w:pStyle w:val="Heading2"/>
      </w:pPr>
      <w:r>
        <w:t>Stručné vymezení počítačové grafiky</w:t>
      </w:r>
    </w:p>
    <w:p w:rsidR="00395921" w:rsidRPr="00395921" w:rsidRDefault="00395921" w:rsidP="00EB2872">
      <w:pPr>
        <w:pStyle w:val="Stadnartntext"/>
      </w:pPr>
      <w:r>
        <w:tab/>
      </w:r>
      <w:r w:rsidR="00EB2872">
        <w:t xml:space="preserve">Terminologicky je počítačová grafika obor, který se zabývá… </w:t>
      </w:r>
    </w:p>
    <w:p w:rsidR="00D71B7E" w:rsidRDefault="00D71B7E" w:rsidP="00D71B7E">
      <w:pPr>
        <w:pStyle w:val="Heading2"/>
      </w:pPr>
      <w:r>
        <w:t>Metody a výsledky strojového učení v počítačové grafice</w:t>
      </w:r>
    </w:p>
    <w:p w:rsidR="00D71B7E" w:rsidRDefault="00EB2872" w:rsidP="00EB2872">
      <w:pPr>
        <w:pStyle w:val="Stadnartntext"/>
      </w:pPr>
      <w:r>
        <w:tab/>
        <w:t xml:space="preserve">Metody strojového učení byly v posledních dekádách uplatňovány ve většině oblastech počítačové grafiky zahrnujících vizualizaci, klasifikaci, segmentaci, komprimaci obrazu, a další podoblasti tohoto oboru. Cílem této kapitoly je vytvoření stručného přehledu požívaných metod zejména v podoblasti dvourozměrné grafiky.  </w:t>
      </w:r>
    </w:p>
    <w:p w:rsidR="00EB2872" w:rsidRDefault="00EB2872" w:rsidP="00EB2872">
      <w:pPr>
        <w:pStyle w:val="Stadnartntext"/>
      </w:pPr>
      <w:r>
        <w:tab/>
        <w:t>Rastrová tj. maticová reprezentace grafiky vstupuje do algoritm</w:t>
      </w:r>
      <w:r w:rsidR="002A1810">
        <w:t>ů v podobě normalizovaného vektoru popřípadě tensoru.</w:t>
      </w:r>
    </w:p>
    <w:p w:rsidR="006B6821" w:rsidRPr="00B460B9" w:rsidRDefault="006B6821" w:rsidP="00EB2872">
      <w:pPr>
        <w:pStyle w:val="Stadnartntext"/>
        <w:rPr>
          <w:rtl/>
          <w:lang w:bidi="he-IL"/>
        </w:rPr>
      </w:pPr>
      <w:r>
        <w:tab/>
        <w:t xml:space="preserve">Za vrchol a jeden z posledních úspěchů v oblasti zpracování obrazu jsou </w:t>
      </w:r>
    </w:p>
    <w:p w:rsidR="00191F46" w:rsidRPr="00191F46" w:rsidRDefault="00191F46" w:rsidP="00191F46">
      <w:r>
        <w:tab/>
      </w:r>
    </w:p>
    <w:p w:rsidR="004624F2" w:rsidRDefault="0054232F" w:rsidP="004624F2">
      <w:pPr>
        <w:pStyle w:val="Heading1"/>
      </w:pPr>
      <w:r>
        <w:t>Procedurální generování</w:t>
      </w:r>
    </w:p>
    <w:p w:rsidR="000D17CF" w:rsidRPr="000D17CF" w:rsidRDefault="007270B7" w:rsidP="000D17CF">
      <w:pPr>
        <w:pStyle w:val="Stadnartntext"/>
        <w:rPr>
          <w:szCs w:val="26"/>
        </w:rPr>
      </w:pPr>
      <w:r>
        <w:tab/>
      </w:r>
      <w:r w:rsidR="000D17CF" w:rsidRPr="000D17CF">
        <w:rPr>
          <w:szCs w:val="26"/>
        </w:rPr>
        <w:t>V rámci počítačové grafiky existují v podstatě dva způsoby pro definici grafického obsahu modelované scény. Ať už uvažujeme dvojrozměrné, popřípadě trojrozměrné zobrazení scény, tak vlastnosti zobrazovaných objektů této scény musí být vždy předem zaneseny v příslušných datových strukturách, které</w:t>
      </w:r>
      <w:r w:rsidR="004916E8">
        <w:rPr>
          <w:szCs w:val="26"/>
        </w:rPr>
        <w:t xml:space="preserve"> pak</w:t>
      </w:r>
      <w:r w:rsidR="000D17CF" w:rsidRPr="000D17CF">
        <w:rPr>
          <w:szCs w:val="26"/>
        </w:rPr>
        <w:t xml:space="preserve"> figurují v rámci vizualizačního řetězce. Zachycení geometrie a </w:t>
      </w:r>
      <w:r w:rsidR="000D17CF" w:rsidRPr="000D17CF">
        <w:rPr>
          <w:szCs w:val="26"/>
        </w:rPr>
        <w:lastRenderedPageBreak/>
        <w:t xml:space="preserve">umístění objektu v souřadnicích scény může být definováno buď staticky tj. „ručním“ modelováním objektů anebo algoritmicky, kdy se </w:t>
      </w:r>
      <w:r w:rsidR="004916E8">
        <w:rPr>
          <w:szCs w:val="26"/>
        </w:rPr>
        <w:t>vzhled</w:t>
      </w:r>
      <w:r w:rsidR="000D17CF" w:rsidRPr="000D17CF">
        <w:rPr>
          <w:szCs w:val="26"/>
        </w:rPr>
        <w:t xml:space="preserve"> a transformace objektů odvíjejí od sekvence příkazů v rámci daného algoritmu. Podobné rozděl</w:t>
      </w:r>
      <w:bookmarkStart w:id="0" w:name="_GoBack"/>
      <w:bookmarkEnd w:id="0"/>
      <w:r w:rsidR="000D17CF" w:rsidRPr="000D17CF">
        <w:rPr>
          <w:szCs w:val="26"/>
        </w:rPr>
        <w:t xml:space="preserve">ení se týká například i textur a dalších elementů, které scénu dotvářejí. Druhý ze zmíněných přístupu lze označit termínem procedurální generování obsahu (PCG). </w:t>
      </w:r>
    </w:p>
    <w:p w:rsidR="000D17CF" w:rsidRPr="000D17CF" w:rsidRDefault="000D17CF" w:rsidP="000D17CF">
      <w:pPr>
        <w:pStyle w:val="Stadnartntext"/>
        <w:rPr>
          <w:szCs w:val="26"/>
        </w:rPr>
      </w:pPr>
      <w:r w:rsidRPr="000D17CF">
        <w:rPr>
          <w:szCs w:val="26"/>
        </w:rPr>
        <w:tab/>
        <w:t>Zkratka PCG bývá skloňována především v oblasti počítačových her, kde najdou tyto algoritmy široké uplatnění. Tyto algoritmy jsou však použitelné i v rámci budování parametrizovatelných virtuálních prostředí, simulací, vizualizací, popřípadě v oblasti designu. Nutno zmínit, že PCG se ve své definici neomezuje jen na generování grafického obsahu jako takového, nýbrž se tento pojem používá i pro algoritmické generování jakéhokoliv obsahu jako je například obsah textový,</w:t>
      </w:r>
      <w:r w:rsidR="00943025">
        <w:rPr>
          <w:szCs w:val="26"/>
        </w:rPr>
        <w:t xml:space="preserve"> animovaný,</w:t>
      </w:r>
      <w:r w:rsidRPr="000D17CF">
        <w:rPr>
          <w:szCs w:val="26"/>
        </w:rPr>
        <w:t xml:space="preserve"> popřípadě hudební. </w:t>
      </w:r>
      <w:r w:rsidR="00DD2832">
        <w:rPr>
          <w:szCs w:val="26"/>
        </w:rPr>
        <w:t>Yannakis zahrnuje do oblasti PCG i generování personalizovaného obsahu, které se uplatňuje například v</w:t>
      </w:r>
      <w:r w:rsidR="00C727E8">
        <w:rPr>
          <w:szCs w:val="26"/>
        </w:rPr>
        <w:t> rozhraních pro</w:t>
      </w:r>
      <w:r w:rsidR="00DD2832">
        <w:rPr>
          <w:szCs w:val="26"/>
        </w:rPr>
        <w:t> e-commerce</w:t>
      </w:r>
      <w:r w:rsidR="00C727E8">
        <w:rPr>
          <w:szCs w:val="26"/>
        </w:rPr>
        <w:t xml:space="preserve"> a uživatelských rozhraních obecně </w:t>
      </w:r>
      <w:r w:rsidR="00C727E8">
        <w:rPr>
          <w:szCs w:val="26"/>
        </w:rPr>
        <w:fldChar w:fldCharType="begin"/>
      </w:r>
      <w:r w:rsidR="003D3656">
        <w:rPr>
          <w:szCs w:val="26"/>
        </w:rPr>
        <w:instrText xml:space="preserve"> ADDIN ZOTERO_ITEM CSL_CITATION {"citationID":"vswmLAhB","properties":{"formattedCitation":"(Yannakakis a Togelius 2011)","plainCitation":"(Yannakakis a Togelius 2011)","noteIndex":0},"citationItems":[{"id":"hA0wgkxk/Xf47Iwoh","uris":["http://zotero.org/users/local/IbRhotwj/items/U9JJ3SLH"],"uri":["http://zotero.org/users/local/IbRhotwj/items/U9JJ3SLH"],"itemData":{"id":7,"type":"article-journal","title":"Experience-Driven Procedural Content Generation","container-title":"IEEE Transactions on Affective Computing","page":"147-161","volume":"2","issue":"3","source":"IEEE Xplore","abstract":"Procedural content generation (PCG) is an increasingly important area of technology within modern human-computer interaction (HCI) design. Personalization of user experience via affective and cognitive modeling, coupled with real-time adjustment of the content according to user needs and preferences are important steps toward effective and meaningful PCG. Games, Web 2.0, interface, and software design are among the most popular applications of automated content generation. The paper provides a taxonomy of PCG algorithms and introduces a framework for PCG driven by computational models of user experience. This approach, which we call Experience-Driven Procedural Content Generation (EDPCG), is generic and applicable to various subareas of HCI. We employ games as an example indicative of rich HCI and complex affect elicitation, and demonstrate the approach's effectiveness via dissimilar successful studies.","DOI":"10.1109/T-AFFC.2011.6","ISSN":"1949-3045","author":[{"family":"Yannakakis","given":"G. N."},{"family":"Togelius","given":"J."}],"issued":{"date-parts":[["2011",7]]}}}],"schema":"https://github.com/citation-style-language/schema/raw/master/csl-citation.json"} </w:instrText>
      </w:r>
      <w:r w:rsidR="00C727E8">
        <w:rPr>
          <w:szCs w:val="26"/>
        </w:rPr>
        <w:fldChar w:fldCharType="separate"/>
      </w:r>
      <w:r w:rsidR="00C727E8" w:rsidRPr="00C727E8">
        <w:t>(Yannakakis a Togelius 2011)</w:t>
      </w:r>
      <w:r w:rsidR="00C727E8">
        <w:rPr>
          <w:szCs w:val="26"/>
        </w:rPr>
        <w:fldChar w:fldCharType="end"/>
      </w:r>
      <w:r w:rsidR="00C727E8">
        <w:rPr>
          <w:szCs w:val="26"/>
        </w:rPr>
        <w:t>.</w:t>
      </w:r>
    </w:p>
    <w:p w:rsidR="004916E8" w:rsidRDefault="000D17CF" w:rsidP="000D17CF">
      <w:pPr>
        <w:pStyle w:val="Stadnartntext"/>
        <w:rPr>
          <w:szCs w:val="26"/>
        </w:rPr>
      </w:pPr>
      <w:r w:rsidRPr="000D17CF">
        <w:rPr>
          <w:szCs w:val="26"/>
        </w:rPr>
        <w:tab/>
        <w:t>Univerzální vlastností většiny algoritmů pro PCG je, že ve svém těle pracují s faktorem nahodilosti, který je nezbytný pro zajištění diverzity obsahu.</w:t>
      </w:r>
      <w:r w:rsidR="005D561C">
        <w:rPr>
          <w:szCs w:val="26"/>
        </w:rPr>
        <w:t xml:space="preserve"> Základ</w:t>
      </w:r>
      <w:r w:rsidR="00DD2832">
        <w:rPr>
          <w:szCs w:val="26"/>
        </w:rPr>
        <w:t>ní metodou</w:t>
      </w:r>
      <w:r w:rsidR="005D561C">
        <w:rPr>
          <w:szCs w:val="26"/>
        </w:rPr>
        <w:t xml:space="preserve"> pro</w:t>
      </w:r>
      <w:r w:rsidR="00DD2832">
        <w:rPr>
          <w:szCs w:val="26"/>
        </w:rPr>
        <w:t xml:space="preserve"> naplnění tohoto kritéria</w:t>
      </w:r>
      <w:r w:rsidR="005D561C">
        <w:rPr>
          <w:szCs w:val="26"/>
        </w:rPr>
        <w:t xml:space="preserve"> </w:t>
      </w:r>
      <w:r w:rsidR="00DD2832">
        <w:rPr>
          <w:szCs w:val="26"/>
        </w:rPr>
        <w:t>je</w:t>
      </w:r>
      <w:r w:rsidR="005D561C">
        <w:rPr>
          <w:szCs w:val="26"/>
        </w:rPr>
        <w:t xml:space="preserve"> například implementace pseudonáhodných čísel v podobě šumu </w:t>
      </w:r>
      <w:r w:rsidR="005D561C">
        <w:rPr>
          <w:szCs w:val="26"/>
        </w:rPr>
        <w:fldChar w:fldCharType="begin"/>
      </w:r>
      <w:r w:rsidR="003D3656">
        <w:rPr>
          <w:szCs w:val="26"/>
        </w:rPr>
        <w:instrText xml:space="preserve"> ADDIN ZOTERO_ITEM CSL_CITATION {"citationID":"hAxwP6FL","properties":{"formattedCitation":"(HENDRIKX a MEIJER nedatov\\uc0\\u225{}no)","plainCitation":"(HENDRIKX a MEIJER nedatováno)","noteIndex":0},"citationItems":[{"id":9,"uris":["http://zotero.org/users/local/DXBpxSa9/items/J5F2HNBE"],"uri":["http://zotero.org/users/local/DXBpxSa9/items/J5F2HNBE"],"itemData":{"id":9,"type":"article-journal","title":"Procedural Content Generation for Games: A Survey","page":"24","source":"Zotero","language":"en","author":[{"family":"HENDRIKX","given":"MARK"},{"family":"MEIJER","given":"SEBASTIAAN"}]}}],"schema":"https://github.com/citation-style-language/schema/raw/master/csl-citation.json"} </w:instrText>
      </w:r>
      <w:r w:rsidR="005D561C">
        <w:rPr>
          <w:szCs w:val="26"/>
        </w:rPr>
        <w:fldChar w:fldCharType="separate"/>
      </w:r>
      <w:r w:rsidR="005D561C" w:rsidRPr="005D561C">
        <w:rPr>
          <w:rFonts w:cs="Times New Roman"/>
          <w:szCs w:val="24"/>
        </w:rPr>
        <w:t>(HENDRIKX a MEIJER nedatováno)</w:t>
      </w:r>
      <w:r w:rsidR="005D561C">
        <w:rPr>
          <w:szCs w:val="26"/>
        </w:rPr>
        <w:fldChar w:fldCharType="end"/>
      </w:r>
      <w:r w:rsidR="005D561C">
        <w:rPr>
          <w:szCs w:val="26"/>
        </w:rPr>
        <w:t>.</w:t>
      </w:r>
      <w:r w:rsidRPr="000D17CF">
        <w:rPr>
          <w:szCs w:val="26"/>
        </w:rPr>
        <w:t xml:space="preserve"> </w:t>
      </w:r>
      <w:r w:rsidRPr="00DD2832">
        <w:t xml:space="preserve">Mezi další podstatné vlastnosti PCG algoritmů patří rychlost, spolehlivost, kontrolovatelnost a uvěřitelnost </w:t>
      </w:r>
      <w:r w:rsidRPr="00DD2832">
        <w:fldChar w:fldCharType="begin"/>
      </w:r>
      <w:r w:rsidR="003D3656">
        <w:instrText xml:space="preserve"> ADDIN ZOTERO_ITEM CSL_CITATION {"citationID":"LuIzVeMb","properties":{"formattedCitation":"(Julian et al. 2016)","plainCitation":"(Julian et al. 2016)","noteIndex":0},"citationItems":[{"id":22,"uris":["http://zotero.org/users/local/DXBpxSa9/items/6WLTVEKV"],"uri":["http://zotero.org/users/local/DXBpxSa9/items/6WLTVEKV"],"itemData":{"id":22,"type":"chapter","title":"Introduction","container-title":"Procedural Content Generation in Games: A Textbook and an Overview of Current Research","publisher":"Springer","ISBN":"978-3-319-42714-0","author":[{"family":"Julian","given":"Togelius"},{"family":"Shaker","given":"Noor"},{"family":"Nelson","given":"Mark J."}],"issued":{"date-parts":[["2016"]]}}}],"schema":"https://github.com/citation-style-language/schema/raw/master/csl-citation.json"} </w:instrText>
      </w:r>
      <w:r w:rsidRPr="00DD2832">
        <w:fldChar w:fldCharType="separate"/>
      </w:r>
      <w:r w:rsidRPr="00DD2832">
        <w:t>(Julian et al. 2016)</w:t>
      </w:r>
      <w:r w:rsidRPr="00DD2832">
        <w:fldChar w:fldCharType="end"/>
      </w:r>
      <w:r w:rsidR="004916E8" w:rsidRPr="00DD2832">
        <w:t xml:space="preserve">. </w:t>
      </w:r>
      <w:r w:rsidRPr="00DD2832">
        <w:t xml:space="preserve">Smith ve svém článků užívá v kontextu PCG výstižný pojem „řízená nahodilost“ </w:t>
      </w:r>
      <w:r w:rsidRPr="00DD2832">
        <w:fldChar w:fldCharType="begin"/>
      </w:r>
      <w:r w:rsidR="003D3656">
        <w:instrText xml:space="preserve"> ADDIN ZOTERO_ITEM CSL_CITATION {"citationID":"Kf5Ujwvw","properties":{"formattedCitation":"(Smith nedatov\\uc0\\u225{}no)","plainCitation":"(Smith nedatováno)","noteIndex":0},"citationItems":[{"id":5,"uris":["http://zotero.org/users/local/DXBpxSa9/items/32KBZY8W"],"uri":["http://zotero.org/users/local/DXBpxSa9/items/32KBZY8W"],"itemData":{"id":5,"type":"article-journal","title":"An Analog History of Procedural Content Generation","page":"6","source":"Zotero","abstract":"Procedural content generation (PCG) is typically considered a feature of digital games. Commonly cited “first” uses of PCG are usually digital games from the early 1980s: Rogue or Elite. However, when broadly construed, PCG simply means that content is generated following a formal procedure—the agent that enacts this procedure is merely assumed to be a computer. The precursors to what we now call PCG are to be found in games where it is a human who is asked to follow a procedure to generate game content, and the earliest digital uses are crude reproductions of those same games. This paper explores the role that PCG has played in analog games and how it has influenced PCG in digital games. In doing so, we can gain insight into the nature of content generation and can more easily define the boundaries of what we typically consider PCG to encompass.","language":"en","author":[{"family":"Smith","given":"Gillian"}]}}],"schema":"https://github.com/citation-style-language/schema/raw/master/csl-citation.json"} </w:instrText>
      </w:r>
      <w:r w:rsidRPr="00DD2832">
        <w:fldChar w:fldCharType="separate"/>
      </w:r>
      <w:r w:rsidRPr="00DD2832">
        <w:t>(Smith nedatováno)</w:t>
      </w:r>
      <w:r w:rsidRPr="00DD2832">
        <w:fldChar w:fldCharType="end"/>
      </w:r>
      <w:r w:rsidRPr="00DD2832">
        <w:t>. Nahodilost má v PCG efekt spíše na dílčí částí negenerovaného obsahu, ale nikoliv už na celek, který musí být uvěřitelný, popřípadě hratelný.</w:t>
      </w:r>
      <w:r w:rsidR="005D561C" w:rsidRPr="00DD2832">
        <w:t xml:space="preserve"> Demonstrováno na příkladu: distribuce jednotlivých listů může být náhodná do té míry, do kdy se objekt jeví stále jako objekt dané třídy, v našem případě jako strom.</w:t>
      </w:r>
      <w:r w:rsidRPr="00DD2832">
        <w:t xml:space="preserve"> Termínem „řízená“ je vystihnuto kritérium pro smysluplnost, ze kterého vyplývá další podstatná vlastnost PCG algoritmů</w:t>
      </w:r>
      <w:r w:rsidRPr="000D17CF">
        <w:rPr>
          <w:szCs w:val="26"/>
        </w:rPr>
        <w:t>, kterou je přítom</w:t>
      </w:r>
      <w:r>
        <w:rPr>
          <w:szCs w:val="26"/>
        </w:rPr>
        <w:t xml:space="preserve">nost určitých </w:t>
      </w:r>
      <w:r>
        <w:rPr>
          <w:szCs w:val="26"/>
        </w:rPr>
        <w:lastRenderedPageBreak/>
        <w:t xml:space="preserve">omezení (pravidel, </w:t>
      </w:r>
      <w:r w:rsidRPr="000D17CF">
        <w:rPr>
          <w:szCs w:val="26"/>
        </w:rPr>
        <w:t xml:space="preserve">constraints), které v jádře algoritmu zajišťují, že obsah bude koherentní. </w:t>
      </w:r>
    </w:p>
    <w:p w:rsidR="00FB0812" w:rsidRDefault="00FB0812" w:rsidP="00FB0812">
      <w:pPr>
        <w:pStyle w:val="Heading2"/>
      </w:pPr>
      <w:r>
        <w:t>Klasifikace PCG algoritmů</w:t>
      </w:r>
    </w:p>
    <w:p w:rsidR="000D17CF" w:rsidRPr="00DD2832" w:rsidRDefault="000D17CF" w:rsidP="00C727E8">
      <w:pPr>
        <w:pStyle w:val="Stadnartntext"/>
        <w:ind w:firstLine="708"/>
      </w:pPr>
      <w:r w:rsidRPr="000D17CF">
        <w:t xml:space="preserve">Algoritmy PCG </w:t>
      </w:r>
      <w:r w:rsidR="004916E8">
        <w:t>se dělí na parametrizovatelné</w:t>
      </w:r>
      <w:r w:rsidR="00880418">
        <w:t xml:space="preserve"> (assisted)</w:t>
      </w:r>
      <w:r w:rsidR="004916E8">
        <w:t xml:space="preserve"> a na ty které ke svému fungování žádnou parametrizaci nepotřebují</w:t>
      </w:r>
      <w:r w:rsidR="00880418">
        <w:t xml:space="preserve"> (non-assisted)</w:t>
      </w:r>
      <w:r w:rsidR="004916E8">
        <w:t>. I minimální parametrizace</w:t>
      </w:r>
      <w:r w:rsidR="00880418">
        <w:t xml:space="preserve"> jako</w:t>
      </w:r>
      <w:r w:rsidR="004916E8">
        <w:t xml:space="preserve"> </w:t>
      </w:r>
      <w:r w:rsidR="00880418" w:rsidRPr="00DD2832">
        <w:t>například definice</w:t>
      </w:r>
      <w:r w:rsidRPr="00DD2832">
        <w:t xml:space="preserve"> </w:t>
      </w:r>
      <w:r w:rsidR="00880418" w:rsidRPr="00DD2832">
        <w:t>počtu iterací spadá do skupiny par</w:t>
      </w:r>
      <w:r w:rsidR="00FB0812" w:rsidRPr="00DD2832">
        <w:t>ametrizovatelných PCG algoritmů</w:t>
      </w:r>
      <w:r w:rsidR="00595AF0" w:rsidRPr="00DD2832">
        <w:t>, které nabízejí designérovy kontrolu nad finální podobou generovaného obsahu.</w:t>
      </w:r>
      <w:r w:rsidR="00880418" w:rsidRPr="00DD2832">
        <w:t xml:space="preserve"> </w:t>
      </w:r>
      <w:r w:rsidR="00880418" w:rsidRPr="00DD2832">
        <w:fldChar w:fldCharType="begin"/>
      </w:r>
      <w:r w:rsidR="003D3656">
        <w:instrText xml:space="preserve"> ADDIN ZOTERO_ITEM CSL_CITATION {"citationID":"p5wx0JlT","properties":{"formattedCitation":"(Carli et al. 2011)","plainCitation":"(Carli et al. 2011)","noteIndex":0},"citationItems":[{"id":24,"uris":["http://zotero.org/users/local/DXBpxSa9/items/KC6X42E4"],"uri":["http://zotero.org/users/local/DXBpxSa9/items/KC6X42E4"],"itemData":{"id":24,"type":"paper-conference","title":"A Survey of Procedural Content Generation Techniques Suitable to Game Development","container-title":"2011 Brazilian Symposium on Games and Digital Entertainment","page":"26-35","source":"IEEE Xplore","event":"2011 Brazilian Symposium on Games and Digital Entertainment","abstract":"The development of a complex game is a time consuming task that requires a significant amount of content generation, including terrains, objects, characters, etc that requires a lot of effort from the a designing team. The quality of such content impacts the project costs and budget. One of the biggest challenges concerning the content is how to improve its details and at the same time lower the creation costs. In this context procedural content generation techniques can help to reduce the costs associated with content creation. This paper presents a survey of classical and modern techniques focused on procedural content generation suitable for game development. They can be used to produce terrains, coastlines, rivers, roads and cities. All techniques are classified as assisted (require human intervention/guidance in order to produce results) or non-assisted (require few or no human intervention/guidance to produce the desired results).","DOI":"10.1109/SBGAMES.2011.15","author":[{"family":"Carli","given":"D. M. D."},{"family":"Bevilacqua","given":"F."},{"family":"Pozzer","given":"C. T."},{"family":"dOrnellas","given":"M. C."}],"issued":{"date-parts":[["2011",11]]}}}],"schema":"https://github.com/citation-style-language/schema/raw/master/csl-citation.json"} </w:instrText>
      </w:r>
      <w:r w:rsidR="00880418" w:rsidRPr="00DD2832">
        <w:fldChar w:fldCharType="separate"/>
      </w:r>
      <w:r w:rsidR="00880418" w:rsidRPr="00DD2832">
        <w:t>(Carli et al. 2011)</w:t>
      </w:r>
      <w:r w:rsidR="00880418" w:rsidRPr="00DD2832">
        <w:fldChar w:fldCharType="end"/>
      </w:r>
      <w:r w:rsidR="00FB0812" w:rsidRPr="00DD2832">
        <w:t>.</w:t>
      </w:r>
      <w:r w:rsidR="00595AF0" w:rsidRPr="00DD2832">
        <w:t xml:space="preserve"> </w:t>
      </w:r>
    </w:p>
    <w:p w:rsidR="002226E4" w:rsidRDefault="002226E4" w:rsidP="00C727E8">
      <w:pPr>
        <w:pStyle w:val="Stadnartntext"/>
        <w:ind w:firstLine="708"/>
      </w:pPr>
      <w:r w:rsidRPr="00DD2832">
        <w:t xml:space="preserve">Další dělení </w:t>
      </w:r>
      <w:r w:rsidR="00F203C1" w:rsidRPr="00DD2832">
        <w:t xml:space="preserve">definující </w:t>
      </w:r>
      <w:r w:rsidR="006265A3" w:rsidRPr="00DD2832">
        <w:t>PCG algoritmy</w:t>
      </w:r>
      <w:r w:rsidR="005D561C" w:rsidRPr="00DD2832">
        <w:t xml:space="preserve"> se týká toho</w:t>
      </w:r>
      <w:r w:rsidR="005D561C">
        <w:t>, zda</w:t>
      </w:r>
      <w:r w:rsidR="00F203C1">
        <w:t>li</w:t>
      </w:r>
      <w:r w:rsidR="006265A3">
        <w:t xml:space="preserve"> má</w:t>
      </w:r>
      <w:r w:rsidR="00F203C1">
        <w:t xml:space="preserve"> </w:t>
      </w:r>
      <w:r w:rsidR="005D561C">
        <w:t>generování zpětnou</w:t>
      </w:r>
      <w:r w:rsidR="006265A3">
        <w:t xml:space="preserve"> vazbu </w:t>
      </w:r>
      <w:r w:rsidR="00F203C1">
        <w:t>na</w:t>
      </w:r>
      <w:r w:rsidR="006265A3">
        <w:t xml:space="preserve"> uživatelské</w:t>
      </w:r>
      <w:r w:rsidR="00F203C1">
        <w:t xml:space="preserve"> </w:t>
      </w:r>
      <w:r w:rsidR="006265A3">
        <w:t>interakce nebo takovou vazbu nemá.</w:t>
      </w:r>
      <w:r w:rsidR="00DB7B6E">
        <w:t xml:space="preserve"> Popřípadě zdali se obsah generuje při běhu aplikace (</w:t>
      </w:r>
      <w:r w:rsidR="00DB7B6E" w:rsidRPr="00DD2832">
        <w:t>online) nebo slouží pouze jako podpůrný nástro</w:t>
      </w:r>
      <w:r w:rsidR="00FB0812" w:rsidRPr="00DD2832">
        <w:t>j</w:t>
      </w:r>
      <w:r w:rsidR="00DB7B6E" w:rsidRPr="00DD2832">
        <w:t xml:space="preserve"> designu při vývoji (offline)</w:t>
      </w:r>
      <w:r w:rsidR="00595AF0" w:rsidRPr="00DD2832">
        <w:t xml:space="preserve"> </w:t>
      </w:r>
      <w:r w:rsidR="00DB7B6E" w:rsidRPr="00DD2832">
        <w:fldChar w:fldCharType="begin"/>
      </w:r>
      <w:r w:rsidR="003D3656">
        <w:instrText xml:space="preserve"> ADDIN ZOTERO_ITEM CSL_CITATION {"citationID":"BEscX42K","properties":{"formattedCitation":"(Togelius et al. 2010)","plainCitation":"(Togelius et al. 2010)","noteIndex":0},"citationItems":[{"id":11,"uris":["http://zotero.org/users/local/DXBpxSa9/items/NCXZPGAV"],"uri":["http://zotero.org/users/local/DXBpxSa9/items/NCXZPGAV"],"itemData":{"id":11,"type":"chapter","title":"Search-Based Procedural Content Generation","container-title":"Applications of Evolutionary Computation","publisher":"Springer Berlin Heidelberg","publisher-place":"Berlin, Heidelberg","page":"141-150","volume":"6024","source":"Crossref","event-place":"Berlin, Heidelberg","abstract":"Recently, a small number of papers have appeared in which the authors implement stochastic search algorithms, such as evolutionary computation, to generate game content, such as levels, rules and weapons. We propose a taxonomy of such approaches, centring on what sort of content is generated, how the content is represented, and how the quality of the content is evaluated. The relation between search-based and other types of procedural content generation is described, as are some of the main research challenges in this new ﬁeld. The paper ends with some successful examples of this approach.","URL":"http://link.springer.com/10.1007/978-3-642-12239-2_15","ISBN":"978-3-642-12238-5","note":"DOI: 10.1007/978-3-642-12239-2_15","language":"en","author":[{"family":"Togelius","given":"Julian"},{"family":"Yannakakis","given":"Georgios N."},{"family":"Stanley","given":"Kenneth O."},{"family":"Browne","given":"Cameron"}],"editor":[{"family":"Di Chio","given":"Cecilia"},{"family":"Cagnoni","given":"Stefano"},{"family":"Cotta","given":"Carlos"},{"family":"Ebner","given":"Marc"},{"family":"Ekárt","given":"Anikó"},{"family":"Esparcia-Alcazar","given":"Anna I."},{"family":"Goh","given":"Chi-Keong"},{"family":"Merelo","given":"Juan J."},{"family":"Neri","given":"Ferrante"},{"family":"Preuß","given":"Mike"},{"family":"Togelius","given":"Julian"},{"family":"Yannakakis","given":"Georgios N."}],"collection-editor":[{"family":"Hutchison","given":"David"},{"family":"Kanade","given":"Takeo"},{"family":"Kittler","given":"Josef"},{"family":"Kleinberg","given":"Jon M."},{"family":"Mattern","given":"Friedemann"},{"family":"Mitchell","given":"John C."},{"family":"Naor","given":"Moni"},{"family":"Nierstrasz","given":"Oscar"},{"family":"Pandu Rangan","given":"C."},{"family":"Steffen","given":"Bernhard"},{"family":"Sudan","given":"Madhu"},{"family":"Terzopoulos","given":"Demetri"},{"family":"Tygar","given":"Doug"},{"family":"Vardi","given":"Moshe Y."},{"family":"Weikum","given":"Gerhard"}],"issued":{"date-parts":[["2010"]]},"accessed":{"date-parts":[["2018",5,31]]}}}],"schema":"https://github.com/citation-style-language/schema/raw/master/csl-citation.json"} </w:instrText>
      </w:r>
      <w:r w:rsidR="00DB7B6E" w:rsidRPr="00DD2832">
        <w:fldChar w:fldCharType="separate"/>
      </w:r>
      <w:r w:rsidR="00DB7B6E" w:rsidRPr="00DD2832">
        <w:t>(Togelius et al. 2010)</w:t>
      </w:r>
      <w:r w:rsidR="00DB7B6E" w:rsidRPr="00DD2832">
        <w:fldChar w:fldCharType="end"/>
      </w:r>
      <w:r w:rsidR="00DB7B6E" w:rsidRPr="00DD2832">
        <w:t>.</w:t>
      </w:r>
      <w:r w:rsidR="00DD2832">
        <w:t xml:space="preserve"> </w:t>
      </w:r>
    </w:p>
    <w:p w:rsidR="00DD2832" w:rsidRDefault="00DD2832" w:rsidP="00DD2832">
      <w:pPr>
        <w:pStyle w:val="Stadnartntext"/>
      </w:pPr>
      <w:r>
        <w:tab/>
        <w:t xml:space="preserve">Jedná-li se o algoritmus, který přímo reaguje na interakci s uživatelem </w:t>
      </w:r>
      <w:r w:rsidR="00C727E8">
        <w:t xml:space="preserve">a </w:t>
      </w:r>
      <w:r>
        <w:t>v rámci běhu aplikace</w:t>
      </w:r>
      <w:r w:rsidR="00C727E8">
        <w:t xml:space="preserve"> dotváří „personalizovaný obsah“</w:t>
      </w:r>
      <w:r>
        <w:t>, označuje ho Yannakakis zkratkou EDPCG (Experience-drive procedural content generation).</w:t>
      </w:r>
      <w:r w:rsidR="00C727E8">
        <w:t xml:space="preserve"> </w:t>
      </w:r>
      <w:r>
        <w:t xml:space="preserve"> </w:t>
      </w:r>
    </w:p>
    <w:p w:rsidR="000D17CF" w:rsidRPr="000D17CF" w:rsidRDefault="000D17CF" w:rsidP="000D17CF">
      <w:pPr>
        <w:pStyle w:val="Heading2"/>
      </w:pPr>
      <w:r>
        <w:t>Tradiční metody procedurálního generování</w:t>
      </w:r>
    </w:p>
    <w:p w:rsidR="000D17CF" w:rsidRPr="00DD2832" w:rsidRDefault="000D17CF" w:rsidP="000D17CF">
      <w:pPr>
        <w:pStyle w:val="Stadnartntext"/>
      </w:pPr>
      <w:r w:rsidRPr="000D17CF">
        <w:rPr>
          <w:szCs w:val="26"/>
        </w:rPr>
        <w:tab/>
        <w:t xml:space="preserve">Tradiční PCG algoritmy jsou založeny na poznatcích z mnoha oblastí informatiky. Pro generování grafického obsahu se užívají evoluční algoritmy, Lindenmayerovi systémy, fraktály, a další specifickým způsobem aplikované postupy, které pro každý svůj běh negenerují jiný, přesto smysluplný a monotematický obsah. K tomu lze podotknout, že  „Všechny tyto metody mají společné to, že tyto algoritmy, parametry, omezení a cíle, které se podílí na vytváření obsahu jsou v podstatě ručně definované svými tvůrci“ </w:t>
      </w:r>
      <w:r w:rsidRPr="00DD2832">
        <w:fldChar w:fldCharType="begin"/>
      </w:r>
      <w:r w:rsidR="003D3656">
        <w:instrText xml:space="preserve"> ADDIN ZOTERO_ITEM CSL_CITATION {"citationID":"Zqhs2ljz","properties":{"formattedCitation":"(Summerville et al. 2017)","plainCitation":"(Summerville et al. 2017)","noteIndex":0},"citationItems":[{"id":2,"uris":["http://zotero.org/users/local/DXBpxSa9/items/YXC6SJCI"],"uri":["http://zotero.org/users/local/DXBpxSa9/items/YXC6SJCI"],"itemData":{"id":2,"type":"article-journal","title":"Procedural Content Generation via Machine Learning (PCGML)","container-title":"arXiv:1702.00539 [cs]","source":"arXiv.org","abstract":"This survey explores Procedural Content Generation via Machine Learning (PCGML), defined as the generation of game content using machine learning models trained on existing content. As the importance of PCG for game development increases, researchers explore new avenues for generating high-quality content with or without human involvement; this paper addresses the relatively new paradigm of using machine learning (in contrast with search-based, solver-based, and constructive methods). We focus on what is most often considered functional game content such as platformer levels, game maps, interactive fiction stories, and cards in collectible card games, as opposed to cosmetic content such as sprites and sound effects. In addition to using PCG for autonomous generation, co-creativity, mixed-initiative design, and compression, PCGML is suited for repair, critique, and content analysis because of its focus on modeling existing content. We discuss various data sources and representations that affect the resulting generated content. Multiple PCGML methods are covered, including neural networks, long short-term memory (LSTM) networks, autoencoders, and deep convolutional networks; Markov models, $n$-grams, and multi-dimensional Markov chains; clustering; and matrix factorization. Finally, we discuss open problems in the application of PCGML, including learning from small datasets, lack of training data, multi-layered learning, style-transfer, parameter tuning, and PCG as a game mechanic.","URL":"http://arxiv.org/abs/1702.00539","note":"arXiv: 1702.00539","author":[{"family":"Summerville","given":"Adam"},{"family":"Snodgrass","given":"Sam"},{"family":"Guzdial","given":"Matthew"},{"family":"Holmgård","given":"Christoffer"},{"family":"Hoover","given":"Amy K."},{"family":"Isaksen","given":"Aaron"},{"family":"Nealen","given":"Andy"},{"family":"Togelius","given":"Julian"}],"issued":{"date-parts":[["2017",2,1]]},"accessed":{"date-parts":[["2018",5,31]]}}}],"schema":"https://github.com/citation-style-language/schema/raw/master/csl-citation.json"} </w:instrText>
      </w:r>
      <w:r w:rsidRPr="00DD2832">
        <w:fldChar w:fldCharType="separate"/>
      </w:r>
      <w:r w:rsidRPr="00DD2832">
        <w:t>(Summerville et al. 2017)</w:t>
      </w:r>
      <w:r w:rsidRPr="00DD2832">
        <w:fldChar w:fldCharType="end"/>
      </w:r>
    </w:p>
    <w:p w:rsidR="00E95442" w:rsidRPr="00595AF0" w:rsidRDefault="00E95442" w:rsidP="00595AF0">
      <w:pPr>
        <w:pStyle w:val="Stadnartntext"/>
        <w:ind w:firstLine="708"/>
      </w:pPr>
      <w:r>
        <w:lastRenderedPageBreak/>
        <w:t xml:space="preserve">Stěžejní proměnou PCG algoritmů je podoba reprezentace obecných genotypů, na základě kterých vzniká vždy originální entita (fenotyp). Tato reprezentace nabývá mnoha podob. Takové genotypy mohou reprezentovat jak obecné geometrie objektů, tak například obecné vztahy mezi nimi. Tato biologická paralela vychází z často aplikované metody PCG, kterou jsou genetické algoritmy.   </w:t>
      </w:r>
    </w:p>
    <w:p w:rsidR="000D17CF" w:rsidRDefault="00880418" w:rsidP="000D17CF">
      <w:pPr>
        <w:pStyle w:val="Heading2"/>
      </w:pPr>
      <w:r>
        <w:t>Potenciál,</w:t>
      </w:r>
      <w:r w:rsidR="000D17CF">
        <w:t xml:space="preserve"> účel</w:t>
      </w:r>
      <w:r>
        <w:t xml:space="preserve"> a vize</w:t>
      </w:r>
      <w:r w:rsidR="000D17CF">
        <w:t xml:space="preserve"> </w:t>
      </w:r>
      <w:r>
        <w:t>PCG</w:t>
      </w:r>
    </w:p>
    <w:p w:rsidR="004916E8" w:rsidRDefault="004916E8" w:rsidP="004916E8">
      <w:pPr>
        <w:pStyle w:val="Stadnartntext"/>
      </w:pPr>
      <w:r>
        <w:tab/>
        <w:t>Klíčovou součástí moderních vizualizací</w:t>
      </w:r>
      <w:r w:rsidR="00880418">
        <w:t>,</w:t>
      </w:r>
      <w:r>
        <w:t xml:space="preserve"> popřípadě počítačových her jsou namodelované objekty plnící buď kosmetickou</w:t>
      </w:r>
      <w:r w:rsidR="00880418">
        <w:t xml:space="preserve"> či</w:t>
      </w:r>
      <w:r>
        <w:t xml:space="preserve"> interaktivní funkcí. </w:t>
      </w:r>
      <w:r w:rsidR="00880418">
        <w:t xml:space="preserve">Nevyužije-li se v rámci produkce PCG metod je všechen obsah modelován ručně. Taková praxe výrazně zvyšuje cenu produktu a prodlužuje dobu jeho vývoje. </w:t>
      </w:r>
      <w:r w:rsidR="000C1BB6">
        <w:t>Na druhé straně je možné potenciál PCG použít pouze tam, kde prvek prvek náhody dotváří funkci herního mechanismu nebo vytváří diverzitu, která nenarušuje účel obsahu</w:t>
      </w:r>
      <w:r w:rsidR="00FB0812">
        <w:t xml:space="preserve"> (nebrání například v postupu)</w:t>
      </w:r>
      <w:r w:rsidR="000C1BB6">
        <w:t xml:space="preserve">. </w:t>
      </w:r>
      <w:r w:rsidR="00FB0812">
        <w:t>Generovaný obsah tedy může být na základě tohoto kritéria rozdělen na funkční (necessary) a kosmetický (optional content)</w:t>
      </w:r>
      <w:r w:rsidR="00FB0812">
        <w:fldChar w:fldCharType="begin"/>
      </w:r>
      <w:r w:rsidR="003D3656">
        <w:instrText xml:space="preserve"> ADDIN ZOTERO_ITEM CSL_CITATION {"citationID":"x9IwyJNB","properties":{"formattedCitation":"(Togelius et al. 2010)","plainCitation":"(Togelius et al. 2010)","noteIndex":0},"citationItems":[{"id":11,"uris":["http://zotero.org/users/local/DXBpxSa9/items/NCXZPGAV"],"uri":["http://zotero.org/users/local/DXBpxSa9/items/NCXZPGAV"],"itemData":{"id":11,"type":"chapter","title":"Search-Based Procedural Content Generation","container-title":"Applications of Evolutionary Computation","publisher":"Springer Berlin Heidelberg","publisher-place":"Berlin, Heidelberg","page":"141-150","volume":"6024","source":"Crossref","event-place":"Berlin, Heidelberg","abstract":"Recently, a small number of papers have appeared in which the authors implement stochastic search algorithms, such as evolutionary computation, to generate game content, such as levels, rules and weapons. We propose a taxonomy of such approaches, centring on what sort of content is generated, how the content is represented, and how the quality of the content is evaluated. The relation between search-based and other types of procedural content generation is described, as are some of the main research challenges in this new ﬁeld. The paper ends with some successful examples of this approach.","URL":"http://link.springer.com/10.1007/978-3-642-12239-2_15","ISBN":"978-3-642-12238-5","note":"DOI: 10.1007/978-3-642-12239-2_15","language":"en","author":[{"family":"Togelius","given":"Julian"},{"family":"Yannakakis","given":"Georgios N."},{"family":"Stanley","given":"Kenneth O."},{"family":"Browne","given":"Cameron"}],"editor":[{"family":"Di Chio","given":"Cecilia"},{"family":"Cagnoni","given":"Stefano"},{"family":"Cotta","given":"Carlos"},{"family":"Ebner","given":"Marc"},{"family":"Ekárt","given":"Anikó"},{"family":"Esparcia-Alcazar","given":"Anna I."},{"family":"Goh","given":"Chi-Keong"},{"family":"Merelo","given":"Juan J."},{"family":"Neri","given":"Ferrante"},{"family":"Preuß","given":"Mike"},{"family":"Togelius","given":"Julian"},{"family":"Yannakakis","given":"Georgios N."}],"collection-editor":[{"family":"Hutchison","given":"David"},{"family":"Kanade","given":"Takeo"},{"family":"Kittler","given":"Josef"},{"family":"Kleinberg","given":"Jon M."},{"family":"Mattern","given":"Friedemann"},{"family":"Mitchell","given":"John C."},{"family":"Naor","given":"Moni"},{"family":"Nierstrasz","given":"Oscar"},{"family":"Pandu Rangan","given":"C."},{"family":"Steffen","given":"Bernhard"},{"family":"Sudan","given":"Madhu"},{"family":"Terzopoulos","given":"Demetri"},{"family":"Tygar","given":"Doug"},{"family":"Vardi","given":"Moshe Y."},{"family":"Weikum","given":"Gerhard"}],"issued":{"date-parts":[["2010"]]},"accessed":{"date-parts":[["2018",5,31]]}}}],"schema":"https://github.com/citation-style-language/schema/raw/master/csl-citation.json"} </w:instrText>
      </w:r>
      <w:r w:rsidR="00FB0812">
        <w:fldChar w:fldCharType="separate"/>
      </w:r>
      <w:r w:rsidR="00FB0812" w:rsidRPr="00FB0812">
        <w:t>(Togelius et al. 2010)</w:t>
      </w:r>
      <w:r w:rsidR="00FB0812">
        <w:fldChar w:fldCharType="end"/>
      </w:r>
      <w:r w:rsidR="00FB0812">
        <w:t>.</w:t>
      </w:r>
    </w:p>
    <w:p w:rsidR="000C1BB6" w:rsidRDefault="000C1BB6" w:rsidP="004916E8">
      <w:pPr>
        <w:pStyle w:val="Stadnartntext"/>
      </w:pPr>
      <w:r>
        <w:tab/>
        <w:t>Vize a cíle současného bá</w:t>
      </w:r>
      <w:r w:rsidR="006265A3">
        <w:t>daní</w:t>
      </w:r>
      <w:r>
        <w:t xml:space="preserve"> PCG</w:t>
      </w:r>
      <w:r w:rsidR="006265A3">
        <w:t xml:space="preserve"> v gr</w:t>
      </w:r>
      <w:r w:rsidR="00DB7B6E">
        <w:t>a</w:t>
      </w:r>
      <w:r w:rsidR="006265A3">
        <w:t>fické oblasti</w:t>
      </w:r>
      <w:r>
        <w:t xml:space="preserve"> definuje ve svém článku Julian Togelius. </w:t>
      </w:r>
      <w:r w:rsidR="002226E4">
        <w:t>Jako první vize je</w:t>
      </w:r>
      <w:r w:rsidR="00DB7B6E">
        <w:t xml:space="preserve"> nadneseně</w:t>
      </w:r>
      <w:r w:rsidR="002226E4">
        <w:t xml:space="preserve"> představena</w:t>
      </w:r>
      <w:r w:rsidR="00DB7B6E">
        <w:t xml:space="preserve"> </w:t>
      </w:r>
      <w:r w:rsidR="002226E4">
        <w:t>univerzální metoda na vytvoření komplexních virtuálních světů určitého žánru.</w:t>
      </w:r>
      <w:r w:rsidR="006265A3">
        <w:t xml:space="preserve"> I v případě, že by se jednalo pouze o statický grafický obsah takového světa dá se</w:t>
      </w:r>
      <w:r w:rsidR="00DB7B6E">
        <w:t xml:space="preserve"> společně s Togeliusem konstatovat, že podobný algoritmus je </w:t>
      </w:r>
      <w:r w:rsidR="002226E4">
        <w:t xml:space="preserve">nerealizovatelný i v rámci vzdálené budoucnosti. </w:t>
      </w:r>
      <w:r w:rsidR="006265A3">
        <w:t xml:space="preserve">Komplexita takového úkolu je enormní. </w:t>
      </w:r>
      <w:r w:rsidR="00DB7B6E">
        <w:t>Problémů, které stojí v cestě takovému zadání je</w:t>
      </w:r>
      <w:r w:rsidR="00D67434">
        <w:t xml:space="preserve"> hned</w:t>
      </w:r>
      <w:r w:rsidR="00DB7B6E">
        <w:t xml:space="preserve"> několik a tvoří primární úkoly v rámci výzkumu PCG. </w:t>
      </w:r>
    </w:p>
    <w:p w:rsidR="000375AE" w:rsidRDefault="00DB7B6E" w:rsidP="00FB0812">
      <w:pPr>
        <w:pStyle w:val="Stadnartntext"/>
      </w:pPr>
      <w:r>
        <w:tab/>
        <w:t>Generovaný obsah se potýká s</w:t>
      </w:r>
      <w:r w:rsidR="00D67434">
        <w:t> originalitou,</w:t>
      </w:r>
      <w:r>
        <w:t xml:space="preserve"> nedosta</w:t>
      </w:r>
      <w:r w:rsidR="00D67434">
        <w:t>te</w:t>
      </w:r>
      <w:r>
        <w:t>čnou diverzitou</w:t>
      </w:r>
      <w:r w:rsidR="00D67434">
        <w:t xml:space="preserve"> a smysluplností</w:t>
      </w:r>
      <w:r>
        <w:t>.</w:t>
      </w:r>
      <w:r w:rsidR="00D67434">
        <w:t xml:space="preserve"> To vše jsou znaky kreativity v rámci ručního modelování.</w:t>
      </w:r>
      <w:r>
        <w:t xml:space="preserve"> </w:t>
      </w:r>
      <w:r w:rsidR="00D67434">
        <w:t xml:space="preserve">Klíčová otázka zní, zdali se v případě PCG dá kreativita algoritmizovat a v případě </w:t>
      </w:r>
      <w:r w:rsidR="00D67434">
        <w:lastRenderedPageBreak/>
        <w:t>generování prostřednictvím strojového učení stochasticky modelovat</w:t>
      </w:r>
      <w:r w:rsidR="00DF05B9">
        <w:t xml:space="preserve"> i v rámci komplexních celků</w:t>
      </w:r>
      <w:r w:rsidR="00D67434">
        <w:t>.</w:t>
      </w:r>
      <w:r w:rsidR="000375AE">
        <w:t xml:space="preserve"> Kritéri</w:t>
      </w:r>
      <w:r w:rsidR="000E1A3D">
        <w:t>a</w:t>
      </w:r>
      <w:r w:rsidR="000375AE">
        <w:t xml:space="preserve"> výpočetní kreativity, kter</w:t>
      </w:r>
      <w:r w:rsidR="000E1A3D">
        <w:t>á</w:t>
      </w:r>
      <w:r w:rsidR="000375AE">
        <w:t xml:space="preserve"> významě korelují s požadavky na PCG definoval ve své práci Pereira. Jako hlavní</w:t>
      </w:r>
      <w:r w:rsidR="00EA4416">
        <w:t xml:space="preserve"> znaky vidí: uchování modelu znalostí o dané třídě, schopnost redistribuce znalosti do nových spojení, schop</w:t>
      </w:r>
      <w:r w:rsidR="00F079C6">
        <w:t>no</w:t>
      </w:r>
      <w:r w:rsidR="00EA4416">
        <w:t>ost kriticky zhodnotit produkt</w:t>
      </w:r>
      <w:r w:rsidR="00F079C6">
        <w:t xml:space="preserve"> (validace)</w:t>
      </w:r>
      <w:r w:rsidR="00EA4416">
        <w:t xml:space="preserve">, uvážení kontextu do kterého je tvorba zasazena a užití konvergentních i divergentních postupů při kreaci </w:t>
      </w:r>
      <w:r w:rsidR="00EA4416">
        <w:fldChar w:fldCharType="begin"/>
      </w:r>
      <w:r w:rsidR="003D3656">
        <w:instrText xml:space="preserve"> ADDIN ZOTERO_ITEM CSL_CITATION {"citationID":"HtgKV9ul","properties":{"formattedCitation":"(Pereira 2008)","plainCitation":"(Pereira 2008)","noteIndex":0},"citationItems":[{"id":"hA0wgkxk/JaMb5OGv","uris":["http://zotero.org/users/local/IbRhotwj/items/QSHR8F33"],"uri":["http://zotero.org/users/local/IbRhotwj/items/QSHR8F33"],"itemData":{"id":189,"type":"book","title":"Creativity and AI: A Conceptual Blending approach","publisher":"University of Coimbra","publisher-place":"Portugal","event-place":"Portugal","ISBN":"978-3-11-019856-0","author":[{"family":"Pereira","given":"Francisco Camara"}],"issued":{"date-parts":[["2008"]]}}}],"schema":"https://github.com/citation-style-language/schema/raw/master/csl-citation.json"} </w:instrText>
      </w:r>
      <w:r w:rsidR="00EA4416">
        <w:fldChar w:fldCharType="separate"/>
      </w:r>
      <w:r w:rsidR="00EA4416" w:rsidRPr="00EA4416">
        <w:t>(Pereira 2008)</w:t>
      </w:r>
      <w:r w:rsidR="00EA4416">
        <w:fldChar w:fldCharType="end"/>
      </w:r>
      <w:r w:rsidR="00EA4416">
        <w:t xml:space="preserve">. </w:t>
      </w:r>
      <w:r w:rsidR="0044131E">
        <w:t>Všechny tyto podmínky, které Pereira postuluje pro svůj model (Creative general problem solver) jsou realizovatelné a byly realizovány prostřednictvím generativních modelů strojového učení například v rámci Generative adversarial neural networks.</w:t>
      </w:r>
    </w:p>
    <w:p w:rsidR="000D17CF" w:rsidRDefault="00D67434" w:rsidP="000375AE">
      <w:pPr>
        <w:pStyle w:val="Stadnartntext"/>
        <w:ind w:firstLine="708"/>
      </w:pPr>
      <w:r>
        <w:t xml:space="preserve"> </w:t>
      </w:r>
      <w:r w:rsidR="00DF05B9">
        <w:t xml:space="preserve">Togelius </w:t>
      </w:r>
      <w:r w:rsidR="000E1A3D">
        <w:t>ve svém článku nadále</w:t>
      </w:r>
      <w:r w:rsidR="00DF05B9">
        <w:t xml:space="preserve"> </w:t>
      </w:r>
      <w:r w:rsidR="000E1A3D">
        <w:t>vybízí k syntéze</w:t>
      </w:r>
      <w:r w:rsidR="00DF05B9">
        <w:t xml:space="preserve"> metod, které byly vynalezeny v rámci generování jednotlivých objektů</w:t>
      </w:r>
      <w:r w:rsidR="00595AF0">
        <w:t xml:space="preserve"> jako například terénu, budov či interiéru</w:t>
      </w:r>
      <w:r w:rsidR="00DF05B9">
        <w:t>, do komplexního parametrizovatelného generátoru.</w:t>
      </w:r>
      <w:r w:rsidR="005D561C">
        <w:t xml:space="preserve"> </w:t>
      </w:r>
      <w:r w:rsidR="005F6FDA">
        <w:t>Interakci mezi jednotlivými generátory podtrhuje</w:t>
      </w:r>
      <w:r w:rsidR="000375AE">
        <w:t xml:space="preserve"> ve svém článku</w:t>
      </w:r>
      <w:r w:rsidR="000E1A3D">
        <w:t xml:space="preserve"> i Hendrikx</w:t>
      </w:r>
      <w:r w:rsidR="005F6FDA">
        <w:t xml:space="preserve"> </w:t>
      </w:r>
      <w:r w:rsidR="005F6FDA">
        <w:fldChar w:fldCharType="begin"/>
      </w:r>
      <w:r w:rsidR="003D3656">
        <w:instrText xml:space="preserve"> ADDIN ZOTERO_ITEM CSL_CITATION {"citationID":"ZoxImGNf","properties":{"formattedCitation":"(HENDRIKX a MEIJER nedatov\\uc0\\u225{}no)","plainCitation":"(HENDRIKX a MEIJER nedatováno)","noteIndex":0},"citationItems":[{"id":9,"uris":["http://zotero.org/users/local/DXBpxSa9/items/J5F2HNBE"],"uri":["http://zotero.org/users/local/DXBpxSa9/items/J5F2HNBE"],"itemData":{"id":9,"type":"article-journal","title":"Procedural Content Generation for Games: A Survey","page":"24","source":"Zotero","language":"en","author":[{"family":"HENDRIKX","given":"MARK"},{"family":"MEIJER","given":"SEBASTIAAN"}]}}],"schema":"https://github.com/citation-style-language/schema/raw/master/csl-citation.json"} </w:instrText>
      </w:r>
      <w:r w:rsidR="005F6FDA">
        <w:fldChar w:fldCharType="separate"/>
      </w:r>
      <w:r w:rsidR="005F6FDA" w:rsidRPr="005F6FDA">
        <w:rPr>
          <w:rFonts w:cs="Times New Roman"/>
          <w:szCs w:val="24"/>
        </w:rPr>
        <w:t>(HENDRIKX a MEIJER nedatováno)</w:t>
      </w:r>
      <w:r w:rsidR="005F6FDA">
        <w:fldChar w:fldCharType="end"/>
      </w:r>
      <w:r w:rsidR="00943025">
        <w:t>. Výstupy jednotlivých generátorů by tedy měly být vzájemně kompatibilní a ve vztahu, který dodává generovanému celku přidanou hodnotu.</w:t>
      </w:r>
    </w:p>
    <w:p w:rsidR="00032470" w:rsidRDefault="00D67434" w:rsidP="00FB0812">
      <w:pPr>
        <w:pStyle w:val="Stadnartntext"/>
      </w:pPr>
      <w:r>
        <w:tab/>
        <w:t xml:space="preserve">Tradiční metody PCG jsou často aplikovány ad hoc ke konkrétnímu použití. Znovupoužitelnost </w:t>
      </w:r>
      <w:r w:rsidR="00DF05B9">
        <w:t>je realizovatelná pouze principiálně a jen stěží se dají stejné algoritmy použít napříč různými aplikacemi.</w:t>
      </w:r>
      <w:r w:rsidR="00943025">
        <w:t xml:space="preserve"> I to je nedostatek na který Togelius poukazuje </w:t>
      </w:r>
      <w:r w:rsidR="00943025">
        <w:fldChar w:fldCharType="begin"/>
      </w:r>
      <w:r w:rsidR="003D3656">
        <w:instrText xml:space="preserve"> ADDIN ZOTERO_ITEM CSL_CITATION {"citationID":"PzYxYpQT","properties":{"formattedCitation":"(Togelius et al. 2013)","plainCitation":"(Togelius et al. 2013)","noteIndex":0},"citationItems":[{"id":"hA0wgkxk/jsGNAgau","uris":["http://zotero.org/users/local/IbRhotwj/items/Y5YQSCBM"],"uri":["http://zotero.org/users/local/IbRhotwj/items/Y5YQSCBM"],"itemData":{"id":20,"type":"chapter","title":"Procedural Content Generation: Goals, Challenges and Actionable Steps","container-title":"Artificial and Computational Intelligence in Games","collection-title":"Dagstuhl Follow-Ups","publisher":"Schloss Dagstuhl–Leibniz-Zentrum fuer Informatik","publisher-place":"Dagstuhl, Germany","page":"61–75","volume":"6","source":"Dagstuhl Research Online Publication Server","event-place":"Dagstuhl, Germany","URL":"http://drops.dagstuhl.de/opus/volltexte/2013/4336","ISBN":"978-3-939897-62-0","note":"DOI: 10.4230/DFU.Vol6.12191.61","shortTitle":"Procedural Content Generation","author":[{"family":"Togelius","given":"Julian"},{"family":"Champandard","given":"Alex J."},{"family":"Lanzi","given":"Pier Luca"},{"family":"Mateas","given":"Michael"},{"family":"Paiva","given":"Ana"},{"family":"Preuss","given":"Mike"},{"family":"Stanley","given":"Kenneth O."}],"editor":[{"family":"Lucas","given":"Simon M."},{"family":"Mateas","given":"Michael"},{"family":"Preuss","given":"Mike"},{"family":"Spronck","given":"Pieter"},{"family":"Togelius","given":"Julian"}],"issued":{"date-parts":[["2013"]]},"accessed":{"date-parts":[["2018",5,31]]}}}],"schema":"https://github.com/citation-style-language/schema/raw/master/csl-citation.json"} </w:instrText>
      </w:r>
      <w:r w:rsidR="00943025">
        <w:fldChar w:fldCharType="separate"/>
      </w:r>
      <w:r w:rsidR="00943025" w:rsidRPr="00943025">
        <w:t>(Togelius et al. 2013)</w:t>
      </w:r>
      <w:r w:rsidR="00943025">
        <w:fldChar w:fldCharType="end"/>
      </w:r>
      <w:r w:rsidR="00032470">
        <w:t>.</w:t>
      </w:r>
    </w:p>
    <w:p w:rsidR="00D67434" w:rsidRDefault="00032470" w:rsidP="00FB0812">
      <w:pPr>
        <w:pStyle w:val="Stadnartntext"/>
      </w:pPr>
      <w:r>
        <w:tab/>
        <w:t xml:space="preserve">Uvážíme-li Togeliusův nárok na komplexní </w:t>
      </w:r>
      <w:r w:rsidR="00BE283E">
        <w:t xml:space="preserve">procedurální generátor, je nutné do něj zahrnout i dynamickou stránku scénu tj. animační. Procedurální animování je další oblast, v rámci které probíhá aktivní výzkum </w:t>
      </w:r>
      <w:r w:rsidR="00BE283E">
        <w:fldChar w:fldCharType="begin"/>
      </w:r>
      <w:r w:rsidR="003D3656">
        <w:instrText xml:space="preserve"> ADDIN ZOTERO_ITEM CSL_CITATION {"citationID":"3jKlqy6y","properties":{"formattedCitation":"(Togelius et al. 2013)","plainCitation":"(Togelius et al. 2013)","noteIndex":0},"citationItems":[{"id":"hA0wgkxk/jsGNAgau","uris":["http://zotero.org/users/local/IbRhotwj/items/Y5YQSCBM"],"uri":["http://zotero.org/users/local/IbRhotwj/items/Y5YQSCBM"],"itemData":{"id":20,"type":"chapter","title":"Procedural Content Generation: Goals, Challenges and Actionable Steps","container-title":"Artificial and Computational Intelligence in Games","collection-title":"Dagstuhl Follow-Ups","publisher":"Schloss Dagstuhl–Leibniz-Zentrum fuer Informatik","publisher-place":"Dagstuhl, Germany","page":"61–75","volume":"6","source":"Dagstuhl Research Online Publication Server","event-place":"Dagstuhl, Germany","URL":"http://drops.dagstuhl.de/opus/volltexte/2013/4336","ISBN":"978-3-939897-62-0","note":"DOI: 10.4230/DFU.Vol6.12191.61","shortTitle":"Procedural Content Generation","author":[{"family":"Togelius","given":"Julian"},{"family":"Champandard","given":"Alex J."},{"family":"Lanzi","given":"Pier Luca"},{"family":"Mateas","given":"Michael"},{"family":"Paiva","given":"Ana"},{"family":"Preuss","given":"Mike"},{"family":"Stanley","given":"Kenneth O."}],"editor":[{"family":"Lucas","given":"Simon M."},{"family":"Mateas","given":"Michael"},{"family":"Preuss","given":"Mike"},{"family":"Spronck","given":"Pieter"},{"family":"Togelius","given":"Julian"}],"issued":{"date-parts":[["2013"]]},"accessed":{"date-parts":[["2018",5,31]]}}}],"schema":"https://github.com/citation-style-language/schema/raw/master/csl-citation.json"} </w:instrText>
      </w:r>
      <w:r w:rsidR="00BE283E">
        <w:fldChar w:fldCharType="separate"/>
      </w:r>
      <w:r w:rsidR="00BE283E" w:rsidRPr="00BE283E">
        <w:t>(Togelius et al. 2013)</w:t>
      </w:r>
      <w:r w:rsidR="00BE283E">
        <w:fldChar w:fldCharType="end"/>
      </w:r>
      <w:r w:rsidR="00BE283E">
        <w:t xml:space="preserve"> </w:t>
      </w:r>
      <w:r w:rsidR="00943025">
        <w:t xml:space="preserve"> </w:t>
      </w:r>
    </w:p>
    <w:p w:rsidR="00C30F23" w:rsidRDefault="00C30F23" w:rsidP="00FB0812">
      <w:pPr>
        <w:pStyle w:val="Stadnartntext"/>
      </w:pPr>
      <w:r>
        <w:tab/>
        <w:t>Jako obecný trend v rámci PCG lze tedy primárně identifikovat redukci genericity generovaného obsahu a směřování k univerzálním navzájem propojeným generátorům obsahů komplexních.</w:t>
      </w:r>
      <w:r w:rsidR="000E1A3D">
        <w:t xml:space="preserve"> K naplnění těchto cílů se </w:t>
      </w:r>
      <w:r w:rsidR="000E1A3D">
        <w:lastRenderedPageBreak/>
        <w:t>výzkumníci v</w:t>
      </w:r>
      <w:r w:rsidR="00BE283E">
        <w:t> </w:t>
      </w:r>
      <w:r w:rsidR="000E1A3D">
        <w:t>oblasti PCG</w:t>
      </w:r>
      <w:r w:rsidR="00BE283E">
        <w:t xml:space="preserve"> často</w:t>
      </w:r>
      <w:r w:rsidR="000E1A3D">
        <w:t xml:space="preserve"> uchylují k metodám strojového učení, jež má ve </w:t>
      </w:r>
      <w:r w:rsidR="0044131E">
        <w:t>v návaznosti na současné cíle</w:t>
      </w:r>
      <w:r w:rsidR="000E1A3D">
        <w:t> PCG velký potenciál</w:t>
      </w:r>
      <w:r w:rsidR="00BE283E">
        <w:t>, neboť umožňuje modelování složitých funkcí a datových distribucí</w:t>
      </w:r>
      <w:r w:rsidR="0044131E">
        <w:t xml:space="preserve"> tj. uchování znalosti o modelu a jeho </w:t>
      </w:r>
      <w:r w:rsidR="002709CE">
        <w:t>redistribuci do nových celků</w:t>
      </w:r>
      <w:r w:rsidR="00BE283E">
        <w:t xml:space="preserve">. </w:t>
      </w:r>
    </w:p>
    <w:p w:rsidR="006941C1" w:rsidRDefault="006941C1" w:rsidP="006941C1">
      <w:pPr>
        <w:pStyle w:val="Heading2"/>
      </w:pPr>
      <w:r>
        <w:t>Nové metody procedurálního generování</w:t>
      </w:r>
    </w:p>
    <w:p w:rsidR="006941C1" w:rsidRDefault="006941C1" w:rsidP="006941C1">
      <w:pPr>
        <w:pStyle w:val="Stadnartntext"/>
        <w:ind w:firstLine="708"/>
        <w:rPr>
          <w:rFonts w:ascii="Calibri" w:hAnsi="Calibri" w:cs="Calibri"/>
        </w:rPr>
      </w:pPr>
      <w:r>
        <w:t xml:space="preserve">Pro uvedení terminologie užívané v následujících kapitolách je nutné zmínit, že </w:t>
      </w:r>
      <w:r w:rsidR="0044131E">
        <w:t>současnými</w:t>
      </w:r>
      <w:r>
        <w:t xml:space="preserve"> cestami</w:t>
      </w:r>
      <w:r w:rsidRPr="000D17CF">
        <w:t xml:space="preserve"> pro tvorbu algoritmicky generovaného obsahu je generování za pomocí metod strojového učení. Tradiční PCG přistupuje k tvorbě obsahu s konkrétní referencí vzhledem k cíli. Tato reference však není součástí samotného algoritmu, ale figuruje pouze jako inspirace toho, kdo algoritmus navrhuje. Znamená to, že se v rámci algoritmu hledají pravidla a omezení, která pomohou aproximovat žádoucí obsah. Na rozdíl od tohoto přístupu procedurální generování prostřednictvím strojového učení (PCGML) vezme existující strukturu a na základě zpracování a „pochopení“ daného obsahu vytvoří model, pomocí kterého nageneruje další diverzifikovaný obsah. Tak poprvé def</w:t>
      </w:r>
      <w:r>
        <w:t>inuje PCGML Summerville</w:t>
      </w:r>
      <w:r w:rsidRPr="000D17CF">
        <w:t xml:space="preserve"> </w:t>
      </w:r>
      <w:r w:rsidRPr="00473287">
        <w:fldChar w:fldCharType="begin"/>
      </w:r>
      <w:r w:rsidR="003D3656">
        <w:instrText xml:space="preserve"> ADDIN ZOTERO_ITEM CSL_CITATION {"citationID":"li7K3DkY","properties":{"formattedCitation":"(Summerville et al. 2017)","plainCitation":"(Summerville et al. 2017)","noteIndex":0},"citationItems":[{"id":2,"uris":["http://zotero.org/users/local/DXBpxSa9/items/YXC6SJCI"],"uri":["http://zotero.org/users/local/DXBpxSa9/items/YXC6SJCI"],"itemData":{"id":2,"type":"article-journal","title":"Procedural Content Generation via Machine Learning (PCGML)","container-title":"arXiv:1702.00539 [cs]","source":"arXiv.org","abstract":"This survey explores Procedural Content Generation via Machine Learning (PCGML), defined as the generation of game content using machine learning models trained on existing content. As the importance of PCG for game development increases, researchers explore new avenues for generating high-quality content with or without human involvement; this paper addresses the relatively new paradigm of using machine learning (in contrast with search-based, solver-based, and constructive methods). We focus on what is most often considered functional game content such as platformer levels, game maps, interactive fiction stories, and cards in collectible card games, as opposed to cosmetic content such as sprites and sound effects. In addition to using PCG for autonomous generation, co-creativity, mixed-initiative design, and compression, PCGML is suited for repair, critique, and content analysis because of its focus on modeling existing content. We discuss various data sources and representations that affect the resulting generated content. Multiple PCGML methods are covered, including neural networks, long short-term memory (LSTM) networks, autoencoders, and deep convolutional networks; Markov models, $n$-grams, and multi-dimensional Markov chains; clustering; and matrix factorization. Finally, we discuss open problems in the application of PCGML, including learning from small datasets, lack of training data, multi-layered learning, style-transfer, parameter tuning, and PCG as a game mechanic.","URL":"http://arxiv.org/abs/1702.00539","note":"arXiv: 1702.00539","author":[{"family":"Summerville","given":"Adam"},{"family":"Snodgrass","given":"Sam"},{"family":"Guzdial","given":"Matthew"},{"family":"Holmgård","given":"Christoffer"},{"family":"Hoover","given":"Amy K."},{"family":"Isaksen","given":"Aaron"},{"family":"Nealen","given":"Andy"},{"family":"Togelius","given":"Julian"}],"issued":{"date-parts":[["2017",2,1]]},"accessed":{"date-parts":[["2018",5,31]]}}}],"schema":"https://github.com/citation-style-language/schema/raw/master/csl-citation.json"} </w:instrText>
      </w:r>
      <w:r w:rsidRPr="00473287">
        <w:fldChar w:fldCharType="separate"/>
      </w:r>
      <w:r w:rsidRPr="00473287">
        <w:t>(Summerville et al. 2017)</w:t>
      </w:r>
      <w:r w:rsidRPr="00473287">
        <w:fldChar w:fldCharType="end"/>
      </w:r>
      <w:r w:rsidRPr="00473287">
        <w:t>.</w:t>
      </w:r>
    </w:p>
    <w:p w:rsidR="006941C1" w:rsidRPr="0037095C" w:rsidRDefault="006941C1" w:rsidP="0037095C">
      <w:pPr>
        <w:pStyle w:val="Stadnartntext"/>
        <w:ind w:firstLine="708"/>
      </w:pPr>
      <w:r w:rsidRPr="0037095C">
        <w:t>Širší pojednání o těchto metodách je předmětem kapitoly Procedurální generování prostřednictvím strojového učení.</w:t>
      </w:r>
    </w:p>
    <w:p w:rsidR="000D17CF" w:rsidRDefault="000D17CF" w:rsidP="00E37186">
      <w:pPr>
        <w:pStyle w:val="Heading1"/>
      </w:pPr>
      <w:r>
        <w:t>Procedurální generování prostřednictvím strojového učení</w:t>
      </w:r>
    </w:p>
    <w:p w:rsidR="00D71B7E" w:rsidRPr="00D71B7E" w:rsidRDefault="00D71B7E" w:rsidP="00D71B7E">
      <w:pPr>
        <w:pStyle w:val="Stadnartntext"/>
        <w:ind w:firstLine="708"/>
      </w:pPr>
      <w:r>
        <w:t>Definice strojového učení od Toma Mitchella uvedená v úvodní kapitole ke strojovému učení</w:t>
      </w:r>
      <w:r w:rsidRPr="00D71B7E">
        <w:t xml:space="preserve"> je aplikovatelná rovněž pro PCGML, kdy zadáním </w:t>
      </w:r>
      <w:r w:rsidRPr="00D71B7E">
        <w:rPr>
          <w:i/>
          <w:iCs/>
        </w:rPr>
        <w:t>T</w:t>
      </w:r>
      <w:r w:rsidRPr="00D71B7E">
        <w:t xml:space="preserve"> je generování konkrétní třídy obsahu na základě zkušenosti </w:t>
      </w:r>
      <w:r w:rsidRPr="00D71B7E">
        <w:rPr>
          <w:i/>
          <w:iCs/>
        </w:rPr>
        <w:t>E</w:t>
      </w:r>
      <w:r w:rsidRPr="00D71B7E">
        <w:t xml:space="preserve">, která je tvořena množinou ručně modelovaných obsahů (v případě učení s učitelem). Měření úspěšnost </w:t>
      </w:r>
      <w:r w:rsidRPr="00D71B7E">
        <w:rPr>
          <w:i/>
          <w:iCs/>
        </w:rPr>
        <w:t>P</w:t>
      </w:r>
      <w:r w:rsidRPr="00D71B7E">
        <w:t xml:space="preserve"> může být v této konkrétní aplikaci strojového učení značně komplikované a může v konečné fázi spočívat v subjektivním posouzení </w:t>
      </w:r>
      <w:r w:rsidRPr="00D71B7E">
        <w:lastRenderedPageBreak/>
        <w:t>omezeného množství n</w:t>
      </w:r>
      <w:r>
        <w:t>a</w:t>
      </w:r>
      <w:r w:rsidRPr="00D71B7E">
        <w:t>generovaného obsahu. Příkladem implementace takové metriky jsou dotazníky vyplněné testery, na jejichž základě byly evaluovány hratelnosti procedurálně n</w:t>
      </w:r>
      <w:r>
        <w:t>a</w:t>
      </w:r>
      <w:r w:rsidRPr="00D71B7E">
        <w:t xml:space="preserve">generovaných levelů a tedy celého algoritmu. (Roberts a Chen 2015). Pro posouzení většího vzorku dat je třeba implementace algoritmů, jejichž funkcí je evaluace generovaného obsahu na základě příslušných kritérií.   </w:t>
      </w:r>
    </w:p>
    <w:p w:rsidR="00943025" w:rsidRPr="00C60F15" w:rsidRDefault="000D17CF" w:rsidP="00C60F15">
      <w:pPr>
        <w:pStyle w:val="Stadnartntext"/>
        <w:rPr>
          <w:szCs w:val="26"/>
        </w:rPr>
      </w:pPr>
      <w:r w:rsidRPr="000D17CF">
        <w:rPr>
          <w:szCs w:val="26"/>
        </w:rPr>
        <w:tab/>
        <w:t>Ne všechny metody strojového učení, které se jinak výborně hodí pr</w:t>
      </w:r>
      <w:r w:rsidR="004920A3">
        <w:rPr>
          <w:szCs w:val="26"/>
        </w:rPr>
        <w:t xml:space="preserve">o klasifikaci či predikci, jsou </w:t>
      </w:r>
      <w:r w:rsidRPr="000D17CF">
        <w:rPr>
          <w:szCs w:val="26"/>
        </w:rPr>
        <w:t xml:space="preserve">vhodné pro generování nového obsahu. </w:t>
      </w:r>
      <w:r w:rsidR="003B49CF">
        <w:rPr>
          <w:szCs w:val="26"/>
        </w:rPr>
        <w:t xml:space="preserve">Odpovídá tomu i rozdělení metod strojového učení na diskriminativní a generativní modely. </w:t>
      </w:r>
      <w:r w:rsidRPr="000D17CF">
        <w:rPr>
          <w:szCs w:val="26"/>
        </w:rPr>
        <w:t>Z </w:t>
      </w:r>
      <w:r w:rsidR="003B49CF">
        <w:rPr>
          <w:szCs w:val="26"/>
        </w:rPr>
        <w:t>generativních</w:t>
      </w:r>
      <w:r w:rsidRPr="000D17CF">
        <w:rPr>
          <w:szCs w:val="26"/>
        </w:rPr>
        <w:t xml:space="preserve"> technik strojového učení </w:t>
      </w:r>
      <w:r>
        <w:rPr>
          <w:szCs w:val="26"/>
        </w:rPr>
        <w:t>vyzdvihuje</w:t>
      </w:r>
      <w:r w:rsidRPr="000D17CF">
        <w:rPr>
          <w:szCs w:val="26"/>
        </w:rPr>
        <w:t xml:space="preserve"> Summerville jako vhodné zejména generativně kontradiktorní sítě (Generative adversarial networks) dále n-gramy, markovy modely a specifické architektury</w:t>
      </w:r>
      <w:r w:rsidR="006B4EE9">
        <w:rPr>
          <w:szCs w:val="26"/>
        </w:rPr>
        <w:t xml:space="preserve"> rekurentních neuronových sítí </w:t>
      </w:r>
      <w:r w:rsidRPr="000D17CF">
        <w:rPr>
          <w:rFonts w:ascii="Calibri" w:hAnsi="Calibri" w:cs="Calibri"/>
          <w:szCs w:val="26"/>
        </w:rPr>
        <w:t>(Summerville et al. 2017)</w:t>
      </w:r>
      <w:r w:rsidRPr="000D17CF">
        <w:rPr>
          <w:szCs w:val="26"/>
        </w:rPr>
        <w:t xml:space="preserve">. </w:t>
      </w:r>
    </w:p>
    <w:p w:rsidR="00466BD0" w:rsidRDefault="00466BD0" w:rsidP="00466BD0">
      <w:pPr>
        <w:pStyle w:val="Heading2"/>
      </w:pPr>
      <w:r>
        <w:t>Metody strojového učení v aplikaci na procedurální generování</w:t>
      </w:r>
    </w:p>
    <w:p w:rsidR="00466BD0" w:rsidRPr="00466BD0" w:rsidRDefault="00466BD0" w:rsidP="00466BD0"/>
    <w:p w:rsidR="00466BD0" w:rsidRDefault="00466BD0" w:rsidP="00466BD0">
      <w:pPr>
        <w:pStyle w:val="Heading1"/>
      </w:pPr>
      <w:r>
        <w:t>Nápady</w:t>
      </w:r>
    </w:p>
    <w:p w:rsidR="00466BD0" w:rsidRDefault="00466BD0" w:rsidP="00466BD0">
      <w:pPr>
        <w:pStyle w:val="Stadnartntext"/>
      </w:pPr>
      <w:r>
        <w:t>Srovnat algoritmy tradičního PCG s</w:t>
      </w:r>
      <w:r w:rsidR="006941C1">
        <w:t> </w:t>
      </w:r>
      <w:r>
        <w:t>PCGML</w:t>
      </w:r>
    </w:p>
    <w:p w:rsidR="006941C1" w:rsidRPr="006941C1" w:rsidRDefault="006941C1" w:rsidP="00466BD0">
      <w:pPr>
        <w:pStyle w:val="Stadnartntext"/>
      </w:pPr>
      <w:r>
        <w:t>Vymyslet exemplární příklad a vyřešit ho třemi různými metodami strojového učení. Srovnat porovnat =&gt; grafíky.</w:t>
      </w:r>
    </w:p>
    <w:p w:rsidR="009F0575" w:rsidRDefault="009F0575" w:rsidP="000D17CF">
      <w:pPr>
        <w:pStyle w:val="Stadnartntext"/>
        <w:rPr>
          <w:szCs w:val="26"/>
        </w:rPr>
      </w:pPr>
    </w:p>
    <w:p w:rsidR="009F0575" w:rsidRDefault="009F0575" w:rsidP="000D17CF">
      <w:pPr>
        <w:pStyle w:val="Stadnartntext"/>
        <w:rPr>
          <w:szCs w:val="26"/>
        </w:rPr>
      </w:pPr>
    </w:p>
    <w:p w:rsidR="00595AF0" w:rsidRPr="000D17CF" w:rsidRDefault="00FB0812" w:rsidP="009F0575">
      <w:pPr>
        <w:pStyle w:val="Stadnartntext"/>
        <w:rPr>
          <w:szCs w:val="26"/>
        </w:rPr>
      </w:pPr>
      <w:r>
        <w:rPr>
          <w:szCs w:val="26"/>
        </w:rPr>
        <w:tab/>
      </w:r>
    </w:p>
    <w:p w:rsidR="000D17CF" w:rsidRPr="000D17CF" w:rsidRDefault="000D17CF" w:rsidP="000D17CF">
      <w:r>
        <w:tab/>
      </w:r>
    </w:p>
    <w:p w:rsidR="0054232F" w:rsidRDefault="0054232F" w:rsidP="0054232F"/>
    <w:p w:rsidR="0054232F" w:rsidRDefault="0054232F" w:rsidP="0054232F"/>
    <w:p w:rsidR="0054232F" w:rsidRPr="0054232F" w:rsidRDefault="0054232F" w:rsidP="0054232F"/>
    <w:p w:rsidR="0054232F" w:rsidRDefault="0054232F" w:rsidP="0054232F"/>
    <w:p w:rsidR="0054232F" w:rsidRPr="0054232F" w:rsidRDefault="0054232F" w:rsidP="0054232F">
      <w:pPr>
        <w:pStyle w:val="Heading1"/>
      </w:pPr>
    </w:p>
    <w:sectPr w:rsidR="0054232F" w:rsidRPr="0054232F" w:rsidSect="00983680">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5BFF" w:rsidRDefault="00665BFF" w:rsidP="00FB0812">
      <w:pPr>
        <w:spacing w:after="0" w:line="240" w:lineRule="auto"/>
      </w:pPr>
      <w:r>
        <w:separator/>
      </w:r>
    </w:p>
  </w:endnote>
  <w:endnote w:type="continuationSeparator" w:id="0">
    <w:p w:rsidR="00665BFF" w:rsidRDefault="00665BFF" w:rsidP="00FB0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meniaSans-Bold">
    <w:altName w:val="Calibri"/>
    <w:panose1 w:val="00000000000000000000"/>
    <w:charset w:val="EE"/>
    <w:family w:val="auto"/>
    <w:notTrueType/>
    <w:pitch w:val="default"/>
    <w:sig w:usb0="00000005" w:usb1="00000000" w:usb2="00000000" w:usb3="00000000" w:csb0="00000002"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5BFF" w:rsidRDefault="00665BFF" w:rsidP="00FB0812">
      <w:pPr>
        <w:spacing w:after="0" w:line="240" w:lineRule="auto"/>
      </w:pPr>
      <w:r>
        <w:separator/>
      </w:r>
    </w:p>
  </w:footnote>
  <w:footnote w:type="continuationSeparator" w:id="0">
    <w:p w:rsidR="00665BFF" w:rsidRDefault="00665BFF" w:rsidP="00FB0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0812" w:rsidRDefault="00FB08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680"/>
    <w:rsid w:val="00032470"/>
    <w:rsid w:val="000375AE"/>
    <w:rsid w:val="000551D2"/>
    <w:rsid w:val="000965CA"/>
    <w:rsid w:val="000B0370"/>
    <w:rsid w:val="000B6173"/>
    <w:rsid w:val="000C1BB6"/>
    <w:rsid w:val="000C2E59"/>
    <w:rsid w:val="000C6491"/>
    <w:rsid w:val="000C78B2"/>
    <w:rsid w:val="000D17CF"/>
    <w:rsid w:val="000E1A3D"/>
    <w:rsid w:val="0013208F"/>
    <w:rsid w:val="001463D2"/>
    <w:rsid w:val="00191F46"/>
    <w:rsid w:val="0019539B"/>
    <w:rsid w:val="001A588F"/>
    <w:rsid w:val="001B67A0"/>
    <w:rsid w:val="001F7A87"/>
    <w:rsid w:val="00212DFE"/>
    <w:rsid w:val="002226E4"/>
    <w:rsid w:val="00231721"/>
    <w:rsid w:val="002632B4"/>
    <w:rsid w:val="0027056E"/>
    <w:rsid w:val="002709CE"/>
    <w:rsid w:val="00273E31"/>
    <w:rsid w:val="00280796"/>
    <w:rsid w:val="002A1810"/>
    <w:rsid w:val="002B77A7"/>
    <w:rsid w:val="003138AB"/>
    <w:rsid w:val="00344716"/>
    <w:rsid w:val="0037063B"/>
    <w:rsid w:val="0037095C"/>
    <w:rsid w:val="00372C53"/>
    <w:rsid w:val="00395921"/>
    <w:rsid w:val="003A22F9"/>
    <w:rsid w:val="003B49CF"/>
    <w:rsid w:val="003D3656"/>
    <w:rsid w:val="0040456C"/>
    <w:rsid w:val="00406E13"/>
    <w:rsid w:val="00416949"/>
    <w:rsid w:val="0044131E"/>
    <w:rsid w:val="00444C8F"/>
    <w:rsid w:val="00445DDC"/>
    <w:rsid w:val="004624F2"/>
    <w:rsid w:val="00466BD0"/>
    <w:rsid w:val="00473287"/>
    <w:rsid w:val="004916E8"/>
    <w:rsid w:val="004920A3"/>
    <w:rsid w:val="0054232F"/>
    <w:rsid w:val="005714CC"/>
    <w:rsid w:val="005815BF"/>
    <w:rsid w:val="005959D7"/>
    <w:rsid w:val="00595AF0"/>
    <w:rsid w:val="005D561C"/>
    <w:rsid w:val="005F037B"/>
    <w:rsid w:val="005F6FDA"/>
    <w:rsid w:val="0060124E"/>
    <w:rsid w:val="00621328"/>
    <w:rsid w:val="006265A3"/>
    <w:rsid w:val="00632EFF"/>
    <w:rsid w:val="00665BFF"/>
    <w:rsid w:val="00675649"/>
    <w:rsid w:val="00682E08"/>
    <w:rsid w:val="006941C1"/>
    <w:rsid w:val="006B4BF1"/>
    <w:rsid w:val="006B4EE9"/>
    <w:rsid w:val="006B6821"/>
    <w:rsid w:val="006E6371"/>
    <w:rsid w:val="00715B21"/>
    <w:rsid w:val="007270B7"/>
    <w:rsid w:val="007652B5"/>
    <w:rsid w:val="00787F85"/>
    <w:rsid w:val="00796DBE"/>
    <w:rsid w:val="00834A08"/>
    <w:rsid w:val="00837D96"/>
    <w:rsid w:val="0084237B"/>
    <w:rsid w:val="00850DC9"/>
    <w:rsid w:val="00880418"/>
    <w:rsid w:val="00884992"/>
    <w:rsid w:val="008F7E52"/>
    <w:rsid w:val="009215AD"/>
    <w:rsid w:val="00943025"/>
    <w:rsid w:val="00983680"/>
    <w:rsid w:val="009E2F5F"/>
    <w:rsid w:val="009F0575"/>
    <w:rsid w:val="00A00427"/>
    <w:rsid w:val="00A07FC2"/>
    <w:rsid w:val="00A57EC7"/>
    <w:rsid w:val="00A70E18"/>
    <w:rsid w:val="00A73A04"/>
    <w:rsid w:val="00A93177"/>
    <w:rsid w:val="00B460B9"/>
    <w:rsid w:val="00B954A6"/>
    <w:rsid w:val="00BB779D"/>
    <w:rsid w:val="00BE283E"/>
    <w:rsid w:val="00BF2378"/>
    <w:rsid w:val="00C30F23"/>
    <w:rsid w:val="00C60F15"/>
    <w:rsid w:val="00C727E8"/>
    <w:rsid w:val="00D0369F"/>
    <w:rsid w:val="00D67434"/>
    <w:rsid w:val="00D71B7E"/>
    <w:rsid w:val="00D74268"/>
    <w:rsid w:val="00DB7B6E"/>
    <w:rsid w:val="00DD2832"/>
    <w:rsid w:val="00DE4348"/>
    <w:rsid w:val="00DF05B9"/>
    <w:rsid w:val="00E114EF"/>
    <w:rsid w:val="00E37186"/>
    <w:rsid w:val="00E50481"/>
    <w:rsid w:val="00E71350"/>
    <w:rsid w:val="00E7143B"/>
    <w:rsid w:val="00E95442"/>
    <w:rsid w:val="00EA4416"/>
    <w:rsid w:val="00EB2872"/>
    <w:rsid w:val="00EC2DCC"/>
    <w:rsid w:val="00EF373B"/>
    <w:rsid w:val="00EF3F70"/>
    <w:rsid w:val="00F079C6"/>
    <w:rsid w:val="00F203C1"/>
    <w:rsid w:val="00F619E4"/>
    <w:rsid w:val="00FA2FB4"/>
    <w:rsid w:val="00FB0812"/>
    <w:rsid w:val="00FB1A31"/>
    <w:rsid w:val="00FD3A97"/>
  </w:rsids>
  <m:mathPr>
    <m:mathFont m:val="Cambria Math"/>
    <m:brkBin m:val="before"/>
    <m:brkBinSub m:val="--"/>
    <m:smallFrac m:val="0"/>
    <m:dispDef/>
    <m:lMargin m:val="0"/>
    <m:rMargin m:val="0"/>
    <m:defJc m:val="centerGroup"/>
    <m:wrapIndent m:val="1440"/>
    <m:intLim m:val="subSup"/>
    <m:naryLim m:val="undOvr"/>
  </m:mathPr>
  <w:themeFontLang w:val="cs-CZ"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B87090B-33E8-4EF2-934A-307388D3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60F15"/>
    <w:pPr>
      <w:keepNext/>
      <w:keepLines/>
      <w:spacing w:before="720" w:after="360"/>
      <w:outlineLvl w:val="0"/>
    </w:pPr>
    <w:rPr>
      <w:rFonts w:ascii="Arial" w:eastAsiaTheme="majorEastAsia" w:hAnsi="Arial" w:cstheme="majorBidi"/>
      <w:b/>
      <w:color w:val="000000" w:themeColor="text1"/>
      <w:sz w:val="36"/>
      <w:szCs w:val="32"/>
    </w:rPr>
  </w:style>
  <w:style w:type="paragraph" w:styleId="Heading2">
    <w:name w:val="heading 2"/>
    <w:basedOn w:val="Normal"/>
    <w:next w:val="Normal"/>
    <w:link w:val="Heading2Char"/>
    <w:uiPriority w:val="9"/>
    <w:unhideWhenUsed/>
    <w:qFormat/>
    <w:rsid w:val="00280796"/>
    <w:pPr>
      <w:keepNext/>
      <w:keepLines/>
      <w:spacing w:before="640" w:after="320"/>
      <w:outlineLvl w:val="1"/>
    </w:pPr>
    <w:rPr>
      <w:rFonts w:ascii="Arial" w:eastAsiaTheme="majorEastAsia" w:hAnsi="Arial" w:cstheme="majorBidi"/>
      <w:b/>
      <w:color w:val="000000" w:themeColor="text1"/>
      <w:sz w:val="32"/>
      <w:szCs w:val="26"/>
    </w:rPr>
  </w:style>
  <w:style w:type="paragraph" w:styleId="Heading3">
    <w:name w:val="heading 3"/>
    <w:basedOn w:val="Normal"/>
    <w:next w:val="Normal"/>
    <w:link w:val="Heading3Char"/>
    <w:uiPriority w:val="9"/>
    <w:unhideWhenUsed/>
    <w:qFormat/>
    <w:rsid w:val="00F619E4"/>
    <w:pPr>
      <w:keepNext/>
      <w:keepLines/>
      <w:spacing w:before="560" w:after="280"/>
      <w:outlineLvl w:val="2"/>
    </w:pPr>
    <w:rPr>
      <w:rFonts w:ascii="Arial" w:eastAsiaTheme="majorEastAsia" w:hAnsi="Arial" w:cstheme="majorBidi"/>
      <w:b/>
      <w:sz w:val="28"/>
      <w:szCs w:val="24"/>
    </w:rPr>
  </w:style>
  <w:style w:type="paragraph" w:styleId="Heading4">
    <w:name w:val="heading 4"/>
    <w:basedOn w:val="Normal"/>
    <w:next w:val="Normal"/>
    <w:link w:val="Heading4Char"/>
    <w:uiPriority w:val="9"/>
    <w:unhideWhenUsed/>
    <w:qFormat/>
    <w:rsid w:val="00715B21"/>
    <w:pPr>
      <w:keepNext/>
      <w:keepLines/>
      <w:spacing w:before="40" w:after="0"/>
      <w:outlineLvl w:val="3"/>
    </w:pPr>
    <w:rPr>
      <w:rFonts w:ascii="Arial" w:eastAsiaTheme="majorEastAsia" w:hAnsi="Arial"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ulnnadpis">
    <w:name w:val="Titulní nadpis"/>
    <w:basedOn w:val="Normal"/>
    <w:link w:val="TitulnnadpisChar"/>
    <w:qFormat/>
    <w:rsid w:val="00983680"/>
    <w:pPr>
      <w:jc w:val="center"/>
    </w:pPr>
    <w:rPr>
      <w:rFonts w:ascii="Arial" w:hAnsi="Arial" w:cs="ComeniaSans-Bold"/>
      <w:b/>
      <w:bCs/>
      <w:sz w:val="38"/>
      <w:szCs w:val="38"/>
    </w:rPr>
  </w:style>
  <w:style w:type="paragraph" w:customStyle="1" w:styleId="Stadnartntext">
    <w:name w:val="Stadnartní text"/>
    <w:basedOn w:val="Normal"/>
    <w:link w:val="StadnartntextChar"/>
    <w:qFormat/>
    <w:rsid w:val="005D561C"/>
    <w:pPr>
      <w:spacing w:before="240" w:after="240" w:line="360" w:lineRule="auto"/>
      <w:jc w:val="both"/>
    </w:pPr>
    <w:rPr>
      <w:rFonts w:ascii="Cambria" w:hAnsi="Cambria" w:cs="Arial"/>
      <w:sz w:val="26"/>
    </w:rPr>
  </w:style>
  <w:style w:type="character" w:customStyle="1" w:styleId="TitulnnadpisChar">
    <w:name w:val="Titulní nadpis Char"/>
    <w:basedOn w:val="DefaultParagraphFont"/>
    <w:link w:val="Titulnnadpis"/>
    <w:rsid w:val="00983680"/>
    <w:rPr>
      <w:rFonts w:ascii="Arial" w:hAnsi="Arial" w:cs="ComeniaSans-Bold"/>
      <w:b/>
      <w:bCs/>
      <w:sz w:val="38"/>
      <w:szCs w:val="38"/>
    </w:rPr>
  </w:style>
  <w:style w:type="character" w:customStyle="1" w:styleId="Heading1Char">
    <w:name w:val="Heading 1 Char"/>
    <w:basedOn w:val="DefaultParagraphFont"/>
    <w:link w:val="Heading1"/>
    <w:uiPriority w:val="9"/>
    <w:rsid w:val="00C60F15"/>
    <w:rPr>
      <w:rFonts w:ascii="Arial" w:eastAsiaTheme="majorEastAsia" w:hAnsi="Arial" w:cstheme="majorBidi"/>
      <w:b/>
      <w:color w:val="000000" w:themeColor="text1"/>
      <w:sz w:val="36"/>
      <w:szCs w:val="32"/>
    </w:rPr>
  </w:style>
  <w:style w:type="character" w:customStyle="1" w:styleId="StadnartntextChar">
    <w:name w:val="Stadnartní text Char"/>
    <w:basedOn w:val="DefaultParagraphFont"/>
    <w:link w:val="Stadnartntext"/>
    <w:rsid w:val="005D561C"/>
    <w:rPr>
      <w:rFonts w:ascii="Cambria" w:hAnsi="Cambria" w:cs="Arial"/>
      <w:sz w:val="26"/>
    </w:rPr>
  </w:style>
  <w:style w:type="character" w:customStyle="1" w:styleId="Heading2Char">
    <w:name w:val="Heading 2 Char"/>
    <w:basedOn w:val="DefaultParagraphFont"/>
    <w:link w:val="Heading2"/>
    <w:uiPriority w:val="9"/>
    <w:rsid w:val="00280796"/>
    <w:rPr>
      <w:rFonts w:ascii="Arial" w:eastAsiaTheme="majorEastAsia" w:hAnsi="Arial" w:cstheme="majorBidi"/>
      <w:b/>
      <w:color w:val="000000" w:themeColor="text1"/>
      <w:sz w:val="32"/>
      <w:szCs w:val="26"/>
    </w:rPr>
  </w:style>
  <w:style w:type="paragraph" w:styleId="Header">
    <w:name w:val="header"/>
    <w:basedOn w:val="Normal"/>
    <w:link w:val="HeaderChar"/>
    <w:uiPriority w:val="99"/>
    <w:unhideWhenUsed/>
    <w:rsid w:val="00FB08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FB0812"/>
  </w:style>
  <w:style w:type="paragraph" w:styleId="Footer">
    <w:name w:val="footer"/>
    <w:basedOn w:val="Normal"/>
    <w:link w:val="FooterChar"/>
    <w:uiPriority w:val="99"/>
    <w:unhideWhenUsed/>
    <w:rsid w:val="00FB08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FB0812"/>
  </w:style>
  <w:style w:type="character" w:customStyle="1" w:styleId="Heading3Char">
    <w:name w:val="Heading 3 Char"/>
    <w:basedOn w:val="DefaultParagraphFont"/>
    <w:link w:val="Heading3"/>
    <w:uiPriority w:val="9"/>
    <w:rsid w:val="00F619E4"/>
    <w:rPr>
      <w:rFonts w:ascii="Arial" w:eastAsiaTheme="majorEastAsia" w:hAnsi="Arial" w:cstheme="majorBidi"/>
      <w:b/>
      <w:sz w:val="28"/>
      <w:szCs w:val="24"/>
    </w:rPr>
  </w:style>
  <w:style w:type="character" w:styleId="PlaceholderText">
    <w:name w:val="Placeholder Text"/>
    <w:basedOn w:val="DefaultParagraphFont"/>
    <w:uiPriority w:val="99"/>
    <w:semiHidden/>
    <w:rsid w:val="00682E08"/>
    <w:rPr>
      <w:color w:val="808080"/>
    </w:rPr>
  </w:style>
  <w:style w:type="paragraph" w:styleId="Caption">
    <w:name w:val="caption"/>
    <w:basedOn w:val="Normal"/>
    <w:next w:val="Normal"/>
    <w:uiPriority w:val="35"/>
    <w:unhideWhenUsed/>
    <w:qFormat/>
    <w:rsid w:val="006B4BF1"/>
    <w:pPr>
      <w:spacing w:after="200" w:line="360" w:lineRule="auto"/>
      <w:jc w:val="center"/>
    </w:pPr>
    <w:rPr>
      <w:rFonts w:ascii="Cambria" w:hAnsi="Cambria"/>
      <w:i/>
      <w:iCs/>
      <w:sz w:val="20"/>
      <w:szCs w:val="18"/>
    </w:rPr>
  </w:style>
  <w:style w:type="paragraph" w:styleId="ListParagraph">
    <w:name w:val="List Paragraph"/>
    <w:basedOn w:val="Normal"/>
    <w:uiPriority w:val="34"/>
    <w:qFormat/>
    <w:rsid w:val="00834A08"/>
    <w:pPr>
      <w:ind w:left="720"/>
      <w:contextualSpacing/>
    </w:pPr>
  </w:style>
  <w:style w:type="character" w:customStyle="1" w:styleId="Heading4Char">
    <w:name w:val="Heading 4 Char"/>
    <w:basedOn w:val="DefaultParagraphFont"/>
    <w:link w:val="Heading4"/>
    <w:uiPriority w:val="9"/>
    <w:rsid w:val="00715B21"/>
    <w:rPr>
      <w:rFonts w:ascii="Arial" w:eastAsiaTheme="majorEastAsia" w:hAnsi="Arial" w:cstheme="majorBidi"/>
      <w:iCs/>
    </w:rPr>
  </w:style>
  <w:style w:type="paragraph" w:styleId="NormalWeb">
    <w:name w:val="Normal (Web)"/>
    <w:basedOn w:val="Normal"/>
    <w:uiPriority w:val="99"/>
    <w:unhideWhenUsed/>
    <w:rsid w:val="00B460B9"/>
    <w:pPr>
      <w:spacing w:before="100" w:beforeAutospacing="1" w:after="100" w:afterAutospacing="1" w:line="240" w:lineRule="auto"/>
    </w:pPr>
    <w:rPr>
      <w:rFonts w:ascii="Times New Roman" w:eastAsia="Times New Roman" w:hAnsi="Times New Roman" w:cs="Times New Roman"/>
      <w:sz w:val="24"/>
      <w:szCs w:val="24"/>
      <w:lang w:eastAsia="cs-CZ"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3413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4AC0F-E8AB-42CF-A221-A9DAB64FA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6718</TotalTime>
  <Pages>16</Pages>
  <Words>7934</Words>
  <Characters>46814</Characters>
  <Application>Microsoft Office Word</Application>
  <DocSecurity>0</DocSecurity>
  <Lines>390</Lines>
  <Paragraphs>109</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54639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Pepa Sládek</dc:creator>
  <cp:keywords/>
  <dc:description/>
  <cp:lastModifiedBy>Pepa Sládek</cp:lastModifiedBy>
  <cp:revision>1</cp:revision>
  <dcterms:created xsi:type="dcterms:W3CDTF">2018-06-12T05:50:00Z</dcterms:created>
  <dcterms:modified xsi:type="dcterms:W3CDTF">2019-01-03T05:51:00Z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zotero-version="5.0.59"&gt;&lt;session id="hA0wgkxk"/&gt;&lt;style id="http://www.zotero.org/styles/iso690-author-date-cs" hasBibliography="1" bibliographyStyleHasBeenSet="0"/&gt;&lt;prefs&gt;&lt;pref name="fieldType" value="Field"/&gt;&lt;/prefs&gt;&lt;/data&gt;</vt:lpwstr>
  </property>
</Properties>
</file>