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pStyle w:val="Titulnnadpis"/>
      </w:pPr>
      <w:r>
        <w:t>BAKALÁŘSKÁ PRÁCE</w:t>
      </w: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rsidR="00983680" w:rsidRDefault="00983680" w:rsidP="00983680">
      <w:pPr>
        <w:rPr>
          <w:rFonts w:ascii="ComeniaSans-Bold" w:hAnsi="ComeniaSans-Bold" w:cs="ComeniaSans-Bold"/>
          <w:b/>
          <w:bCs/>
          <w:sz w:val="24"/>
          <w:szCs w:val="24"/>
        </w:rPr>
      </w:pPr>
    </w:p>
    <w:p w:rsidR="00983680" w:rsidRDefault="00983680" w:rsidP="00983680">
      <w:pPr>
        <w:rPr>
          <w:rFonts w:ascii="ComeniaSans-Bold" w:hAnsi="ComeniaSans-Bold" w:cs="ComeniaSans-Bold"/>
          <w:b/>
          <w:bCs/>
          <w:sz w:val="24"/>
          <w:szCs w:val="24"/>
        </w:rPr>
      </w:pPr>
    </w:p>
    <w:p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bCs/>
          <w:sz w:val="24"/>
          <w:szCs w:val="28"/>
        </w:rPr>
      </w:pPr>
    </w:p>
    <w:p w:rsidR="00983680" w:rsidRPr="00983680" w:rsidRDefault="00983680" w:rsidP="00983680">
      <w:pPr>
        <w:spacing w:line="360" w:lineRule="auto"/>
        <w:jc w:val="center"/>
        <w:rPr>
          <w:rFonts w:ascii="Arial" w:hAnsi="Arial" w:cs="Arial"/>
          <w:b/>
          <w:bCs/>
          <w:sz w:val="32"/>
          <w:szCs w:val="28"/>
        </w:rPr>
      </w:pPr>
    </w:p>
    <w:p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rsidR="00983680" w:rsidRDefault="00983680" w:rsidP="00983680">
      <w:pPr>
        <w:spacing w:line="360" w:lineRule="auto"/>
        <w:rPr>
          <w:rFonts w:ascii="Cambria" w:hAnsi="Cambria" w:cs="Arial"/>
          <w:sz w:val="24"/>
        </w:rPr>
      </w:pPr>
    </w:p>
    <w:p w:rsidR="00983680" w:rsidRDefault="00983680" w:rsidP="00983680">
      <w:pPr>
        <w:spacing w:line="360" w:lineRule="auto"/>
        <w:rPr>
          <w:rFonts w:ascii="Cambria" w:hAnsi="Cambria" w:cs="Arial"/>
          <w:sz w:val="24"/>
        </w:rPr>
      </w:pPr>
    </w:p>
    <w:p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rsidR="00983680" w:rsidRDefault="00983680"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rsidR="000551D2" w:rsidRDefault="000551D2" w:rsidP="00983680">
      <w:pPr>
        <w:spacing w:line="360" w:lineRule="auto"/>
        <w:rPr>
          <w:rFonts w:ascii="Cambria" w:hAnsi="Cambria" w:cs="Arial"/>
          <w:sz w:val="24"/>
        </w:rPr>
      </w:pPr>
      <w:r>
        <w:rPr>
          <w:rFonts w:ascii="Cambria" w:hAnsi="Cambria" w:cs="Arial"/>
          <w:sz w:val="24"/>
        </w:rPr>
        <w:t>Prohlášení:</w:t>
      </w:r>
    </w:p>
    <w:p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r>
        <w:rPr>
          <w:rFonts w:ascii="Cambria" w:hAnsi="Cambria" w:cs="Arial"/>
          <w:sz w:val="24"/>
        </w:rPr>
        <w:t>V Hradci Králové dne</w:t>
      </w: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0551D2">
      <w:pPr>
        <w:pStyle w:val="Heading1"/>
      </w:pPr>
      <w:r>
        <w:lastRenderedPageBreak/>
        <w:t>Anotace</w:t>
      </w:r>
    </w:p>
    <w:p w:rsidR="000551D2" w:rsidRDefault="000551D2" w:rsidP="000551D2"/>
    <w:p w:rsidR="000551D2" w:rsidRDefault="000551D2" w:rsidP="000551D2"/>
    <w:p w:rsidR="000551D2" w:rsidRDefault="000551D2" w:rsidP="000551D2"/>
    <w:p w:rsidR="000551D2" w:rsidRDefault="000551D2" w:rsidP="000551D2">
      <w:pPr>
        <w:pStyle w:val="Heading1"/>
      </w:pPr>
      <w:r>
        <w:lastRenderedPageBreak/>
        <w:t>Annotation</w:t>
      </w:r>
    </w:p>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7270B7" w:rsidRDefault="007270B7" w:rsidP="00466BD0">
      <w:pPr>
        <w:pStyle w:val="Heading1"/>
      </w:pPr>
      <w:r>
        <w:lastRenderedPageBreak/>
        <w:t>Úvod</w:t>
      </w:r>
    </w:p>
    <w:p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1.</w:t>
      </w:r>
      <w:r>
        <w:rPr>
          <w:color w:val="000000"/>
          <w:sz w:val="14"/>
          <w:szCs w:val="14"/>
        </w:rPr>
        <w:t>       </w:t>
      </w:r>
      <w:r>
        <w:rPr>
          <w:rFonts w:ascii="Calibri" w:hAnsi="Calibri" w:cs="Calibri"/>
          <w:color w:val="212121"/>
          <w:sz w:val="22"/>
          <w:szCs w:val="22"/>
        </w:rPr>
        <w:t>Provést literární rešerši a seznámit se s aktuálním poznáním v oblasti strojového učení.</w:t>
      </w:r>
    </w:p>
    <w:p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2.</w:t>
      </w:r>
      <w:r>
        <w:rPr>
          <w:color w:val="000000"/>
          <w:sz w:val="14"/>
          <w:szCs w:val="14"/>
        </w:rPr>
        <w:t>       </w:t>
      </w:r>
      <w:r>
        <w:rPr>
          <w:rFonts w:ascii="Calibri" w:hAnsi="Calibri" w:cs="Calibri"/>
          <w:color w:val="000000"/>
          <w:sz w:val="22"/>
          <w:szCs w:val="22"/>
        </w:rPr>
        <w:t>Vytvořit přehled postupů a metod používaných v počítačové grafice pro návrh modelu scény podporovaný metodami strojového učení.</w:t>
      </w:r>
    </w:p>
    <w:p w:rsidR="00B460B9" w:rsidRDefault="00B460B9" w:rsidP="00B460B9">
      <w:pPr>
        <w:pStyle w:val="NormalWeb"/>
        <w:shd w:val="clear" w:color="auto" w:fill="FFFFFF"/>
        <w:spacing w:before="0" w:beforeAutospacing="0" w:after="0" w:afterAutospacing="0" w:line="233" w:lineRule="atLeast"/>
        <w:ind w:left="720" w:hanging="360"/>
        <w:jc w:val="both"/>
        <w:rPr>
          <w:rFonts w:ascii="Calibri" w:hAnsi="Calibri" w:cs="Calibri"/>
          <w:color w:val="212121"/>
          <w:sz w:val="22"/>
          <w:szCs w:val="22"/>
        </w:rPr>
      </w:pPr>
      <w:r>
        <w:rPr>
          <w:rFonts w:ascii="Calibri" w:hAnsi="Calibri" w:cs="Calibri"/>
          <w:color w:val="212121"/>
          <w:sz w:val="22"/>
          <w:szCs w:val="22"/>
        </w:rPr>
        <w:t>3.</w:t>
      </w:r>
      <w:r>
        <w:rPr>
          <w:color w:val="212121"/>
          <w:sz w:val="14"/>
          <w:szCs w:val="14"/>
        </w:rPr>
        <w:t>       </w:t>
      </w:r>
      <w:r>
        <w:rPr>
          <w:rFonts w:ascii="Calibri" w:hAnsi="Calibri" w:cs="Calibri"/>
          <w:color w:val="212121"/>
          <w:sz w:val="22"/>
          <w:szCs w:val="22"/>
        </w:rPr>
        <w:t>Prozkoumat vybrané dostupné technologie pro implementaci metod strojového učení.</w:t>
      </w:r>
    </w:p>
    <w:p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4.</w:t>
      </w:r>
      <w:r>
        <w:rPr>
          <w:color w:val="000000"/>
          <w:sz w:val="14"/>
          <w:szCs w:val="14"/>
        </w:rPr>
        <w:t>       </w:t>
      </w:r>
      <w:r>
        <w:rPr>
          <w:rFonts w:ascii="Calibri" w:hAnsi="Calibri" w:cs="Calibri"/>
          <w:color w:val="000000"/>
          <w:sz w:val="22"/>
          <w:szCs w:val="22"/>
        </w:rPr>
        <w:t>Zvolit vhodný příklad využití a navrhnout jeho softwarovou implementaci.</w:t>
      </w:r>
    </w:p>
    <w:p w:rsidR="00191F46" w:rsidRPr="00850DC9" w:rsidRDefault="00B460B9" w:rsidP="00850DC9">
      <w:pPr>
        <w:pStyle w:val="NormalWeb"/>
        <w:shd w:val="clear" w:color="auto" w:fill="FFFFFF"/>
        <w:spacing w:before="0" w:beforeAutospacing="0" w:after="16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5.</w:t>
      </w:r>
      <w:r>
        <w:rPr>
          <w:color w:val="000000"/>
          <w:sz w:val="14"/>
          <w:szCs w:val="14"/>
        </w:rPr>
        <w:t>       </w:t>
      </w:r>
      <w:r>
        <w:rPr>
          <w:rFonts w:ascii="Calibri" w:hAnsi="Calibri" w:cs="Calibri"/>
          <w:color w:val="212121"/>
          <w:sz w:val="22"/>
          <w:szCs w:val="22"/>
        </w:rPr>
        <w:t>Pro implementované řešení provést testování a zhodnotit dosažené výsledky.</w:t>
      </w:r>
    </w:p>
    <w:p w:rsidR="00191F46" w:rsidRPr="00191F46" w:rsidRDefault="00191F46" w:rsidP="00191F46">
      <w:pPr>
        <w:keepNext/>
        <w:keepLines/>
        <w:spacing w:before="720" w:after="360"/>
        <w:outlineLvl w:val="0"/>
        <w:rPr>
          <w:rFonts w:ascii="Arial" w:eastAsiaTheme="majorEastAsia" w:hAnsi="Arial" w:cstheme="majorBidi"/>
          <w:b/>
          <w:color w:val="000000" w:themeColor="text1"/>
          <w:sz w:val="36"/>
          <w:szCs w:val="32"/>
        </w:rPr>
      </w:pPr>
      <w:r w:rsidRPr="00191F46">
        <w:rPr>
          <w:rFonts w:ascii="Arial" w:eastAsiaTheme="majorEastAsia" w:hAnsi="Arial" w:cstheme="majorBidi"/>
          <w:b/>
          <w:color w:val="000000" w:themeColor="text1"/>
          <w:sz w:val="36"/>
          <w:szCs w:val="32"/>
        </w:rPr>
        <w:t>Strojové učení</w:t>
      </w:r>
    </w:p>
    <w:p w:rsidR="00191F46" w:rsidRDefault="00191F46" w:rsidP="003D3656">
      <w:pPr>
        <w:spacing w:before="240" w:after="240" w:line="360" w:lineRule="auto"/>
        <w:jc w:val="both"/>
        <w:rPr>
          <w:rFonts w:ascii="Cambria" w:hAnsi="Cambria" w:cs="Arial"/>
          <w:sz w:val="26"/>
          <w:lang w:bidi="he-IL"/>
        </w:rPr>
      </w:pPr>
      <w:r w:rsidRPr="00191F46">
        <w:rPr>
          <w:rFonts w:ascii="Cambria" w:hAnsi="Cambria" w:cs="Arial"/>
          <w:sz w:val="26"/>
        </w:rPr>
        <w:tab/>
        <w:t xml:space="preserve">Z formálních definic strojového učení je vybráno tradiční znění Toma Mitchella, který definuje strojové učení násedujícím způsobem. </w:t>
      </w:r>
      <w:r w:rsidRPr="00191F46">
        <w:rPr>
          <w:rFonts w:ascii="Cambria" w:hAnsi="Cambria" w:cs="Arial"/>
          <w:i/>
          <w:sz w:val="26"/>
        </w:rPr>
        <w:t xml:space="preserve">„Stroj (počítačový program) se učí plnit třídu zadání T  ze zkušenost E a s úspěšností P v tom případě, když se úspěšnost plnění zadaných úkolů T  zlepšuje s využitím znalostí nabytých ze </w:t>
      </w:r>
      <w:r w:rsidRPr="00191F46">
        <w:rPr>
          <w:rFonts w:ascii="Cambria" w:hAnsi="Cambria" w:cs="Arial"/>
          <w:sz w:val="26"/>
        </w:rPr>
        <w:t xml:space="preserve">zkušenosti E.“ </w:t>
      </w:r>
      <w:r w:rsidRPr="00191F46">
        <w:rPr>
          <w:rFonts w:ascii="Cambria" w:hAnsi="Cambria" w:cs="Arial"/>
          <w:sz w:val="26"/>
        </w:rPr>
        <w:fldChar w:fldCharType="begin"/>
      </w:r>
      <w:r w:rsidR="003D3656">
        <w:rPr>
          <w:rFonts w:ascii="Cambria" w:hAnsi="Cambria" w:cs="Arial"/>
          <w:sz w:val="26"/>
        </w:rPr>
        <w:instrText xml:space="preserve"> ADDIN ZOTERO_ITEM CSL_CITATION {"citationID":"DAB58nC8","properties":{"formattedCitation":"(Mitchell 1997a)","plainCitation":"(Mitchell 1997a)","noteIndex":0},"citationItems":[{"id":"hA0wgkxk/cCVRH0T9","uris":["http://zotero.org/users/local/IbRhotwj/items/JNC9CCCD"],"uri":["http://zotero.org/users/local/IbRhotwj/items/JNC9CCCD"],"itemData":{"id":159,"type":"book","title":"Machine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rPr>
          <w:rFonts w:ascii="Cambria" w:hAnsi="Cambria" w:cs="Arial"/>
          <w:sz w:val="26"/>
        </w:rPr>
        <w:fldChar w:fldCharType="separate"/>
      </w:r>
      <w:r w:rsidR="003D3656" w:rsidRPr="003D3656">
        <w:rPr>
          <w:rFonts w:ascii="Cambria" w:hAnsi="Cambria"/>
          <w:sz w:val="26"/>
        </w:rPr>
        <w:t>(Mitchell 1997a)</w:t>
      </w:r>
      <w:r w:rsidRPr="00191F46">
        <w:rPr>
          <w:rFonts w:ascii="Cambria" w:hAnsi="Cambria" w:cs="Arial"/>
          <w:sz w:val="26"/>
        </w:rPr>
        <w:fldChar w:fldCharType="end"/>
      </w:r>
      <w:r w:rsidRPr="00191F46">
        <w:rPr>
          <w:rFonts w:ascii="Cambria" w:hAnsi="Cambria" w:cs="Arial"/>
          <w:sz w:val="26"/>
        </w:rPr>
        <w:t xml:space="preserve">. </w:t>
      </w:r>
      <w:r w:rsidR="00EC2DCC">
        <w:rPr>
          <w:rFonts w:ascii="Cambria" w:hAnsi="Cambria" w:cs="Arial"/>
          <w:sz w:val="26"/>
        </w:rPr>
        <w:t>K </w:t>
      </w:r>
      <w:r w:rsidR="00EC2DCC">
        <w:rPr>
          <w:rFonts w:ascii="Cambria" w:hAnsi="Cambria" w:cs="Arial"/>
          <w:sz w:val="26"/>
          <w:lang w:bidi="he-IL"/>
        </w:rPr>
        <w:t>základním praktickým úlohám</w:t>
      </w:r>
      <w:r w:rsidR="005815BF">
        <w:rPr>
          <w:rFonts w:ascii="Cambria" w:hAnsi="Cambria" w:cs="Arial"/>
          <w:sz w:val="26"/>
          <w:lang w:bidi="he-IL"/>
        </w:rPr>
        <w:t>,</w:t>
      </w:r>
      <w:r w:rsidR="00EC2DCC">
        <w:rPr>
          <w:rFonts w:ascii="Cambria" w:hAnsi="Cambria" w:cs="Arial"/>
          <w:sz w:val="26"/>
          <w:lang w:bidi="he-IL"/>
        </w:rPr>
        <w:t xml:space="preserve"> na něž jsou algoritmy strojového učení aplikovány patří klasifikace, predikce, plánování, popřípadě obecná kontrola agenta</w:t>
      </w:r>
      <w:r w:rsidR="005815BF">
        <w:rPr>
          <w:rFonts w:ascii="Cambria" w:hAnsi="Cambria" w:cs="Arial"/>
          <w:sz w:val="26"/>
          <w:lang w:bidi="he-IL"/>
        </w:rPr>
        <w:t xml:space="preserve"> konkrétního autonomního systému</w:t>
      </w:r>
      <w:r w:rsidR="00EC2DCC">
        <w:rPr>
          <w:rFonts w:ascii="Cambria" w:hAnsi="Cambria" w:cs="Arial"/>
          <w:sz w:val="26"/>
          <w:lang w:bidi="he-IL"/>
        </w:rPr>
        <w:t>.</w:t>
      </w:r>
      <w:r w:rsidR="005815BF">
        <w:rPr>
          <w:rFonts w:ascii="Cambria" w:hAnsi="Cambria" w:cs="Arial"/>
          <w:sz w:val="26"/>
          <w:lang w:bidi="he-IL"/>
        </w:rPr>
        <w:t xml:space="preserve"> </w:t>
      </w:r>
      <w:r w:rsidR="00EC2DCC">
        <w:rPr>
          <w:rFonts w:ascii="Cambria" w:hAnsi="Cambria" w:cs="Arial"/>
          <w:sz w:val="26"/>
          <w:lang w:bidi="he-IL"/>
        </w:rPr>
        <w:t xml:space="preserve"> </w:t>
      </w:r>
    </w:p>
    <w:p w:rsidR="00191F46" w:rsidRDefault="005815BF" w:rsidP="00191F46">
      <w:pPr>
        <w:spacing w:before="240" w:after="240" w:line="360" w:lineRule="auto"/>
        <w:jc w:val="both"/>
        <w:rPr>
          <w:rFonts w:ascii="Cambria" w:hAnsi="Cambria"/>
          <w:sz w:val="26"/>
        </w:rPr>
      </w:pPr>
      <w:r>
        <w:rPr>
          <w:rFonts w:ascii="Cambria" w:hAnsi="Cambria" w:cs="Arial"/>
          <w:sz w:val="26"/>
          <w:lang w:bidi="he-IL"/>
        </w:rPr>
        <w:tab/>
        <w:t xml:space="preserve">Následuje výčet hlavních argumentů pro upřednostňování algoritmů strojového učení, namísto implementace </w:t>
      </w:r>
      <w:r w:rsidR="00FD3A97">
        <w:rPr>
          <w:rFonts w:ascii="Cambria" w:hAnsi="Cambria" w:cs="Arial"/>
          <w:sz w:val="26"/>
          <w:lang w:bidi="he-IL"/>
        </w:rPr>
        <w:t>jiného</w:t>
      </w:r>
      <w:r>
        <w:rPr>
          <w:rFonts w:ascii="Cambria" w:hAnsi="Cambria" w:cs="Arial"/>
          <w:sz w:val="26"/>
          <w:lang w:bidi="he-IL"/>
        </w:rPr>
        <w:t xml:space="preserve"> systému. Mitchellem definovaná zkušenost </w:t>
      </w:r>
      <w:r w:rsidRPr="005815BF">
        <w:rPr>
          <w:rFonts w:ascii="Cambria" w:hAnsi="Cambria" w:cs="Arial"/>
          <w:i/>
          <w:iCs/>
          <w:sz w:val="26"/>
          <w:lang w:bidi="he-IL"/>
        </w:rPr>
        <w:t>E</w:t>
      </w:r>
      <w:r>
        <w:rPr>
          <w:rFonts w:ascii="Cambria" w:hAnsi="Cambria" w:cs="Arial"/>
          <w:i/>
          <w:iCs/>
          <w:sz w:val="26"/>
          <w:lang w:bidi="he-IL"/>
        </w:rPr>
        <w:t xml:space="preserve"> </w:t>
      </w:r>
      <w:r>
        <w:rPr>
          <w:rFonts w:ascii="Cambria" w:hAnsi="Cambria" w:cs="Arial"/>
          <w:sz w:val="26"/>
          <w:lang w:bidi="he-IL"/>
        </w:rPr>
        <w:t xml:space="preserve">je v oblasti strojového učení reprezentována daty. </w:t>
      </w:r>
      <w:r w:rsidR="00FA2FB4">
        <w:rPr>
          <w:rFonts w:ascii="Cambria" w:hAnsi="Cambria" w:cs="Arial"/>
          <w:sz w:val="26"/>
          <w:lang w:bidi="he-IL"/>
        </w:rPr>
        <w:t>Pro trénovací sadu je důležité jaké formy nabývá, v jakém pořadí vstupují jednotlivá data do algoritmu, a především „</w:t>
      </w:r>
      <w:r w:rsidR="00FA2FB4" w:rsidRPr="00FA2FB4">
        <w:rPr>
          <w:rFonts w:ascii="Cambria" w:hAnsi="Cambria" w:cs="Arial"/>
          <w:i/>
          <w:iCs/>
          <w:sz w:val="26"/>
          <w:lang w:bidi="he-IL"/>
        </w:rPr>
        <w:t xml:space="preserve">…jak dobře reprezentuje distribuci </w:t>
      </w:r>
      <w:r w:rsidR="00FA2FB4">
        <w:rPr>
          <w:rFonts w:ascii="Cambria" w:hAnsi="Cambria" w:cs="Arial"/>
          <w:i/>
          <w:iCs/>
          <w:sz w:val="26"/>
          <w:lang w:bidi="he-IL"/>
        </w:rPr>
        <w:t>příkladů, přes které musí být výsledný systém evaluován úspěšností P.“</w:t>
      </w:r>
      <w:r w:rsidR="00FA2FB4">
        <w:rPr>
          <w:rFonts w:ascii="Cambria" w:hAnsi="Cambria" w:cs="Arial"/>
          <w:sz w:val="26"/>
          <w:lang w:bidi="he-IL"/>
        </w:rPr>
        <w:t xml:space="preserve"> </w:t>
      </w:r>
      <w:r w:rsidR="00FA2FB4">
        <w:rPr>
          <w:rFonts w:ascii="Cambria" w:hAnsi="Cambria" w:cs="Arial"/>
          <w:sz w:val="26"/>
          <w:lang w:bidi="he-IL"/>
        </w:rPr>
        <w:fldChar w:fldCharType="begin"/>
      </w:r>
      <w:r w:rsidR="00FA2FB4">
        <w:rPr>
          <w:rFonts w:ascii="Cambria" w:hAnsi="Cambria" w:cs="Arial"/>
          <w:sz w:val="26"/>
          <w:lang w:bidi="he-IL"/>
        </w:rPr>
        <w:instrText xml:space="preserve"> ADDIN ZOTERO_ITEM CSL_CITATION {"citationID":"KGtGwr0L","properties":{"formattedCitation":"(Mitchell 1997b)","plainCitation":"(Mitchell 1997b)","noteIndex":0},"citationItems":[{"id":249,"uris":["http://zotero.org/users/local/DXBpxSa9/items/C6L4M5DL"],"uri":["http://zotero.org/users/local/DXBpxSa9/items/C6L4M5DL"],"itemData":{"id":249,"type":"book","title":"Machine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rFonts w:ascii="Cambria" w:hAnsi="Cambria" w:cs="Arial"/>
          <w:sz w:val="26"/>
          <w:lang w:bidi="he-IL"/>
        </w:rPr>
        <w:fldChar w:fldCharType="separate"/>
      </w:r>
      <w:r w:rsidR="003D3656" w:rsidRPr="003D3656">
        <w:rPr>
          <w:rFonts w:ascii="Cambria" w:hAnsi="Cambria"/>
          <w:sz w:val="26"/>
        </w:rPr>
        <w:t>(Mitchell 1997b)</w:t>
      </w:r>
      <w:r w:rsidR="00FA2FB4">
        <w:rPr>
          <w:rFonts w:ascii="Cambria" w:hAnsi="Cambria" w:cs="Arial"/>
          <w:sz w:val="26"/>
          <w:lang w:bidi="he-IL"/>
        </w:rPr>
        <w:fldChar w:fldCharType="end"/>
      </w:r>
      <w:r w:rsidR="00FA2FB4">
        <w:rPr>
          <w:rFonts w:ascii="Cambria" w:hAnsi="Cambria" w:cs="Arial"/>
          <w:sz w:val="26"/>
          <w:lang w:bidi="he-IL"/>
        </w:rPr>
        <w:t xml:space="preserve"> V takto definované trénovací sadě, lze pak za pomocí vhodných algoritmů strojového učení hledat obecné vztahy a korelace, které by tradiční analýze zůstaly skryté</w:t>
      </w:r>
      <w:r w:rsidR="00A00427">
        <w:rPr>
          <w:rFonts w:ascii="Cambria" w:hAnsi="Cambria" w:cs="Arial"/>
          <w:sz w:val="26"/>
          <w:lang w:bidi="he-IL"/>
        </w:rPr>
        <w:t xml:space="preserve"> tj. jen těžko by se hledala přiměřená algoritmizovatelná logika</w:t>
      </w:r>
      <w:r w:rsidR="00FA2FB4">
        <w:rPr>
          <w:rFonts w:ascii="Cambria" w:hAnsi="Cambria" w:cs="Arial"/>
          <w:sz w:val="26"/>
          <w:lang w:bidi="he-IL"/>
        </w:rPr>
        <w:t>. Vzhledem k záměru této práce lze dodat, že tyto vztahy mohou být později užity ke generování nových vzorků zachovávajících obecné charakteristiky</w:t>
      </w:r>
      <w:r w:rsidR="00715B21">
        <w:rPr>
          <w:rFonts w:ascii="Cambria" w:hAnsi="Cambria" w:cs="Arial"/>
          <w:sz w:val="26"/>
          <w:lang w:bidi="he-IL"/>
        </w:rPr>
        <w:t xml:space="preserve"> a </w:t>
      </w:r>
      <w:r w:rsidR="00632EFF">
        <w:rPr>
          <w:rFonts w:ascii="Cambria" w:hAnsi="Cambria" w:cs="Arial"/>
          <w:sz w:val="26"/>
          <w:lang w:bidi="he-IL"/>
        </w:rPr>
        <w:t>distribuce</w:t>
      </w:r>
      <w:r w:rsidR="00FA2FB4">
        <w:rPr>
          <w:rFonts w:ascii="Cambria" w:hAnsi="Cambria" w:cs="Arial"/>
          <w:sz w:val="26"/>
          <w:lang w:bidi="he-IL"/>
        </w:rPr>
        <w:t xml:space="preserve"> trénovací sady. Dalším</w:t>
      </w:r>
      <w:r w:rsidR="00FB1A31">
        <w:rPr>
          <w:rFonts w:ascii="Cambria" w:hAnsi="Cambria" w:cs="Arial"/>
          <w:sz w:val="26"/>
          <w:lang w:bidi="he-IL"/>
        </w:rPr>
        <w:t>i</w:t>
      </w:r>
      <w:r w:rsidR="00FA2FB4">
        <w:rPr>
          <w:rFonts w:ascii="Cambria" w:hAnsi="Cambria" w:cs="Arial"/>
          <w:sz w:val="26"/>
          <w:lang w:bidi="he-IL"/>
        </w:rPr>
        <w:t xml:space="preserve"> důvod</w:t>
      </w:r>
      <w:r w:rsidR="00FB1A31">
        <w:rPr>
          <w:rFonts w:ascii="Cambria" w:hAnsi="Cambria" w:cs="Arial"/>
          <w:sz w:val="26"/>
          <w:lang w:bidi="he-IL"/>
        </w:rPr>
        <w:t>y</w:t>
      </w:r>
      <w:r w:rsidR="00FA2FB4">
        <w:rPr>
          <w:rFonts w:ascii="Cambria" w:hAnsi="Cambria" w:cs="Arial"/>
          <w:sz w:val="26"/>
          <w:lang w:bidi="he-IL"/>
        </w:rPr>
        <w:t xml:space="preserve"> pro preferenci </w:t>
      </w:r>
      <w:r w:rsidR="00FB1A31">
        <w:rPr>
          <w:rFonts w:ascii="Cambria" w:hAnsi="Cambria" w:cs="Arial"/>
          <w:sz w:val="26"/>
          <w:lang w:bidi="he-IL"/>
        </w:rPr>
        <w:t>ASU je dle Nil</w:t>
      </w:r>
      <w:r w:rsidR="00FA2FB4">
        <w:rPr>
          <w:rFonts w:ascii="Cambria" w:hAnsi="Cambria" w:cs="Arial"/>
          <w:sz w:val="26"/>
          <w:lang w:bidi="he-IL"/>
        </w:rPr>
        <w:t>s</w:t>
      </w:r>
      <w:r w:rsidR="00FB1A31">
        <w:rPr>
          <w:rFonts w:ascii="Cambria" w:hAnsi="Cambria" w:cs="Arial"/>
          <w:sz w:val="26"/>
          <w:lang w:bidi="he-IL"/>
        </w:rPr>
        <w:t>s</w:t>
      </w:r>
      <w:r w:rsidR="00FA2FB4">
        <w:rPr>
          <w:rFonts w:ascii="Cambria" w:hAnsi="Cambria" w:cs="Arial"/>
          <w:sz w:val="26"/>
          <w:lang w:bidi="he-IL"/>
        </w:rPr>
        <w:t xml:space="preserve">ona </w:t>
      </w:r>
      <w:r w:rsidR="00FB1A31">
        <w:rPr>
          <w:rFonts w:ascii="Cambria" w:hAnsi="Cambria" w:cs="Arial"/>
          <w:sz w:val="26"/>
          <w:lang w:bidi="he-IL"/>
        </w:rPr>
        <w:t xml:space="preserve">enormní velikost datové sady, která znemožňuje syntézu do tradičního programu. Dále je </w:t>
      </w:r>
      <w:r w:rsidR="00FB1A31">
        <w:rPr>
          <w:rFonts w:ascii="Cambria" w:hAnsi="Cambria" w:cs="Arial"/>
          <w:sz w:val="26"/>
          <w:lang w:bidi="he-IL"/>
        </w:rPr>
        <w:lastRenderedPageBreak/>
        <w:t>to dynamická proměnlivost dat, na kterou musí být systém schopný v ideálním případě reagovat. A konečně jsou některé úlohy definovatelné pouze pomocí předkládání četných příkladů. (Nilsson 1998)</w:t>
      </w:r>
      <w:r w:rsidR="00F619E4">
        <w:rPr>
          <w:rFonts w:ascii="Cambria" w:hAnsi="Cambria"/>
          <w:sz w:val="26"/>
        </w:rPr>
        <w:t>.</w:t>
      </w:r>
    </w:p>
    <w:p w:rsidR="00F619E4" w:rsidRDefault="00F619E4" w:rsidP="00F619E4">
      <w:pPr>
        <w:pStyle w:val="Heading2"/>
      </w:pPr>
      <w:r>
        <w:t>Rozlišení učících algoritmů s učitelem a bez učitele</w:t>
      </w:r>
    </w:p>
    <w:p w:rsidR="00F619E4" w:rsidRPr="00F619E4" w:rsidRDefault="00F619E4" w:rsidP="00F619E4">
      <w:pPr>
        <w:pStyle w:val="Stadnartntext"/>
      </w:pPr>
      <w:r>
        <w:tab/>
      </w:r>
      <w:r w:rsidR="00A70E18">
        <w:t xml:space="preserve">Modely </w:t>
      </w:r>
    </w:p>
    <w:p w:rsidR="00715B21" w:rsidRDefault="00715B21" w:rsidP="00715B21">
      <w:pPr>
        <w:pStyle w:val="Heading2"/>
        <w:rPr>
          <w:lang w:bidi="he-IL"/>
        </w:rPr>
      </w:pPr>
      <w:r>
        <w:t>Rozli</w:t>
      </w:r>
      <w:r>
        <w:rPr>
          <w:lang w:bidi="he-IL"/>
        </w:rPr>
        <w:t>šení diskriminativních a generativních modelů</w:t>
      </w:r>
    </w:p>
    <w:p w:rsidR="00F619E4" w:rsidRPr="00787F85" w:rsidRDefault="001B67A0" w:rsidP="00F619E4">
      <w:pPr>
        <w:pStyle w:val="Stadnartntext"/>
        <w:rPr>
          <w:lang w:bidi="he-IL"/>
        </w:rPr>
      </w:pPr>
      <w:r>
        <w:rPr>
          <w:lang w:bidi="he-IL"/>
        </w:rPr>
        <w:tab/>
      </w:r>
      <w:r w:rsidR="00212DFE">
        <w:rPr>
          <w:lang w:bidi="he-IL"/>
        </w:rPr>
        <w:t>Kromě</w:t>
      </w:r>
      <w:r w:rsidR="00F619E4">
        <w:rPr>
          <w:lang w:bidi="he-IL"/>
        </w:rPr>
        <w:t xml:space="preserve"> již uvedeného</w:t>
      </w:r>
      <w:r w:rsidR="00212DFE">
        <w:rPr>
          <w:lang w:bidi="he-IL"/>
        </w:rPr>
        <w:t xml:space="preserve"> </w:t>
      </w:r>
      <w:r w:rsidR="00F619E4">
        <w:rPr>
          <w:lang w:bidi="he-IL"/>
        </w:rPr>
        <w:t>čle</w:t>
      </w:r>
      <w:r w:rsidR="00212DFE">
        <w:rPr>
          <w:lang w:bidi="he-IL"/>
        </w:rPr>
        <w:t>lení na učení s učitelem a učení bez učitele, lze algoritmy rozdělit rovněž na diskriminativní a generativní. Na rozdíl mezi nimi lze dobře poukázat v</w:t>
      </w:r>
      <w:r>
        <w:rPr>
          <w:lang w:bidi="he-IL"/>
        </w:rPr>
        <w:t> aplikaci na klasifik</w:t>
      </w:r>
      <w:r w:rsidR="00212DFE">
        <w:rPr>
          <w:lang w:bidi="he-IL"/>
        </w:rPr>
        <w:t xml:space="preserve">aci, kde obvykle jde o rozdělení datové distribuce do několika oblastí. </w:t>
      </w:r>
      <w:r w:rsidR="00884992">
        <w:rPr>
          <w:lang w:bidi="he-IL"/>
        </w:rPr>
        <w:t>Zatímco u diskriminativních modelů jde o namapování vstupů na konkrétní výstup, kterým může být konkrétní třída či skalární hodnota, generativní přístup modeluje pravděpodobnostní relace mezi proměnnými daného modelu</w:t>
      </w:r>
      <w:r w:rsidR="00787F85">
        <w:rPr>
          <w:lang w:bidi="he-IL"/>
        </w:rPr>
        <w:t xml:space="preserve"> </w:t>
      </w:r>
      <w:r w:rsidR="00884992">
        <w:rPr>
          <w:lang w:bidi="he-IL"/>
        </w:rPr>
        <w:fldChar w:fldCharType="begin"/>
      </w:r>
      <w:r w:rsidR="003D3656">
        <w:rPr>
          <w:lang w:bidi="he-IL"/>
        </w:rPr>
        <w:instrText xml:space="preserve"> ADDIN ZOTERO_ITEM CSL_CITATION {"citationID":"OPrn0G7O","properties":{"formattedCitation":"(Jebara 1996)","plainCitation":"(Jebara 1996)","noteIndex":0},"citationItems":[{"id":481,"uris":["http://zotero.org/users/local/DXBpxSa9/items/HK5UUPBX"],"uri":["http://zotero.org/users/local/DXBpxSa9/items/HK5UUPBX"],"itemData":{"id":481,"type":"article-journal","title":"Discriminative,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Pr>
          <w:lang w:bidi="he-IL"/>
        </w:rPr>
        <w:fldChar w:fldCharType="separate"/>
      </w:r>
      <w:r w:rsidR="003D3656" w:rsidRPr="003D3656">
        <w:t>(Jebara 1996)</w:t>
      </w:r>
      <w:r w:rsidR="00884992">
        <w:rPr>
          <w:lang w:bidi="he-IL"/>
        </w:rPr>
        <w:fldChar w:fldCharType="end"/>
      </w:r>
      <w:r w:rsidR="00884992">
        <w:rPr>
          <w:lang w:bidi="he-IL"/>
        </w:rPr>
        <w:t xml:space="preserve">. </w:t>
      </w:r>
      <w:r w:rsidR="00273E31">
        <w:rPr>
          <w:lang w:bidi="he-IL"/>
        </w:rPr>
        <w:t xml:space="preserve">Pro N proměnných lze v těchto modelech nalézt úplnou </w:t>
      </w:r>
      <w:r w:rsidR="003D3656">
        <w:rPr>
          <w:lang w:bidi="he-IL"/>
        </w:rPr>
        <w:t>s</w:t>
      </w:r>
      <w:r w:rsidR="00273E31">
        <w:rPr>
          <w:lang w:bidi="he-IL"/>
        </w:rPr>
        <w:t>druženou pravděpodobnost ve formě p(x</w:t>
      </w:r>
      <w:r w:rsidR="00273E31" w:rsidRPr="00F619E4">
        <w:rPr>
          <w:vertAlign w:val="subscript"/>
          <w:lang w:bidi="he-IL"/>
        </w:rPr>
        <w:t>1</w:t>
      </w:r>
      <w:r w:rsidR="00273E31">
        <w:rPr>
          <w:lang w:bidi="he-IL"/>
        </w:rPr>
        <w:t>,…..x</w:t>
      </w:r>
      <w:r w:rsidR="00273E31" w:rsidRPr="00F619E4">
        <w:rPr>
          <w:vertAlign w:val="subscript"/>
          <w:lang w:bidi="he-IL"/>
        </w:rPr>
        <w:t>n</w:t>
      </w:r>
      <w:r w:rsidR="00273E31">
        <w:rPr>
          <w:lang w:bidi="he-IL"/>
        </w:rPr>
        <w:t>). Existuje-li vyjádření takové distribuce, lze na základě této formule odvozovat další hodnoty proměnných pomocí bayesovských pravidel.</w:t>
      </w:r>
      <w:r w:rsidR="00BF2378">
        <w:rPr>
          <w:lang w:bidi="he-IL"/>
        </w:rPr>
        <w:t xml:space="preserve"> Tomuto procesu se říká inference.</w:t>
      </w:r>
      <w:r w:rsidR="00444C8F">
        <w:rPr>
          <w:lang w:bidi="he-IL"/>
        </w:rPr>
        <w:t xml:space="preserve"> Ve vztahu ke klasifikaci je to pak především pravděpodobnost p(y</w:t>
      </w:r>
      <w:r w:rsidR="00444C8F" w:rsidRPr="00444C8F">
        <w:rPr>
          <w:lang w:bidi="he-IL"/>
        </w:rPr>
        <w:t>|x</w:t>
      </w:r>
      <w:r w:rsidR="00444C8F">
        <w:rPr>
          <w:lang w:bidi="he-IL"/>
        </w:rPr>
        <w:t xml:space="preserve">), kde </w:t>
      </w:r>
      <w:r w:rsidR="00444C8F">
        <w:rPr>
          <w:i/>
          <w:iCs/>
          <w:lang w:bidi="he-IL"/>
        </w:rPr>
        <w:t>y</w:t>
      </w:r>
      <w:r w:rsidR="00395921">
        <w:rPr>
          <w:i/>
          <w:iCs/>
          <w:lang w:bidi="he-IL"/>
        </w:rPr>
        <w:t xml:space="preserve"> </w:t>
      </w:r>
      <w:r w:rsidR="00444C8F">
        <w:rPr>
          <w:lang w:bidi="he-IL"/>
        </w:rPr>
        <w:t>je třída</w:t>
      </w:r>
      <w:r w:rsidR="00850DC9">
        <w:rPr>
          <w:lang w:bidi="he-IL"/>
        </w:rPr>
        <w:t xml:space="preserve"> objektu</w:t>
      </w:r>
      <w:r w:rsidR="00444C8F">
        <w:rPr>
          <w:lang w:bidi="he-IL"/>
        </w:rPr>
        <w:t xml:space="preserve"> vzhledem k</w:t>
      </w:r>
      <w:r w:rsidR="00850DC9">
        <w:rPr>
          <w:lang w:bidi="he-IL"/>
        </w:rPr>
        <w:t xml:space="preserve"> rozdělení</w:t>
      </w:r>
      <w:r w:rsidR="00444C8F">
        <w:rPr>
          <w:lang w:bidi="he-IL"/>
        </w:rPr>
        <w:t> </w:t>
      </w:r>
      <w:r w:rsidR="00444C8F" w:rsidRPr="00444C8F">
        <w:rPr>
          <w:i/>
          <w:iCs/>
          <w:lang w:bidi="he-IL"/>
        </w:rPr>
        <w:t>x</w:t>
      </w:r>
      <w:r w:rsidR="00444C8F">
        <w:rPr>
          <w:lang w:bidi="he-IL"/>
        </w:rPr>
        <w:t xml:space="preserve">. </w:t>
      </w:r>
      <w:r w:rsidR="00444C8F">
        <w:rPr>
          <w:lang w:bidi="he-IL"/>
        </w:rPr>
        <w:fldChar w:fldCharType="begin"/>
      </w:r>
      <w:r w:rsidR="00444C8F">
        <w:rPr>
          <w:lang w:bidi="he-IL"/>
        </w:rPr>
        <w:instrText xml:space="preserve"> ADDIN ZOTERO_ITEM CSL_CITATION {"citationID":"g6QdBucy","properties":{"formattedCitation":"(Ng a Jordan nedatov\\uc0\\u225{}no)","plainCitation":"(Ng a Jordan nedatováno)","noteIndex":0},"citationItems":[{"id":274,"uris":["http://zotero.org/users/local/DXBpxSa9/items/SWT9YI2N"],"uri":["http://zotero.org/users/local/DXBpxSa9/items/SWT9YI2N"],"itemData":{"id":274,"type":"article-journal","title":"On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Pr>
          <w:lang w:bidi="he-IL"/>
        </w:rPr>
        <w:fldChar w:fldCharType="separate"/>
      </w:r>
      <w:r w:rsidR="00444C8F" w:rsidRPr="00444C8F">
        <w:rPr>
          <w:rFonts w:cs="Times New Roman"/>
          <w:szCs w:val="24"/>
        </w:rPr>
        <w:t>(Ng a Jordan nedatováno)</w:t>
      </w:r>
      <w:r w:rsidR="00444C8F">
        <w:rPr>
          <w:lang w:bidi="he-IL"/>
        </w:rPr>
        <w:fldChar w:fldCharType="end"/>
      </w:r>
      <w:r w:rsidR="00444C8F">
        <w:rPr>
          <w:lang w:bidi="he-IL"/>
        </w:rPr>
        <w:t>.</w:t>
      </w:r>
      <w:r w:rsidR="00273E31">
        <w:rPr>
          <w:lang w:bidi="he-IL"/>
        </w:rPr>
        <w:t xml:space="preserve"> </w:t>
      </w:r>
      <w:r w:rsidR="00787F85">
        <w:rPr>
          <w:lang w:bidi="he-IL"/>
        </w:rPr>
        <w:t xml:space="preserve">Generativní modely existují většinou ve formě grafických modelů, mezi které patří primárně bayesovské sítě se směrovými relacemi mezi proměnnými a Markovovy modely, popřípadě Markovovy nahodilostní pole. (Jebara – google books). </w:t>
      </w:r>
      <w:r w:rsidR="00F619E4">
        <w:rPr>
          <w:lang w:bidi="he-IL"/>
        </w:rPr>
        <w:t xml:space="preserve">Na příkladu klasifikace jednociferných čísel demonstruje Revow zásadní praktický důsledek při použití generativních modelů, totiž ten, že najdeme-li generativní model pro daný systém, našli jsme i model, který je schopen generovat nové vzorky </w:t>
      </w:r>
      <w:r w:rsidR="00F619E4">
        <w:rPr>
          <w:lang w:bidi="he-IL"/>
        </w:rPr>
        <w:fldChar w:fldCharType="begin"/>
      </w:r>
      <w:r w:rsidR="00F619E4">
        <w:rPr>
          <w:lang w:bidi="he-IL"/>
        </w:rPr>
        <w:instrText xml:space="preserve"> ADDIN ZOTERO_ITEM CSL_CITATION {"citationID":"xYr2fYji","properties":{"formattedCitation":"(Michael Revow et al. 1996)","plainCitation":"(Michael Revow et al. 1996)","noteIndex":0},"citationItems":[{"id":486,"uris":["http://zotero.org/users/local/DXBpxSa9/items/WDPKK3UD"],"uri":["http://zotero.org/users/local/DXBpxSa9/items/WDPKK3UD"],"itemData":{"id":486,"type":"article-journal","title":"Using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Pr>
          <w:lang w:bidi="he-IL"/>
        </w:rPr>
        <w:fldChar w:fldCharType="separate"/>
      </w:r>
      <w:r w:rsidR="00F619E4" w:rsidRPr="003D3656">
        <w:t>(Michael Revow et al. 1996)</w:t>
      </w:r>
      <w:r w:rsidR="00F619E4">
        <w:rPr>
          <w:lang w:bidi="he-IL"/>
        </w:rPr>
        <w:fldChar w:fldCharType="end"/>
      </w:r>
      <w:r w:rsidR="00F619E4">
        <w:rPr>
          <w:lang w:bidi="he-IL"/>
        </w:rPr>
        <w:t>.</w:t>
      </w:r>
    </w:p>
    <w:p w:rsidR="001B67A0" w:rsidRDefault="001B67A0" w:rsidP="003D3656">
      <w:pPr>
        <w:pStyle w:val="Stadnartntext"/>
        <w:rPr>
          <w:lang w:bidi="he-IL"/>
        </w:rPr>
      </w:pPr>
    </w:p>
    <w:p w:rsidR="000B6173" w:rsidRPr="00787F85" w:rsidRDefault="00273E31" w:rsidP="003D3656">
      <w:pPr>
        <w:pStyle w:val="Stadnartntext"/>
        <w:rPr>
          <w:lang w:bidi="he-IL"/>
        </w:rPr>
      </w:pPr>
      <w:r>
        <w:rPr>
          <w:lang w:bidi="he-IL"/>
        </w:rPr>
        <w:lastRenderedPageBreak/>
        <w:tab/>
        <w:t>Diskriminativní modely se v jádru svého fungovaní snaží aproximovat ideální hranici, kter</w:t>
      </w:r>
      <w:r w:rsidR="000B6173">
        <w:rPr>
          <w:lang w:bidi="he-IL"/>
        </w:rPr>
        <w:t>á žádoucím způsobem</w:t>
      </w:r>
      <w:r>
        <w:rPr>
          <w:lang w:bidi="he-IL"/>
        </w:rPr>
        <w:t xml:space="preserve"> </w:t>
      </w:r>
      <w:r w:rsidR="000B6173">
        <w:rPr>
          <w:lang w:bidi="he-IL"/>
        </w:rPr>
        <w:t>odděluje</w:t>
      </w:r>
      <w:r w:rsidR="00F619E4">
        <w:rPr>
          <w:lang w:bidi="he-IL"/>
        </w:rPr>
        <w:t xml:space="preserve"> vícedimenzionální</w:t>
      </w:r>
      <w:r>
        <w:rPr>
          <w:lang w:bidi="he-IL"/>
        </w:rPr>
        <w:t xml:space="preserve"> datovou distribuci.</w:t>
      </w:r>
      <w:r w:rsidR="005F037B">
        <w:rPr>
          <w:lang w:bidi="he-IL"/>
        </w:rPr>
        <w:t xml:space="preserve"> Mezi diskriminativní algoritmy patří typicky neuronové sítě, support vector machines,  line</w:t>
      </w:r>
      <w:r w:rsidR="00F619E4">
        <w:rPr>
          <w:lang w:bidi="he-IL"/>
        </w:rPr>
        <w:t xml:space="preserve">ární regresní algoritmy a další </w:t>
      </w:r>
      <w:r>
        <w:rPr>
          <w:lang w:bidi="he-IL"/>
        </w:rPr>
        <w:fldChar w:fldCharType="begin"/>
      </w:r>
      <w:r w:rsidR="003D3656">
        <w:rPr>
          <w:lang w:bidi="he-IL"/>
        </w:rPr>
        <w:instrText xml:space="preserve"> ADDIN ZOTERO_ITEM CSL_CITATION {"citationID":"XD5LMBoy","properties":{"formattedCitation":"(Jebara 1996)","plainCitation":"(Jebara 1996)","noteIndex":0},"citationItems":[{"id":481,"uris":["http://zotero.org/users/local/DXBpxSa9/items/HK5UUPBX"],"uri":["http://zotero.org/users/local/DXBpxSa9/items/HK5UUPBX"],"itemData":{"id":481,"type":"article-journal","title":"Discriminative,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Pr>
          <w:lang w:bidi="he-IL"/>
        </w:rPr>
        <w:fldChar w:fldCharType="separate"/>
      </w:r>
      <w:r w:rsidR="003D3656" w:rsidRPr="003D3656">
        <w:t>(Jebara 1996)</w:t>
      </w:r>
      <w:r>
        <w:rPr>
          <w:lang w:bidi="he-IL"/>
        </w:rPr>
        <w:fldChar w:fldCharType="end"/>
      </w:r>
      <w:r w:rsidR="00F619E4">
        <w:rPr>
          <w:lang w:bidi="he-IL"/>
        </w:rPr>
        <w:t>. Primární užití diskriminativních algoritmů lze vidět v klasifikaci popřípadě regresi.</w:t>
      </w:r>
    </w:p>
    <w:p w:rsidR="00191F46" w:rsidRPr="00191F46" w:rsidRDefault="00191F46" w:rsidP="00191F46">
      <w:pPr>
        <w:keepNext/>
        <w:keepLines/>
        <w:spacing w:before="640" w:after="320"/>
        <w:outlineLvl w:val="1"/>
        <w:rPr>
          <w:rFonts w:ascii="Arial" w:eastAsiaTheme="majorEastAsia" w:hAnsi="Arial" w:cstheme="majorBidi"/>
          <w:b/>
          <w:color w:val="000000" w:themeColor="text1"/>
          <w:sz w:val="32"/>
          <w:szCs w:val="26"/>
        </w:rPr>
      </w:pPr>
      <w:r w:rsidRPr="00191F46">
        <w:rPr>
          <w:rFonts w:ascii="Arial" w:eastAsiaTheme="majorEastAsia" w:hAnsi="Arial" w:cstheme="majorBidi"/>
          <w:b/>
          <w:color w:val="000000" w:themeColor="text1"/>
          <w:sz w:val="32"/>
          <w:szCs w:val="26"/>
        </w:rPr>
        <w:t>Metody strojového učení</w:t>
      </w:r>
    </w:p>
    <w:p w:rsidR="000C6491" w:rsidRPr="00F619E4" w:rsidRDefault="00191F46" w:rsidP="00F619E4">
      <w:pPr>
        <w:spacing w:before="240" w:after="240" w:line="360" w:lineRule="auto"/>
        <w:jc w:val="both"/>
        <w:rPr>
          <w:rFonts w:ascii="Cambria" w:hAnsi="Cambria" w:cs="Arial"/>
          <w:sz w:val="26"/>
        </w:rPr>
      </w:pPr>
      <w:r w:rsidRPr="00191F46">
        <w:rPr>
          <w:rFonts w:ascii="Cambria" w:hAnsi="Cambria" w:cs="Arial"/>
          <w:sz w:val="26"/>
        </w:rPr>
        <w:tab/>
        <w:t>V následujících kapitolách budou postupně představeny konkrétní metody strojového učení.</w:t>
      </w:r>
      <w:r w:rsidR="00D0369F">
        <w:rPr>
          <w:rFonts w:ascii="Cambria" w:hAnsi="Cambria" w:cs="Arial"/>
          <w:sz w:val="26"/>
        </w:rPr>
        <w:t xml:space="preserve"> Vzhledem k praktické části práce je důraz kladen na představení</w:t>
      </w:r>
      <w:r w:rsidR="00F619E4">
        <w:rPr>
          <w:rFonts w:ascii="Cambria" w:hAnsi="Cambria" w:cs="Arial"/>
          <w:sz w:val="26"/>
        </w:rPr>
        <w:t xml:space="preserve"> generativních popřípadě</w:t>
      </w:r>
      <w:r w:rsidR="00D0369F">
        <w:rPr>
          <w:rFonts w:ascii="Cambria" w:hAnsi="Cambria" w:cs="Arial"/>
          <w:sz w:val="26"/>
        </w:rPr>
        <w:t xml:space="preserve"> pravděpodobnostních grafických modelů a těch, které</w:t>
      </w:r>
      <w:r w:rsidRPr="00191F46">
        <w:rPr>
          <w:rFonts w:ascii="Cambria" w:hAnsi="Cambria" w:cs="Arial"/>
          <w:sz w:val="26"/>
        </w:rPr>
        <w:t xml:space="preserve"> se dle Summervilla mohou uplatnit v rámci PCGML </w:t>
      </w:r>
      <w:r w:rsidRPr="00191F46">
        <w:rPr>
          <w:rFonts w:ascii="Cambria" w:hAnsi="Cambria" w:cs="Arial"/>
          <w:sz w:val="26"/>
        </w:rPr>
        <w:fldChar w:fldCharType="begin"/>
      </w:r>
      <w:r w:rsidR="003D3656">
        <w:rPr>
          <w:rFonts w:ascii="Cambria" w:hAnsi="Cambria" w:cs="Arial"/>
          <w:sz w:val="26"/>
        </w:rPr>
        <w:instrText xml:space="preserve"> ADDIN ZOTERO_ITEM CSL_CITATION {"citationID":"6CREefZ3","properties":{"formattedCitation":"(Summerville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(Summerville et al. 2017)</w:t>
      </w:r>
      <w:r w:rsidRPr="00191F46">
        <w:rPr>
          <w:rFonts w:ascii="Cambria" w:hAnsi="Cambria" w:cs="Arial"/>
          <w:sz w:val="26"/>
        </w:rPr>
        <w:fldChar w:fldCharType="end"/>
      </w:r>
      <w:r w:rsidRPr="00191F46">
        <w:rPr>
          <w:rFonts w:ascii="Cambria" w:hAnsi="Cambria" w:cs="Arial"/>
          <w:sz w:val="26"/>
        </w:rPr>
        <w:t>.</w:t>
      </w:r>
    </w:p>
    <w:p w:rsidR="009215AD" w:rsidRPr="009215AD" w:rsidRDefault="00D0369F" w:rsidP="00F619E4">
      <w:pPr>
        <w:pStyle w:val="Heading3"/>
      </w:pPr>
      <w:r>
        <w:t>Pravděpodobnostní g</w:t>
      </w:r>
      <w:r w:rsidR="009215AD">
        <w:t>rafické modely</w:t>
      </w:r>
    </w:p>
    <w:p w:rsidR="00191F46" w:rsidRPr="00191F46" w:rsidRDefault="00191F46" w:rsidP="00F619E4">
      <w:pPr>
        <w:pStyle w:val="Heading3"/>
      </w:pPr>
      <w:r w:rsidRPr="00191F46">
        <w:t>Markovovy řetězce</w:t>
      </w:r>
    </w:p>
    <w:p w:rsidR="00191F46" w:rsidRPr="00191F46" w:rsidRDefault="00F619E4" w:rsidP="00F619E4">
      <w:pPr>
        <w:pStyle w:val="Heading3"/>
      </w:pPr>
      <w:r>
        <w:t>Neuronové sítě</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Neuronové sítě jsou jednou z často používaných metod strojového učení. Je to aparát, který má charakter funkce a lze jej popsat jako </w:t>
      </w:r>
      <w:r w:rsidRPr="00191F46">
        <w:rPr>
          <w:rFonts w:ascii="Cambria" w:hAnsi="Cambria" w:cs="Arial"/>
          <w:i/>
          <w:sz w:val="26"/>
        </w:rPr>
        <w:t>masivně paralelní procesor</w:t>
      </w:r>
      <w:r w:rsidRPr="00191F46">
        <w:rPr>
          <w:rFonts w:ascii="Cambria" w:hAnsi="Cambria" w:cs="Arial"/>
          <w:sz w:val="26"/>
        </w:rPr>
        <w:t xml:space="preserve">. Mnohačetným předkládáním </w:t>
      </w:r>
      <w:r w:rsidRPr="00191F46">
        <w:rPr>
          <w:rFonts w:ascii="Cambria" w:hAnsi="Cambria" w:cs="Arial"/>
          <w:i/>
          <w:sz w:val="26"/>
        </w:rPr>
        <w:t>m</w:t>
      </w:r>
      <w:r w:rsidRPr="00191F46">
        <w:rPr>
          <w:rFonts w:ascii="Cambria" w:hAnsi="Cambria" w:cs="Arial"/>
          <w:sz w:val="26"/>
        </w:rPr>
        <w:t xml:space="preserve"> vzorů do neuronové sítě je možné adaptovat funkční parametry jednotlivých neuronů [</w:t>
      </w:r>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 xml:space="preserve"> , θ</m:t>
        </m:r>
      </m:oMath>
      <w:r w:rsidRPr="00191F46">
        <w:rPr>
          <w:rFonts w:ascii="Cambria" w:hAnsi="Cambria" w:cs="Arial"/>
          <w:sz w:val="26"/>
        </w:rPr>
        <w:t xml:space="preserve">] tak, že vznikne obecně použitý model pro klasifikaci či predikci dat na základě nového vektoru vstupních hodnot. Tento proces adapatace je chápán jako učení </w:t>
      </w:r>
      <w:r w:rsidR="00F619E4">
        <w:rPr>
          <w:rFonts w:ascii="Cambria" w:hAnsi="Cambria" w:cs="Arial"/>
          <w:sz w:val="26"/>
        </w:rPr>
        <w:t>neuronové sítě</w:t>
      </w:r>
      <w:r w:rsidRPr="00191F46">
        <w:rPr>
          <w:rFonts w:ascii="Cambria" w:hAnsi="Cambria" w:cs="Arial"/>
          <w:sz w:val="26"/>
        </w:rPr>
        <w:t>. Implementace tohoto učení stojí na minimalizaci chybové funkce [</w:t>
      </w:r>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oMath>
      <w:r w:rsidRPr="00191F46">
        <w:rPr>
          <w:rFonts w:ascii="Cambria" w:hAnsi="Cambria" w:cs="Arial"/>
          <w:sz w:val="26"/>
        </w:rPr>
        <w:t xml:space="preserve">], která agreguje rozdíl výstupních výsledných hodnot vyprodukovaných neuronovou sítí </w:t>
      </w:r>
      <m:oMath>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oMath>
      <w:r w:rsidRPr="00191F46">
        <w:rPr>
          <w:rFonts w:ascii="Cambria" w:hAnsi="Cambria" w:cs="Arial"/>
          <w:sz w:val="26"/>
        </w:rPr>
        <w:t xml:space="preserve"> s výslednými hodnotami pro konkrétní vzor [</w:t>
      </w:r>
      <m:oMath>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oMath>
      <w:r w:rsidRPr="00191F46">
        <w:rPr>
          <w:rFonts w:ascii="Cambria" w:hAnsi="Cambria" w:cs="Arial"/>
          <w:sz w:val="26"/>
        </w:rPr>
        <w:t xml:space="preserve">] </w:t>
      </w:r>
      <w:r w:rsidRPr="00191F46">
        <w:rPr>
          <w:rFonts w:ascii="Cambria" w:hAnsi="Cambria" w:cs="Arial"/>
          <w:sz w:val="26"/>
        </w:rPr>
        <w:fldChar w:fldCharType="begin"/>
      </w:r>
      <w:r w:rsidR="003D3656">
        <w:rPr>
          <w:rFonts w:ascii="Cambria" w:hAnsi="Cambria" w:cs="Arial"/>
          <w:sz w:val="26"/>
        </w:rPr>
        <w:instrText xml:space="preserve"> ADDIN ZOTERO_ITEM CSL_CITATION {"citationID":"5kUXKvYM","properties":{"formattedCitation":"(Vladim\\uc0\\u237{}r Olej a H\\uc0\\u225{}jek Petr 2010)","plainCitation":"(Vladimír Olej a Hájek Petr 2010)","noteIndex":0},"citationItems":[{"id":"hA0wgkxk/UqjVOKH2","uris":["http://zotero.org/users/local/IbRhotwj/items/7KQBQP9T"],"uri":["http://zotero.org/users/local/IbRhotwj/items/7KQBQP9T"],"itemData":{"id":155,"type":"book","title":"Úvod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rsidR="00191F46" w:rsidRPr="00191F46" w:rsidRDefault="0075358C"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00EA45E2">
        <w:rPr>
          <w:rFonts w:ascii="Cambria" w:hAnsi="Cambria"/>
          <w:i/>
          <w:iCs/>
          <w:noProof/>
          <w:sz w:val="20"/>
          <w:szCs w:val="18"/>
        </w:rPr>
        <w:t>1</w:t>
      </w:r>
      <w:r w:rsidRPr="00191F46">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Přestože existují různé varianty a topologie neuronových sítí, základní principy korelují </w:t>
      </w:r>
      <w:r w:rsidRPr="00191F46">
        <w:rPr>
          <w:rFonts w:ascii="Cambria" w:hAnsi="Cambria" w:cs="Arial"/>
          <w:sz w:val="26"/>
        </w:rPr>
        <w:fldChar w:fldCharType="begin"/>
      </w:r>
      <w:r w:rsidR="003D3656">
        <w:rPr>
          <w:rFonts w:ascii="Cambria" w:hAnsi="Cambria" w:cs="Arial"/>
          <w:sz w:val="26"/>
        </w:rPr>
        <w:instrText xml:space="preserve"> ADDIN ZOTERO_ITEM CSL_CITATION {"citationID":"3MatGFA7","properties":{"formattedCitation":"(Tu\\uc0\\u269{}kov\\uc0\\u225{} 2003)","plainCitation":"(Tučková 2003)","noteIndex":0},"citationItems":[{"id":"hA0wgkxk/URkK9FjJ","uris":["http://zotero.org/users/local/IbRhotwj/items/7J6RTQD3"],"uri":["http://zotero.org/users/local/IbRhotwj/items/7J6RTQD3"],"itemData":{"id":156,"type":"book","title":"Úvod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(Tučková 2003)</w:t>
      </w:r>
      <w:r w:rsidRPr="00191F46">
        <w:rPr>
          <w:rFonts w:ascii="Cambria" w:hAnsi="Cambria" w:cs="Arial"/>
          <w:sz w:val="26"/>
        </w:rPr>
        <w:fldChar w:fldCharType="end"/>
      </w:r>
      <w:r w:rsidRPr="00191F46">
        <w:rPr>
          <w:rFonts w:ascii="Cambria" w:hAnsi="Cambria" w:cs="Arial"/>
          <w:sz w:val="26"/>
        </w:rPr>
        <w:t>.</w:t>
      </w:r>
    </w:p>
    <w:p w:rsidR="00191F46" w:rsidRPr="00191F46" w:rsidRDefault="00191F46" w:rsidP="00191F46">
      <w:pPr>
        <w:spacing w:before="240" w:after="240" w:line="360" w:lineRule="auto"/>
        <w:jc w:val="both"/>
        <w:rPr>
          <w:rFonts w:ascii="Cambria" w:eastAsiaTheme="minorEastAsia" w:hAnsi="Cambria" w:cs="Arial"/>
          <w:sz w:val="26"/>
        </w:rPr>
      </w:pPr>
      <w:r w:rsidRPr="00191F46">
        <w:rPr>
          <w:rFonts w:ascii="Cambria" w:hAnsi="Cambria" w:cs="Arial"/>
          <w:sz w:val="26"/>
        </w:rPr>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cs="Arial"/>
            <w:sz w:val="26"/>
          </w:rPr>
          <m:t>θ</m:t>
        </m:r>
      </m:oMath>
      <w:r w:rsidRPr="00191F46">
        <w:rPr>
          <w:rFonts w:ascii="Cambria" w:eastAsiaTheme="minorEastAsia" w:hAnsi="Cambria" w:cs="Arial"/>
          <w:sz w:val="26"/>
        </w:rPr>
        <w:t xml:space="preserve"> přidává prahovou hodnotu neuronu (bias), která přispívá k aktivizaci neuronu. </w:t>
      </w:r>
    </w:p>
    <w:p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00EA45E2">
        <w:rPr>
          <w:rFonts w:ascii="Cambria" w:hAnsi="Cambria"/>
          <w:i/>
          <w:iCs/>
          <w:noProof/>
          <w:sz w:val="20"/>
          <w:szCs w:val="18"/>
        </w:rPr>
        <w:t>2</w:t>
      </w:r>
      <w:r w:rsidRPr="00191F46">
        <w:rPr>
          <w:rFonts w:ascii="Cambria" w:hAnsi="Cambria"/>
          <w:i/>
          <w:iCs/>
          <w:sz w:val="20"/>
          <w:szCs w:val="18"/>
        </w:rPr>
        <w:fldChar w:fldCharType="end"/>
      </w:r>
      <w:r w:rsidRPr="00191F46">
        <w:rPr>
          <w:rFonts w:ascii="Cambria" w:hAnsi="Cambria"/>
          <w:i/>
          <w:iCs/>
          <w:sz w:val="20"/>
          <w:szCs w:val="18"/>
        </w:rPr>
        <w:t xml:space="preserve"> agregace vstupnich hodnot neuronu</w:t>
      </w:r>
    </w:p>
    <w:p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rPr>
          <w:rFonts w:ascii="Cambria" w:hAnsi="Cambria" w:cs="Arial"/>
          <w:sz w:val="26"/>
        </w:rPr>
        <w:fldChar w:fldCharType="begin"/>
      </w:r>
      <w:r w:rsidR="003D3656">
        <w:rPr>
          <w:rFonts w:ascii="Cambria" w:hAnsi="Cambria" w:cs="Arial"/>
          <w:sz w:val="26"/>
        </w:rPr>
        <w:instrText xml:space="preserve"> ADDIN ZOTERO_ITEM CSL_CITATION {"citationID":"YHpujSWa","properties":{"formattedCitation":"(Vladim\\uc0\\u237{}r Olej a H\\uc0\\u225{}jek Petr 2010)","plainCitation":"(Vladimír Olej a Hájek Petr 2010)","noteIndex":0},"citationItems":[{"id":"hA0wgkxk/UqjVOKH2","uris":["http://zotero.org/users/local/IbRhotwj/items/7KQBQP9T"],"uri":["http://zotero.org/users/local/IbRhotwj/items/7KQBQP9T"],"itemData":{"id":155,"type":"book","title":"Úvod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00EA45E2">
        <w:rPr>
          <w:rFonts w:ascii="Cambria" w:hAnsi="Cambria"/>
          <w:i/>
          <w:iCs/>
          <w:noProof/>
          <w:sz w:val="20"/>
          <w:szCs w:val="18"/>
        </w:rPr>
        <w:t>3</w:t>
      </w:r>
      <w:r w:rsidRPr="00191F46">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rsidR="00191F46" w:rsidRPr="00191F46" w:rsidRDefault="00191F46" w:rsidP="00F619E4">
      <w:pPr>
        <w:pStyle w:val="Heading3"/>
      </w:pPr>
      <w:r w:rsidRPr="00191F46">
        <w:lastRenderedPageBreak/>
        <w:t>Učení neuronových sítí</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K adaptaci standardních modelů hlubokého učení s učitelem tj. primárně umělých neuronových sítí a jejich variant se používá algoritmus zpětného šíření chyby (</w:t>
      </w:r>
      <w:r w:rsidR="00E50481">
        <w:rPr>
          <w:rFonts w:ascii="Cambria" w:hAnsi="Cambria" w:cs="Arial"/>
          <w:sz w:val="26"/>
        </w:rPr>
        <w:t>Backpropagation algorithm</w:t>
      </w:r>
      <w:r w:rsidRPr="00191F46">
        <w:rPr>
          <w:rFonts w:ascii="Cambria" w:hAnsi="Cambria" w:cs="Arial"/>
          <w:sz w:val="26"/>
        </w:rPr>
        <w:t xml:space="preserve">). Ten spočívá v iterační minimalizaci chybové funkce viz. </w:t>
      </w:r>
      <w:r w:rsidRPr="00191F46">
        <w:rPr>
          <w:rFonts w:ascii="Cambria" w:hAnsi="Cambria" w:cs="Arial"/>
          <w:i/>
          <w:sz w:val="26"/>
        </w:rPr>
        <w:t>Rovnice 1,</w:t>
      </w:r>
      <w:r w:rsidRPr="00191F46">
        <w:rPr>
          <w:rFonts w:ascii="Cambria" w:hAnsi="Cambria" w:cs="Arial"/>
          <w:sz w:val="26"/>
        </w:rPr>
        <w:t xml:space="preserve"> za pomocí úpravy vah napojených na jednotlivé neurony ve vrstvách sítě. Výsledným vztahem pro korekci všech váh v NS je rovnice, kde  </w:t>
      </w:r>
      <m:oMath>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 je keocifient posunu v rámci gradientu, </w:t>
      </w:r>
      <m:oMath>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je směr gradientu a </w:t>
      </w:r>
      <m:oMath>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oMath>
      <w:r w:rsidRPr="00191F46">
        <w:rPr>
          <w:rFonts w:ascii="Cambria" w:eastAsiaTheme="minorEastAsia" w:hAnsi="Cambria" w:cs="Arial"/>
          <w:sz w:val="26"/>
        </w:rPr>
        <w:t>je původní hodota příslušné váhy.</w:t>
      </w:r>
    </w:p>
    <w:p w:rsidR="00191F46" w:rsidRPr="00191F46" w:rsidRDefault="0075358C" w:rsidP="00191F46">
      <w:pPr>
        <w:spacing w:before="240" w:after="240" w:line="360" w:lineRule="auto"/>
        <w:jc w:val="both"/>
        <w:rPr>
          <w:rFonts w:ascii="Cambria" w:hAnsi="Cambria" w:cs="Arial"/>
          <w:sz w:val="26"/>
        </w:rPr>
      </w:pPr>
      <m:oMathPara>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k+1</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00EA45E2">
        <w:rPr>
          <w:rFonts w:ascii="Cambria" w:hAnsi="Cambria"/>
          <w:i/>
          <w:iCs/>
          <w:noProof/>
          <w:sz w:val="20"/>
          <w:szCs w:val="18"/>
        </w:rPr>
        <w:t>4</w:t>
      </w:r>
      <w:r w:rsidRPr="00191F46">
        <w:rPr>
          <w:rFonts w:ascii="Cambria" w:hAnsi="Cambria"/>
          <w:i/>
          <w:iCs/>
          <w:sz w:val="20"/>
          <w:szCs w:val="18"/>
        </w:rPr>
        <w:fldChar w:fldCharType="end"/>
      </w:r>
      <w:r w:rsidRPr="00191F46">
        <w:rPr>
          <w:rFonts w:ascii="Cambria" w:hAnsi="Cambria"/>
          <w:i/>
          <w:iCs/>
          <w:sz w:val="20"/>
          <w:szCs w:val="18"/>
        </w:rPr>
        <w:t xml:space="preserve"> korekce vah v BPA</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rFonts w:ascii="Cambria" w:hAnsi="Cambria" w:cs="Arial"/>
          <w:i/>
          <w:sz w:val="26"/>
        </w:rPr>
        <w:t>E</w:t>
      </w:r>
      <w:r w:rsidRPr="00191F46">
        <w:rPr>
          <w:rFonts w:ascii="Cambria" w:hAnsi="Cambria" w:cs="Arial"/>
          <w:sz w:val="26"/>
        </w:rPr>
        <w:t xml:space="preserve"> výstupní vrstvy.  </w:t>
      </w:r>
    </w:p>
    <w:p w:rsidR="00191F46" w:rsidRPr="00191F46" w:rsidRDefault="00191F46" w:rsidP="00191F46">
      <w:pPr>
        <w:spacing w:before="240" w:after="240" w:line="360" w:lineRule="auto"/>
        <w:jc w:val="both"/>
        <w:rPr>
          <w:rFonts w:ascii="Cambria" w:hAnsi="Cambria" w:cs="Arial"/>
          <w:sz w:val="26"/>
        </w:rPr>
      </w:pPr>
    </w:p>
    <w:p w:rsidR="00191F46" w:rsidRPr="00191F46" w:rsidRDefault="0075358C" w:rsidP="00191F46">
      <w:pPr>
        <w:spacing w:before="240" w:after="240" w:line="360" w:lineRule="auto"/>
        <w:jc w:val="both"/>
        <w:rPr>
          <w:rFonts w:ascii="Cambria" w:eastAsiaTheme="minorEastAsia" w:hAnsi="Cambria" w:cs="Arial"/>
          <w:sz w:val="26"/>
        </w:rPr>
      </w:pPr>
      <m:oMathPara>
        <m:oMath>
          <m:nary>
            <m:naryPr>
              <m:chr m:val="∑"/>
              <m:limLoc m:val="undOvr"/>
              <m:ctrlPr>
                <w:rPr>
                  <w:rFonts w:ascii="Cambria Math" w:hAnsi="Cambria Math" w:cs="Arial"/>
                  <w:i/>
                  <w:sz w:val="26"/>
                </w:rPr>
              </m:ctrlPr>
            </m:naryPr>
            <m:sub>
              <m:r>
                <w:rPr>
                  <w:rFonts w:ascii="Cambria Math" w:hAnsi="Cambria Math" w:cs="Arial"/>
                  <w:sz w:val="26"/>
                </w:rPr>
                <m:t>j=1</m:t>
              </m:r>
            </m:sub>
            <m:sup>
              <m:sSub>
                <m:sSubPr>
                  <m:ctrlPr>
                    <w:rPr>
                      <w:rFonts w:ascii="Cambria Math" w:hAnsi="Cambria Math" w:cs="Arial"/>
                      <w:i/>
                      <w:sz w:val="26"/>
                    </w:rPr>
                  </m:ctrlPr>
                </m:sSubPr>
                <m:e>
                  <m:r>
                    <w:rPr>
                      <w:rFonts w:ascii="Cambria Math" w:hAnsi="Cambria Math" w:cs="Arial"/>
                      <w:sz w:val="26"/>
                    </w:rPr>
                    <m:t>S</m:t>
                  </m:r>
                </m:e>
                <m:sub>
                  <m:r>
                    <w:rPr>
                      <w:rFonts w:ascii="Cambria Math" w:hAnsi="Cambria Math" w:cs="Arial"/>
                      <w:sz w:val="26"/>
                    </w:rPr>
                    <m:t>i</m:t>
                  </m:r>
                </m:sub>
              </m:sSub>
            </m:sup>
            <m:e>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ij</m:t>
                  </m:r>
                </m:sub>
              </m:sSub>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j</m:t>
                  </m:r>
                </m:sub>
              </m:sSub>
            </m:e>
          </m:nary>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00EA45E2">
        <w:rPr>
          <w:rFonts w:ascii="Cambria" w:hAnsi="Cambria"/>
          <w:i/>
          <w:iCs/>
          <w:noProof/>
          <w:sz w:val="20"/>
          <w:szCs w:val="18"/>
        </w:rPr>
        <w:t>5</w:t>
      </w:r>
      <w:r w:rsidRPr="00191F46">
        <w:rPr>
          <w:rFonts w:ascii="Cambria" w:hAnsi="Cambria"/>
          <w:i/>
          <w:iCs/>
          <w:sz w:val="20"/>
          <w:szCs w:val="18"/>
        </w:rPr>
        <w:fldChar w:fldCharType="end"/>
      </w:r>
      <w:r w:rsidRPr="00191F46">
        <w:rPr>
          <w:rFonts w:ascii="Cambria" w:hAnsi="Cambria"/>
          <w:i/>
          <w:iCs/>
          <w:sz w:val="20"/>
          <w:szCs w:val="18"/>
        </w:rPr>
        <w:t xml:space="preserve"> výpočet chyby neuronu</w:t>
      </w:r>
    </w:p>
    <w:p w:rsidR="00191F46" w:rsidRPr="00191F46" w:rsidRDefault="00191F46" w:rsidP="00F619E4">
      <w:pPr>
        <w:pStyle w:val="Heading3"/>
      </w:pPr>
      <w:r w:rsidRPr="00191F46">
        <w:t>Generativně kontradiktorní sítě</w:t>
      </w:r>
    </w:p>
    <w:p w:rsidR="00191F46" w:rsidRPr="00A70E18" w:rsidRDefault="00191F46" w:rsidP="00A70E18">
      <w:pPr>
        <w:spacing w:before="240" w:after="240" w:line="360" w:lineRule="auto"/>
        <w:jc w:val="both"/>
        <w:rPr>
          <w:rFonts w:ascii="Cambria" w:hAnsi="Cambria" w:cs="Arial"/>
          <w:sz w:val="26"/>
        </w:rPr>
      </w:pPr>
      <w:r w:rsidRPr="00191F46">
        <w:rPr>
          <w:rFonts w:ascii="Cambria" w:hAnsi="Cambria" w:cs="Arial"/>
          <w:sz w:val="26"/>
        </w:rPr>
        <w:tab/>
        <w:t xml:space="preserve">Jsou specifické architektury neuronových sítí, které patří do rodiny generativních modelů a byly vynalezeny Ianem Goodfellowem v roce 2014 </w:t>
      </w:r>
      <w:r w:rsidRPr="00191F46">
        <w:rPr>
          <w:rFonts w:ascii="Cambria" w:hAnsi="Cambria" w:cs="Arial"/>
          <w:sz w:val="26"/>
        </w:rPr>
        <w:fldChar w:fldCharType="begin"/>
      </w:r>
      <w:r w:rsidR="003D3656">
        <w:rPr>
          <w:rFonts w:ascii="Cambria" w:hAnsi="Cambria" w:cs="Arial"/>
          <w:sz w:val="26"/>
        </w:rPr>
        <w:instrText xml:space="preserve"> ADDIN ZOTERO_ITEM CSL_CITATION {"citationID":"uwfiUxRv","properties":{"formattedCitation":"(Goodfellow et al. 2014)","plainCitation":"(Goodfellow et al. 2014)","noteIndex":0},"citationItems":[{"id":"hA0wgkxk/QYlECI2t","uris":["http://zotero.org/users/local/IbRhotwj/items/HLRBGLQV"],"uri":["http://zotero.org/users/local/IbRhotwj/items/HLRBGLQV"],"itemData":{"id":63,"type":"chapter","title":"Generative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(Goodfellow et al. 2014)</w:t>
      </w:r>
      <w:r w:rsidRPr="00191F46">
        <w:rPr>
          <w:rFonts w:ascii="Cambria" w:hAnsi="Cambria" w:cs="Arial"/>
          <w:sz w:val="26"/>
        </w:rPr>
        <w:fldChar w:fldCharType="end"/>
      </w:r>
      <w:r w:rsidRPr="00191F46">
        <w:rPr>
          <w:rFonts w:ascii="Cambria" w:hAnsi="Cambria" w:cs="Arial"/>
          <w:sz w:val="26"/>
        </w:rPr>
        <w:t xml:space="preserve">. Sám Goodfellow obecně definuje generativní modely jako </w:t>
      </w:r>
      <w:r w:rsidRPr="00191F46">
        <w:rPr>
          <w:rFonts w:ascii="Cambria" w:hAnsi="Cambria" w:cs="Arial"/>
          <w:i/>
          <w:sz w:val="26"/>
        </w:rPr>
        <w:t>„...modely, které se na základě tréninkové distribuce dat tvořených množinou p</w:t>
      </w:r>
      <w:r w:rsidRPr="00191F46">
        <w:rPr>
          <w:rFonts w:ascii="Cambria" w:hAnsi="Cambria" w:cs="Arial"/>
          <w:i/>
          <w:sz w:val="26"/>
          <w:vertAlign w:val="subscript"/>
        </w:rPr>
        <w:t xml:space="preserve">data </w:t>
      </w:r>
      <w:r w:rsidRPr="00191F46">
        <w:rPr>
          <w:rFonts w:ascii="Cambria" w:hAnsi="Cambria" w:cs="Arial"/>
          <w:i/>
          <w:sz w:val="26"/>
        </w:rPr>
        <w:t>naučí odhad takové distribuce reprezentovat“</w:t>
      </w:r>
      <w:r w:rsidRPr="00191F46">
        <w:rPr>
          <w:rFonts w:ascii="Cambria" w:hAnsi="Cambria" w:cs="Arial"/>
          <w:sz w:val="26"/>
        </w:rPr>
        <w:t xml:space="preserve">. V konkrétních aplikacích </w:t>
      </w:r>
      <w:r w:rsidRPr="00191F46">
        <w:rPr>
          <w:rFonts w:ascii="Cambria" w:hAnsi="Cambria" w:cs="Arial"/>
          <w:sz w:val="26"/>
        </w:rPr>
        <w:lastRenderedPageBreak/>
        <w:t>mohou takové modely buď plnit pouze onu reprezentativní funkci a nebo mohou na základě vnitřní struktury modelu generovat nové originální vzorky.</w:t>
      </w:r>
    </w:p>
    <w:p w:rsidR="00191F46" w:rsidRDefault="00191F46" w:rsidP="00191F46">
      <w:pPr>
        <w:pStyle w:val="Heading1"/>
      </w:pPr>
      <w:r>
        <w:lastRenderedPageBreak/>
        <w:t>Strojové učení v počítačové grafice</w:t>
      </w:r>
    </w:p>
    <w:p w:rsidR="00D71B7E" w:rsidRDefault="00D71B7E" w:rsidP="00D71B7E">
      <w:pPr>
        <w:pStyle w:val="Heading2"/>
      </w:pPr>
      <w:r>
        <w:t>Stručné vymezení počítačové grafiky</w:t>
      </w:r>
    </w:p>
    <w:p w:rsidR="00395921" w:rsidRPr="00395921" w:rsidRDefault="00395921" w:rsidP="00EB2872">
      <w:pPr>
        <w:pStyle w:val="Stadnartntext"/>
      </w:pPr>
      <w:r>
        <w:tab/>
      </w:r>
      <w:r w:rsidR="00EB2872">
        <w:t xml:space="preserve">Terminologicky je počítačová grafika obor, který se zabývá… </w:t>
      </w:r>
    </w:p>
    <w:p w:rsidR="00D71B7E" w:rsidRDefault="00D71B7E" w:rsidP="00D71B7E">
      <w:pPr>
        <w:pStyle w:val="Heading2"/>
      </w:pPr>
      <w:r>
        <w:t>Metody a výsledky strojového učení v počítačové grafice</w:t>
      </w:r>
    </w:p>
    <w:p w:rsidR="00D71B7E" w:rsidRDefault="00EB2872" w:rsidP="00EB2872">
      <w:pPr>
        <w:pStyle w:val="Stadnartntext"/>
      </w:pPr>
      <w:r>
        <w:tab/>
        <w:t xml:space="preserve">Metody strojového učení byly v posledních dekádách uplatňovány ve většině oblastech počítačové grafiky zahrnujících vizualizaci, klasifikaci, segmentaci, komprimaci obrazu, a další podoblasti tohoto oboru. Cílem této kapitoly je vytvoření stručného přehledu požívaných metod zejména v podoblasti dvourozměrné grafiky.  </w:t>
      </w:r>
    </w:p>
    <w:p w:rsidR="00EB2872" w:rsidRDefault="00EB2872" w:rsidP="00EB2872">
      <w:pPr>
        <w:pStyle w:val="Stadnartntext"/>
      </w:pPr>
      <w:r>
        <w:tab/>
        <w:t>Rastrová tj. maticová reprezentace grafiky vstupuje do algoritm</w:t>
      </w:r>
      <w:r w:rsidR="002A1810">
        <w:t>ů v podobě normalizovaného vektoru popřípadě tensoru.</w:t>
      </w:r>
    </w:p>
    <w:p w:rsidR="006B6821" w:rsidRPr="00B460B9" w:rsidRDefault="006B6821" w:rsidP="00EB2872">
      <w:pPr>
        <w:pStyle w:val="Stadnartntext"/>
        <w:rPr>
          <w:rtl/>
          <w:lang w:bidi="he-IL"/>
        </w:rPr>
      </w:pPr>
      <w:r>
        <w:tab/>
        <w:t xml:space="preserve">Za vrchol a jeden z posledních úspěchů v oblasti zpracování obrazu jsou </w:t>
      </w:r>
    </w:p>
    <w:p w:rsidR="00191F46" w:rsidRPr="00191F46" w:rsidRDefault="00191F46" w:rsidP="00191F46">
      <w:r>
        <w:tab/>
      </w:r>
    </w:p>
    <w:p w:rsidR="004624F2" w:rsidRDefault="0054232F" w:rsidP="004624F2">
      <w:pPr>
        <w:pStyle w:val="Heading1"/>
      </w:pPr>
      <w:r>
        <w:lastRenderedPageBreak/>
        <w:t>Procedurální generování</w:t>
      </w:r>
    </w:p>
    <w:p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3D3656">
        <w:rPr>
          <w:szCs w:val="26"/>
        </w:rPr>
        <w:instrText xml:space="preserve"> ADDIN ZOTERO_ITEM CSL_CITATION {"citationID":"vswmLAhB","properties":{"formattedCitation":"(Yannakakis a Togelius 2011)","plainCitation":"(Yannakakis a Togelius 2011)","noteIndex":0},"citationItems":[{"id":"hA0wgkxk/Xf47Iwoh","uris":["http://zotero.org/users/local/IbRhotwj/items/U9JJ3SLH"],"uri":["http://zotero.org/users/local/IbRhotwj/items/U9JJ3SLH"],"itemData":{"id":7,"type":"article-journal","title":"Experience-Driven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3D3656">
        <w:rPr>
          <w:szCs w:val="26"/>
        </w:rPr>
        <w:instrText xml:space="preserve"> ADDIN ZOTERO_ITEM CSL_CITATION {"citationID":"hAxwP6FL","properties":{"formattedCitation":"(HENDRIKX a MEIJER nedatov\\uc0\\u225{}no)","plainCitation":"(HENDRIKX a MEIJER nedatováno)","noteIndex":0},"citationItems":[{"id":9,"uris":["http://zotero.org/users/local/DXBpxSa9/items/J5F2HNBE"],"uri":["http://zotero.org/users/local/DXBpxSa9/items/J5F2HNBE"],"itemData":{"id":9,"type":"article-journal","title":"Procedural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3D3656">
        <w:instrText xml:space="preserve"> ADDIN ZOTERO_ITEM CSL_CITATION {"citationID":"LuIzVeMb","properties":{"formattedCitation":"(Julian et al. 2016)","plainCitation":"(Julian et al. 2016)","noteIndex":0},"citationItems":[{"id":22,"uris":["http://zotero.org/users/local/DXBpxSa9/items/6WLTVEKV"],"uri":["http://zotero.org/users/local/DXBpxSa9/items/6WLTVEKV"],"itemData":{"id":22,"type":"chapter","title":"Introduction","container-title":"Procedural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w:t>
      </w:r>
      <w:r w:rsidRPr="00DD2832">
        <w:lastRenderedPageBreak/>
        <w:t xml:space="preserve">v kontextu PCG výstižný pojem „řízená nahodilost“ </w:t>
      </w:r>
      <w:r w:rsidRPr="00DD2832">
        <w:fldChar w:fldCharType="begin"/>
      </w:r>
      <w:r w:rsidR="003D3656">
        <w:instrText xml:space="preserve"> ADDIN ZOTERO_ITEM CSL_CITATION {"citationID":"Kf5Ujwvw","properties":{"formattedCitation":"(Smith nedatov\\uc0\\u225{}no)","plainCitation":"(Smith nedatováno)","noteIndex":0},"citationItems":[{"id":5,"uris":["http://zotero.org/users/local/DXBpxSa9/items/32KBZY8W"],"uri":["http://zotero.org/users/local/DXBpxSa9/items/32KBZY8W"],"itemData":{"id":5,"type":"article-journal","title":"An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rsidR="00FB0812" w:rsidRDefault="00FB0812" w:rsidP="00FB0812">
      <w:pPr>
        <w:pStyle w:val="Heading2"/>
      </w:pPr>
      <w:r>
        <w:t>Klasifikace PCG algoritmů</w:t>
      </w:r>
    </w:p>
    <w:p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3D3656">
        <w:instrText xml:space="preserve"> ADDIN ZOTERO_ITEM CSL_CITATION {"citationID":"p5wx0JlT","properties":{"formattedCitation":"(Carli et al. 2011)","plainCitation":"(Carli et al. 2011)","noteIndex":0},"citationItems":[{"id":24,"uris":["http://zotero.org/users/local/DXBpxSa9/items/KC6X42E4"],"uri":["http://zotero.org/users/local/DXBpxSa9/items/KC6X42E4"],"itemData":{"id":24,"type":"paper-conference","title":"A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3D3656">
        <w:instrText xml:space="preserve"> ADDIN ZOTERO_ITEM CSL_CITATION {"citationID":"BEscX42K","properties":{"formattedCitation":"(Togelius et al. 2010)","plainCitation":"(Togelius et al. 2010)","noteIndex":0},"citationItems":[{"id":11,"uris":["http://zotero.org/users/local/DXBpxSa9/items/NCXZPGAV"],"uri":["http://zotero.org/users/local/DXBpxSa9/items/NCXZPGAV"],"itemData":{"id":11,"type":"chapter","title":"Search-Based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rsidR="000D17CF" w:rsidRPr="000D17CF" w:rsidRDefault="000D17CF" w:rsidP="000D17CF">
      <w:pPr>
        <w:pStyle w:val="Heading2"/>
      </w:pPr>
      <w:r>
        <w:t>Tradiční metody procedurálního generování</w:t>
      </w:r>
    </w:p>
    <w:p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w:t>
      </w:r>
      <w:r w:rsidRPr="000D17CF">
        <w:rPr>
          <w:szCs w:val="26"/>
        </w:rPr>
        <w:lastRenderedPageBreak/>
        <w:t xml:space="preserve">Lindenmayerovi systémy, fraktály, a další specifickým způsobem aplikované postupy, které pro každý svůj běh negenerují jiný, přesto smysluplný a monotematický obsah. K tomu lze podotknout, že  „Všechny tyto metody mají společné to, že tyto algoritmy, parametry, omezení a cíle, které se podílí na vytváření obsahu jsou v podstatě ručně definované svými tvůrci“ </w:t>
      </w:r>
      <w:r w:rsidRPr="00DD2832">
        <w:fldChar w:fldCharType="begin"/>
      </w:r>
      <w:r w:rsidR="003D3656">
        <w:instrText xml:space="preserve"> ADDIN ZOTERO_ITEM CSL_CITATION {"citationID":"Zqhs2ljz","properties":{"formattedCitation":"(Summerville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rsidR="00E95442" w:rsidRPr="00595AF0" w:rsidRDefault="00E95442" w:rsidP="00595AF0">
      <w:pPr>
        <w:pStyle w:val="Stadnartntext"/>
        <w:ind w:firstLine="708"/>
      </w:pPr>
      <w:r>
        <w:t xml:space="preserve">Stěžejní proměnou PCG algoritmů je podoba reprezentace obecných genotypů, na základě kterých vzniká vždy originální entita (fenotyp). Tato reprezentace nabývá mnoha podob. Takové genotypy mohou reprezentovat jak obecné geometrie objektů, tak například obecné vztahy mezi nimi. Tato biologická paralela vychází z často aplikované metody PCG, kterou jsou genetické algoritmy.   </w:t>
      </w:r>
    </w:p>
    <w:p w:rsidR="000D17CF" w:rsidRDefault="00880418" w:rsidP="000D17CF">
      <w:pPr>
        <w:pStyle w:val="Heading2"/>
      </w:pPr>
      <w:r>
        <w:t>Potenciál,</w:t>
      </w:r>
      <w:r w:rsidR="000D17CF">
        <w:t xml:space="preserve"> účel</w:t>
      </w:r>
      <w:r>
        <w:t xml:space="preserve"> a vize</w:t>
      </w:r>
      <w:r w:rsidR="000D17CF">
        <w:t xml:space="preserve"> </w:t>
      </w:r>
      <w:r>
        <w:t>PCG</w:t>
      </w:r>
    </w:p>
    <w:p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3D3656">
        <w:instrText xml:space="preserve"> ADDIN ZOTERO_ITEM CSL_CITATION {"citationID":"x9IwyJNB","properties":{"formattedCitation":"(Togelius et al. 2010)","plainCitation":"(Togelius et al. 2010)","noteIndex":0},"citationItems":[{"id":11,"uris":["http://zotero.org/users/local/DXBpxSa9/items/NCXZPGAV"],"uri":["http://zotero.org/users/local/DXBpxSa9/items/NCXZPGAV"],"itemData":{"id":11,"type":"chapter","title":"Search-Based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w:t>
      </w:r>
      <w:r w:rsidR="002226E4">
        <w:lastRenderedPageBreak/>
        <w:t xml:space="preserve">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ost kriticky zhodnotit 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3D3656">
        <w:instrText xml:space="preserve"> ADDIN ZOTERO_ITEM CSL_CITATION {"citationID":"HtgKV9ul","properties":{"formattedCitation":"(Pereira 2008)","plainCitation":"(Pereira 2008)","noteIndex":0},"citationItems":[{"id":"hA0wgkxk/JaMb5OGv","uris":["http://zotero.org/users/local/IbRhotwj/items/QSHR8F33"],"uri":["http://zotero.org/users/local/IbRhotwj/items/QSHR8F33"],"itemData":{"id":189,"type":"book","title":"Creativity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Všechny tyto podmínky, které Pereira postuluje pro svůj model (Creative general problem solver) jsou realizovatelné a byly realizovány prostřednictvím generativních modelů strojového učení například v rámci Generative adversarial neural networks.</w:t>
      </w:r>
    </w:p>
    <w:p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3D3656">
        <w:instrText xml:space="preserve"> ADDIN ZOTERO_ITEM CSL_CITATION {"citationID":"ZoxImGNf","properties":{"formattedCitation":"(HENDRIKX a MEIJER nedatov\\uc0\\u225{}no)","plainCitation":"(HENDRIKX a MEIJER nedatováno)","noteIndex":0},"citationItems":[{"id":9,"uris":["http://zotero.org/users/local/DXBpxSa9/items/J5F2HNBE"],"uri":["http://zotero.org/users/local/DXBpxSa9/items/J5F2HNBE"],"itemData":{"id":9,"type":"article-journal","title":"Procedural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3D3656">
        <w:instrText xml:space="preserve"> ADDIN ZOTERO_ITEM CSL_CITATION {"citationID":"PzYxYpQT","properties":{"formattedCitation":"(Togelius et al. 2013)","plainCitation":"(Togelius et al. 2013)","noteIndex":0},"citationItems":[{"id":"hA0wgkxk/jsGNAgau","uris":["http://zotero.org/users/local/IbRhotwj/items/Y5YQSCBM"],"uri":["http://zotero.org/users/local/IbRhotwj/items/Y5YQSCBM"],"itemData":{"id":20,"type":"chapter","title":"Procedural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rsidR="00D67434" w:rsidRDefault="00032470" w:rsidP="00FB0812">
      <w:pPr>
        <w:pStyle w:val="Stadnartntext"/>
      </w:pPr>
      <w:r>
        <w:lastRenderedPageBreak/>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3D3656">
        <w:instrText xml:space="preserve"> ADDIN ZOTERO_ITEM CSL_CITATION {"citationID":"3jKlqy6y","properties":{"formattedCitation":"(Togelius et al. 2013)","plainCitation":"(Togelius et al. 2013)","noteIndex":0},"citationItems":[{"id":"hA0wgkxk/jsGNAgau","uris":["http://zotero.org/users/local/IbRhotwj/items/Y5YQSCBM"],"uri":["http://zotero.org/users/local/IbRhotwj/items/Y5YQSCBM"],"itemData":{"id":20,"type":"chapter","title":"Procedural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rsidR="006941C1" w:rsidRDefault="006941C1" w:rsidP="006941C1">
      <w:pPr>
        <w:pStyle w:val="Heading2"/>
      </w:pPr>
      <w:r>
        <w:t>Nové metody procedurálního generování</w:t>
      </w:r>
    </w:p>
    <w:p w:rsidR="006941C1" w:rsidRDefault="006941C1" w:rsidP="006941C1">
      <w:pPr>
        <w:pStyle w:val="Stadnartntext"/>
        <w:ind w:firstLine="708"/>
        <w:rPr>
          <w:rFonts w:ascii="Calibri" w:hAnsi="Calibri" w:cs="Calibri"/>
        </w:rPr>
      </w:pPr>
      <w:r>
        <w:t xml:space="preserve">Pro uvedení terminologie užívané v následujících kapitolách je nutné zmínit, že </w:t>
      </w:r>
      <w:r w:rsidR="0044131E">
        <w:t>současnými</w:t>
      </w:r>
      <w:r>
        <w:t xml:space="preserve"> cestami</w:t>
      </w:r>
      <w:r w:rsidRPr="000D17CF">
        <w:t xml:space="preserve"> pro tvorbu algoritmicky generovaného obsahu je generování za pomocí metod strojového učení. 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poprvé def</w:t>
      </w:r>
      <w:r>
        <w:t>inuje PCGML Summerville</w:t>
      </w:r>
      <w:r w:rsidRPr="000D17CF">
        <w:t xml:space="preserve"> </w:t>
      </w:r>
      <w:r w:rsidRPr="00473287">
        <w:fldChar w:fldCharType="begin"/>
      </w:r>
      <w:r w:rsidR="003D3656">
        <w:instrText xml:space="preserve"> ADDIN ZOTERO_ITEM CSL_CITATION {"citationID":"li7K3DkY","properties":{"formattedCitation":"(Summerville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rsidR="006941C1" w:rsidRPr="0037095C" w:rsidRDefault="006941C1" w:rsidP="0037095C">
      <w:pPr>
        <w:pStyle w:val="Stadnartntext"/>
        <w:ind w:firstLine="708"/>
      </w:pPr>
      <w:r w:rsidRPr="0037095C">
        <w:t>Širší pojednání o těchto metodách je předmětem kapitoly Procedurální generování prostřednictvím strojového učení.</w:t>
      </w:r>
    </w:p>
    <w:p w:rsidR="000D17CF" w:rsidRDefault="000D17CF" w:rsidP="00E37186">
      <w:pPr>
        <w:pStyle w:val="Heading1"/>
      </w:pPr>
      <w:r>
        <w:lastRenderedPageBreak/>
        <w:t>Procedurální generování prostřednictvím strojového učení</w:t>
      </w:r>
    </w:p>
    <w:p w:rsidR="00D71B7E" w:rsidRPr="00D71B7E" w:rsidRDefault="00D71B7E" w:rsidP="00D71B7E">
      <w:pPr>
        <w:pStyle w:val="Stadnartntext"/>
        <w:ind w:firstLine="708"/>
      </w:pPr>
      <w:r>
        <w:t>Definice strojového učení od Toma Mitchella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 xml:space="preserve">Odpovídá tomu i rozdělení metod strojového učení na diskriminativní a generativní modely. </w:t>
      </w:r>
      <w:r w:rsidRPr="000D17CF">
        <w:rPr>
          <w:szCs w:val="26"/>
        </w:rPr>
        <w:t>Z </w:t>
      </w:r>
      <w:r w:rsidR="003B49CF">
        <w:rPr>
          <w:szCs w:val="26"/>
        </w:rPr>
        <w:t>generativních</w:t>
      </w:r>
      <w:r w:rsidRPr="000D17CF">
        <w:rPr>
          <w:szCs w:val="26"/>
        </w:rPr>
        <w:t xml:space="preserve"> technik strojového učení </w:t>
      </w:r>
      <w:r>
        <w:rPr>
          <w:szCs w:val="26"/>
        </w:rPr>
        <w:t>vyzdvihuje</w:t>
      </w:r>
      <w:r w:rsidRPr="000D17CF">
        <w:rPr>
          <w:szCs w:val="26"/>
        </w:rPr>
        <w:t xml:space="preserve"> Summerville jako vhodné zejména generativně kontradiktorní sítě (Generative adversarial networks) dále n-gramy, markovy modely a specifické architektury</w:t>
      </w:r>
      <w:r w:rsidR="006B4EE9">
        <w:rPr>
          <w:szCs w:val="26"/>
        </w:rPr>
        <w:t xml:space="preserve"> rekurentních neuronových sítí </w:t>
      </w:r>
      <w:r w:rsidRPr="000D17CF">
        <w:rPr>
          <w:rFonts w:ascii="Calibri" w:hAnsi="Calibri" w:cs="Calibri"/>
          <w:szCs w:val="26"/>
        </w:rPr>
        <w:t>(Summerville et al. 2017)</w:t>
      </w:r>
      <w:r w:rsidRPr="000D17CF">
        <w:rPr>
          <w:szCs w:val="26"/>
        </w:rPr>
        <w:t xml:space="preserve">. </w:t>
      </w:r>
    </w:p>
    <w:p w:rsidR="00466BD0" w:rsidRDefault="00466BD0" w:rsidP="00466BD0">
      <w:pPr>
        <w:pStyle w:val="Heading2"/>
      </w:pPr>
      <w:r>
        <w:t>Metody strojového učení v aplikaci na procedurální generování</w:t>
      </w:r>
    </w:p>
    <w:p w:rsidR="00466BD0" w:rsidRPr="00466BD0" w:rsidRDefault="00466BD0" w:rsidP="00466BD0"/>
    <w:p w:rsidR="00096B7C" w:rsidRDefault="00096B7C" w:rsidP="00466BD0">
      <w:pPr>
        <w:pStyle w:val="Heading1"/>
      </w:pPr>
      <w:r>
        <w:lastRenderedPageBreak/>
        <w:t>Technologie pro implementaci algoritmů strojového učení</w:t>
      </w:r>
    </w:p>
    <w:p w:rsidR="00096B7C" w:rsidRPr="00096B7C" w:rsidRDefault="00096B7C" w:rsidP="00096B7C"/>
    <w:p w:rsidR="00466BD0" w:rsidRDefault="00466BD0" w:rsidP="00466BD0">
      <w:pPr>
        <w:pStyle w:val="Heading1"/>
      </w:pPr>
      <w:r>
        <w:lastRenderedPageBreak/>
        <w:t>Nápady</w:t>
      </w:r>
    </w:p>
    <w:p w:rsidR="00466BD0" w:rsidRDefault="00466BD0" w:rsidP="00466BD0">
      <w:pPr>
        <w:pStyle w:val="Stadnartntext"/>
      </w:pPr>
      <w:r>
        <w:t>Srovnat algoritmy tradičního PCG s</w:t>
      </w:r>
      <w:r w:rsidR="006941C1">
        <w:t> </w:t>
      </w:r>
      <w:r>
        <w:t>PCGML</w:t>
      </w:r>
    </w:p>
    <w:p w:rsidR="000D17CF" w:rsidRPr="00096B7C" w:rsidRDefault="006941C1" w:rsidP="00096B7C">
      <w:pPr>
        <w:pStyle w:val="Stadnartntext"/>
      </w:pPr>
      <w:r>
        <w:t>Vymyslet exemplární příklad a vyřešit ho třemi různými metodami strojového učení. Srovnat porovnat =&gt; grafíky.</w:t>
      </w:r>
      <w:r w:rsidR="000D17CF">
        <w:tab/>
      </w:r>
    </w:p>
    <w:p w:rsidR="0054232F" w:rsidRDefault="00096B7C" w:rsidP="00096B7C">
      <w:pPr>
        <w:pStyle w:val="Heading1"/>
      </w:pPr>
      <w:r>
        <w:lastRenderedPageBreak/>
        <w:t>Demonstrace metod strojového učení na příklad</w:t>
      </w:r>
      <w:r w:rsidR="007C2005">
        <w:t>ech</w:t>
      </w:r>
      <w:r>
        <w:t xml:space="preserve"> generování </w:t>
      </w:r>
    </w:p>
    <w:p w:rsidR="00096B7C" w:rsidRDefault="00096B7C" w:rsidP="00096B7C">
      <w:pPr>
        <w:pStyle w:val="Stadnartntext"/>
      </w:pPr>
      <w:r>
        <w:tab/>
        <w:t xml:space="preserve">Cílem této kapitoly a bakalářské práce vůbec je demonstrovat a evaluovat navrženou metodu pro generování uceleného grafického obsahu. </w:t>
      </w:r>
    </w:p>
    <w:p w:rsidR="00096B7C" w:rsidRDefault="00096B7C" w:rsidP="00096B7C">
      <w:pPr>
        <w:pStyle w:val="Heading2"/>
      </w:pPr>
      <w:r>
        <w:t>Užité technologie</w:t>
      </w:r>
    </w:p>
    <w:p w:rsidR="00096B7C" w:rsidRDefault="00096B7C" w:rsidP="00096B7C">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něm založený</w:t>
      </w:r>
      <w:r w:rsidR="007C2005">
        <w:t xml:space="preserve"> keras). Exemplární příklady [x] a nagenerované výstupy [y] byly pro názornost modelovány a uspořádány v herním enginu Unity, který pro své skripty užívá C#. Vzhledem k přímé nekompatibilitě programovacích jazyků byla všechna data, která bylo třeba zpracovat či exportovat</w:t>
      </w:r>
      <w:r w:rsidR="001F715E">
        <w:t xml:space="preserve"> mezi prostředími formátována v csv souborech.</w:t>
      </w:r>
      <w:r w:rsidR="007C2005">
        <w:t xml:space="preserve"> </w:t>
      </w:r>
    </w:p>
    <w:p w:rsidR="00125FE2" w:rsidRDefault="00125FE2" w:rsidP="00125FE2">
      <w:pPr>
        <w:pStyle w:val="Heading2"/>
      </w:pPr>
      <w:r>
        <w:t>Definice cíle a kostra postupu</w:t>
      </w:r>
    </w:p>
    <w:p w:rsidR="00EA45E2" w:rsidRPr="00EA45E2" w:rsidRDefault="00EA45E2" w:rsidP="00EA45E2">
      <w:r>
        <w:tab/>
      </w:r>
      <w:bookmarkStart w:id="0" w:name="_GoBack"/>
      <w:bookmarkEnd w:id="0"/>
    </w:p>
    <w:p w:rsidR="00125FE2" w:rsidRPr="00125FE2" w:rsidRDefault="00125FE2" w:rsidP="00125FE2">
      <w:pPr>
        <w:pStyle w:val="Stadnartntext"/>
      </w:pPr>
      <w:r>
        <w:tab/>
        <w:t>Vstupní data pro algoritmus jsou definována jako scény S = {s</w:t>
      </w:r>
      <w:r w:rsidRPr="00125FE2">
        <w:rPr>
          <w:vertAlign w:val="subscript"/>
        </w:rPr>
        <w:t>1</w:t>
      </w:r>
      <w:r>
        <w:t>,s</w:t>
      </w:r>
      <w:r w:rsidRPr="00125FE2">
        <w:rPr>
          <w:vertAlign w:val="subscript"/>
        </w:rPr>
        <w:t>2</w:t>
      </w:r>
      <w:r>
        <w:t>, s</w:t>
      </w:r>
      <w:r w:rsidRPr="00125FE2">
        <w:rPr>
          <w:vertAlign w:val="subscript"/>
        </w:rPr>
        <w:t>3</w:t>
      </w:r>
      <w:r>
        <w:t>...s</w:t>
      </w:r>
      <w:r w:rsidRPr="00125FE2">
        <w:rPr>
          <w:vertAlign w:val="subscript"/>
        </w:rPr>
        <w:t>n</w:t>
      </w:r>
      <w:r>
        <w:t xml:space="preserve">}. V každé scéně z této </w:t>
      </w:r>
      <w:r w:rsidR="00EA45E2">
        <w:t xml:space="preserve">množiny existuje množina objektů O, přičemž každý objekt sebou nese vektor své pozice, rotace a velikosti. </w:t>
      </w:r>
      <w:r>
        <w:tab/>
      </w:r>
    </w:p>
    <w:p w:rsidR="00125FE2" w:rsidRDefault="00125FE2" w:rsidP="00125FE2">
      <w:pPr>
        <w:pStyle w:val="Heading2"/>
      </w:pPr>
      <w:r>
        <w:t>Slepé uličky?</w:t>
      </w:r>
    </w:p>
    <w:p w:rsidR="00125FE2" w:rsidRPr="00125FE2" w:rsidRDefault="00125FE2" w:rsidP="00125FE2"/>
    <w:p w:rsidR="001F715E" w:rsidRPr="00096B7C" w:rsidRDefault="001F715E" w:rsidP="00096B7C">
      <w:pPr>
        <w:pStyle w:val="Stadnartntext"/>
      </w:pPr>
    </w:p>
    <w:p w:rsidR="0054232F" w:rsidRDefault="0054232F" w:rsidP="0054232F"/>
    <w:p w:rsidR="0054232F" w:rsidRPr="0054232F" w:rsidRDefault="0054232F" w:rsidP="0054232F"/>
    <w:p w:rsidR="0054232F" w:rsidRDefault="0054232F" w:rsidP="0054232F"/>
    <w:p w:rsidR="0054232F" w:rsidRPr="0054232F" w:rsidRDefault="0054232F" w:rsidP="0054232F">
      <w:pPr>
        <w:pStyle w:val="Heading1"/>
      </w:pPr>
    </w:p>
    <w:sectPr w:rsidR="0054232F" w:rsidRPr="0054232F" w:rsidSect="00983680">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58C" w:rsidRDefault="0075358C" w:rsidP="00FB0812">
      <w:pPr>
        <w:spacing w:after="0" w:line="240" w:lineRule="auto"/>
      </w:pPr>
      <w:r>
        <w:separator/>
      </w:r>
    </w:p>
  </w:endnote>
  <w:endnote w:type="continuationSeparator" w:id="0">
    <w:p w:rsidR="0075358C" w:rsidRDefault="0075358C"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58C" w:rsidRDefault="0075358C" w:rsidP="00FB0812">
      <w:pPr>
        <w:spacing w:after="0" w:line="240" w:lineRule="auto"/>
      </w:pPr>
      <w:r>
        <w:separator/>
      </w:r>
    </w:p>
  </w:footnote>
  <w:footnote w:type="continuationSeparator" w:id="0">
    <w:p w:rsidR="0075358C" w:rsidRDefault="0075358C" w:rsidP="00FB0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32470"/>
    <w:rsid w:val="000375AE"/>
    <w:rsid w:val="000551D2"/>
    <w:rsid w:val="000965CA"/>
    <w:rsid w:val="00096B7C"/>
    <w:rsid w:val="000B0370"/>
    <w:rsid w:val="000B6173"/>
    <w:rsid w:val="000C1BB6"/>
    <w:rsid w:val="000C2E59"/>
    <w:rsid w:val="000C6491"/>
    <w:rsid w:val="000C78B2"/>
    <w:rsid w:val="000D17CF"/>
    <w:rsid w:val="000E1A3D"/>
    <w:rsid w:val="00125FE2"/>
    <w:rsid w:val="0013208F"/>
    <w:rsid w:val="001463D2"/>
    <w:rsid w:val="00191F46"/>
    <w:rsid w:val="0019539B"/>
    <w:rsid w:val="001A588F"/>
    <w:rsid w:val="001B67A0"/>
    <w:rsid w:val="001F715E"/>
    <w:rsid w:val="001F7A87"/>
    <w:rsid w:val="00212DFE"/>
    <w:rsid w:val="002226E4"/>
    <w:rsid w:val="00231721"/>
    <w:rsid w:val="002632B4"/>
    <w:rsid w:val="0027056E"/>
    <w:rsid w:val="002709CE"/>
    <w:rsid w:val="00273E31"/>
    <w:rsid w:val="00280796"/>
    <w:rsid w:val="002A1810"/>
    <w:rsid w:val="002B77A7"/>
    <w:rsid w:val="003138AB"/>
    <w:rsid w:val="00344716"/>
    <w:rsid w:val="0037063B"/>
    <w:rsid w:val="0037095C"/>
    <w:rsid w:val="00372C53"/>
    <w:rsid w:val="00395921"/>
    <w:rsid w:val="003A22F9"/>
    <w:rsid w:val="003B49CF"/>
    <w:rsid w:val="003D3656"/>
    <w:rsid w:val="0040456C"/>
    <w:rsid w:val="00406E13"/>
    <w:rsid w:val="00416949"/>
    <w:rsid w:val="0044131E"/>
    <w:rsid w:val="00444C8F"/>
    <w:rsid w:val="00445DDC"/>
    <w:rsid w:val="004624F2"/>
    <w:rsid w:val="00466BD0"/>
    <w:rsid w:val="00473287"/>
    <w:rsid w:val="004916E8"/>
    <w:rsid w:val="004920A3"/>
    <w:rsid w:val="0054232F"/>
    <w:rsid w:val="005714CC"/>
    <w:rsid w:val="005815BF"/>
    <w:rsid w:val="005959D7"/>
    <w:rsid w:val="00595AF0"/>
    <w:rsid w:val="005D561C"/>
    <w:rsid w:val="005F037B"/>
    <w:rsid w:val="005F6FDA"/>
    <w:rsid w:val="0060124E"/>
    <w:rsid w:val="00621328"/>
    <w:rsid w:val="006265A3"/>
    <w:rsid w:val="00632EFF"/>
    <w:rsid w:val="00665BFF"/>
    <w:rsid w:val="00675649"/>
    <w:rsid w:val="00682E08"/>
    <w:rsid w:val="006941C1"/>
    <w:rsid w:val="006B4BF1"/>
    <w:rsid w:val="006B4EE9"/>
    <w:rsid w:val="006B6821"/>
    <w:rsid w:val="006E6371"/>
    <w:rsid w:val="00715B21"/>
    <w:rsid w:val="007270B7"/>
    <w:rsid w:val="0075358C"/>
    <w:rsid w:val="007652B5"/>
    <w:rsid w:val="00787F85"/>
    <w:rsid w:val="00796DBE"/>
    <w:rsid w:val="007C2005"/>
    <w:rsid w:val="00834A08"/>
    <w:rsid w:val="00837D96"/>
    <w:rsid w:val="0084237B"/>
    <w:rsid w:val="00850DC9"/>
    <w:rsid w:val="00880418"/>
    <w:rsid w:val="00884992"/>
    <w:rsid w:val="008F7E52"/>
    <w:rsid w:val="009215AD"/>
    <w:rsid w:val="00943025"/>
    <w:rsid w:val="00983680"/>
    <w:rsid w:val="009E2F5F"/>
    <w:rsid w:val="009F0575"/>
    <w:rsid w:val="00A00427"/>
    <w:rsid w:val="00A07FC2"/>
    <w:rsid w:val="00A57EC7"/>
    <w:rsid w:val="00A70E18"/>
    <w:rsid w:val="00A73A04"/>
    <w:rsid w:val="00A93177"/>
    <w:rsid w:val="00B460B9"/>
    <w:rsid w:val="00B954A6"/>
    <w:rsid w:val="00BB779D"/>
    <w:rsid w:val="00BE283E"/>
    <w:rsid w:val="00BF2378"/>
    <w:rsid w:val="00C30F23"/>
    <w:rsid w:val="00C60F15"/>
    <w:rsid w:val="00C727E8"/>
    <w:rsid w:val="00D0369F"/>
    <w:rsid w:val="00D67434"/>
    <w:rsid w:val="00D71B7E"/>
    <w:rsid w:val="00D74268"/>
    <w:rsid w:val="00DB7B6E"/>
    <w:rsid w:val="00DD2832"/>
    <w:rsid w:val="00DE4348"/>
    <w:rsid w:val="00DF05B9"/>
    <w:rsid w:val="00E114EF"/>
    <w:rsid w:val="00E37186"/>
    <w:rsid w:val="00E50481"/>
    <w:rsid w:val="00E71350"/>
    <w:rsid w:val="00E7143B"/>
    <w:rsid w:val="00E95442"/>
    <w:rsid w:val="00EA4416"/>
    <w:rsid w:val="00EA45E2"/>
    <w:rsid w:val="00EB2872"/>
    <w:rsid w:val="00EC2DCC"/>
    <w:rsid w:val="00EF373B"/>
    <w:rsid w:val="00EF3F70"/>
    <w:rsid w:val="00F079C6"/>
    <w:rsid w:val="00F203C1"/>
    <w:rsid w:val="00F619E4"/>
    <w:rsid w:val="00FA2FB4"/>
    <w:rsid w:val="00FB0812"/>
    <w:rsid w:val="00FB1A31"/>
    <w:rsid w:val="00FD3A97"/>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CD7F6"/>
  <w15:chartTrackingRefBased/>
  <w15:docId w15:val="{5B87090B-33E8-4EF2-934A-307388D3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FE2"/>
    <w:pPr>
      <w:keepNext/>
      <w:keepLines/>
      <w:pageBreakBefore/>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F619E4"/>
    <w:pPr>
      <w:keepNext/>
      <w:keepLines/>
      <w:spacing w:before="560" w:after="280"/>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715B21"/>
    <w:pPr>
      <w:keepNext/>
      <w:keepLines/>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5D561C"/>
    <w:pPr>
      <w:spacing w:before="240" w:after="240" w:line="360" w:lineRule="auto"/>
      <w:jc w:val="both"/>
    </w:pPr>
    <w:rPr>
      <w:rFonts w:ascii="Cambria" w:hAnsi="Cambria" w:cs="Arial"/>
      <w:sz w:val="26"/>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125FE2"/>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5D561C"/>
    <w:rPr>
      <w:rFonts w:ascii="Cambria" w:hAnsi="Cambria" w:cs="Arial"/>
      <w:sz w:val="26"/>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F619E4"/>
    <w:rPr>
      <w:rFonts w:ascii="Arial" w:eastAsiaTheme="majorEastAsia" w:hAnsi="Arial" w:cstheme="majorBidi"/>
      <w:b/>
      <w:sz w:val="28"/>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715B21"/>
    <w:rPr>
      <w:rFonts w:ascii="Arial" w:eastAsiaTheme="majorEastAsia" w:hAnsi="Arial" w:cstheme="majorBidi"/>
      <w:iCs/>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B1660-3186-464A-A23D-131F9CD5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6792</TotalTime>
  <Pages>23</Pages>
  <Words>8092</Words>
  <Characters>47749</Characters>
  <Application>Microsoft Office Word</Application>
  <DocSecurity>0</DocSecurity>
  <Lines>397</Lines>
  <Paragraphs>111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2</cp:revision>
  <dcterms:created xsi:type="dcterms:W3CDTF">2018-06-12T05:50:00Z</dcterms:created>
  <dcterms:modified xsi:type="dcterms:W3CDTF">2019-02-12T08:18:00Z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id="hA0wgkxk"/&gt;&lt;style id="http://www.zotero.org/styles/iso690-author-date-cs" hasBibliography="1" bibliographyStyleHasBeenSet="0"/&gt;&lt;prefs&gt;&lt;pref name="fieldType" value="Field"/&gt;&lt;/prefs&gt;&lt;/data&gt;</vt:lpwstr>
  </property>
</Properties>
</file>