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00" w:rsidRPr="00752C00" w:rsidRDefault="00752C00" w:rsidP="00752C00">
      <w:pPr>
        <w:spacing w:before="200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POLÍTICA DO sistema de gestão de segurança da informação - SGSI</w:t>
      </w:r>
    </w:p>
    <w:p w:rsidR="00752C00" w:rsidRPr="00752C00" w:rsidRDefault="00752C00" w:rsidP="00752C00">
      <w:pPr>
        <w:spacing w:after="24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bCs/>
          <w:color w:val="000000"/>
          <w:lang w:eastAsia="pt-BR"/>
        </w:rPr>
        <w:t xml:space="preserve">Superior Tribunal de Justiça - STJ - Implementação do Sistema de Gestão de Segurança da Informação - SGSI, no STJ baseado na norma ISO/IEC </w:t>
      </w:r>
      <w:proofErr w:type="gramStart"/>
      <w:r w:rsidRPr="00752C00">
        <w:rPr>
          <w:rFonts w:ascii="Arial" w:eastAsia="Times New Roman" w:hAnsi="Arial" w:cs="Arial"/>
          <w:b/>
          <w:bCs/>
          <w:color w:val="000000"/>
          <w:lang w:eastAsia="pt-BR"/>
        </w:rPr>
        <w:t>27001:2005</w:t>
      </w:r>
      <w:proofErr w:type="gramEnd"/>
    </w:p>
    <w:p w:rsidR="00752C00" w:rsidRPr="00752C00" w:rsidRDefault="00752C00" w:rsidP="00752C00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ind w:left="-142" w:righ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72"/>
          <w:szCs w:val="72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ind w:left="-142" w:righ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72"/>
          <w:szCs w:val="72"/>
          <w:lang w:eastAsia="pt-BR"/>
        </w:rPr>
        <w:t> </w:t>
      </w:r>
    </w:p>
    <w:p w:rsidR="00752C00" w:rsidRPr="00752C00" w:rsidRDefault="00752C00" w:rsidP="0075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Garamond" w:eastAsia="Times New Roman" w:hAnsi="Garamond" w:cs="Arial"/>
          <w:b/>
          <w:caps/>
          <w:spacing w:val="30"/>
          <w:kern w:val="28"/>
          <w:sz w:val="24"/>
          <w:szCs w:val="24"/>
        </w:rPr>
        <w:br w:type="page"/>
      </w:r>
    </w:p>
    <w:p w:rsidR="00752C00" w:rsidRPr="00752C00" w:rsidRDefault="00752C00" w:rsidP="00752C00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pt-BR"/>
        </w:rPr>
        <w:lastRenderedPageBreak/>
        <w:t> </w:t>
      </w:r>
    </w:p>
    <w:p w:rsidR="00752C00" w:rsidRPr="00752C00" w:rsidRDefault="00752C00" w:rsidP="00752C0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Política do Sistema de Gestão de Segurança </w:t>
      </w:r>
    </w:p>
    <w:p w:rsidR="00752C00" w:rsidRPr="00752C00" w:rsidRDefault="00752C00" w:rsidP="00752C0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C00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da</w:t>
      </w:r>
      <w:proofErr w:type="gramEnd"/>
      <w:r w:rsidRPr="00752C00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Informação – SGSI - do Superior Tribunal </w:t>
      </w:r>
    </w:p>
    <w:p w:rsidR="00752C00" w:rsidRPr="00752C00" w:rsidRDefault="00752C00" w:rsidP="00752C0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C00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de</w:t>
      </w:r>
      <w:proofErr w:type="gramEnd"/>
      <w:r w:rsidRPr="00752C00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Justiça</w:t>
      </w:r>
    </w:p>
    <w:p w:rsidR="00752C00" w:rsidRPr="00752C00" w:rsidRDefault="00752C00" w:rsidP="00752C00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Toc143934967"/>
      <w:r w:rsidRPr="00752C00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color w:val="000000"/>
          <w:sz w:val="32"/>
          <w:szCs w:val="32"/>
          <w:lang w:val="en-US" w:eastAsia="pt-BR"/>
        </w:rPr>
        <w:t>SUMÁRIO</w:t>
      </w:r>
    </w:p>
    <w:p w:rsidR="00752C00" w:rsidRPr="00752C00" w:rsidRDefault="00752C00" w:rsidP="00752C00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color w:val="000000"/>
          <w:sz w:val="40"/>
          <w:szCs w:val="40"/>
          <w:lang w:val="en-US" w:eastAsia="pt-BR"/>
        </w:rPr>
        <w:t> </w:t>
      </w:r>
      <w:bookmarkEnd w:id="0"/>
    </w:p>
    <w:p w:rsidR="00752C00" w:rsidRPr="00752C00" w:rsidRDefault="00752C00" w:rsidP="0075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752C00" w:rsidRPr="00752C00" w:rsidRDefault="00752C00" w:rsidP="00752C00">
      <w:pPr>
        <w:tabs>
          <w:tab w:val="left" w:leader="dot" w:pos="8505"/>
        </w:tabs>
        <w:spacing w:before="12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anchor="_Toc189383368" w:history="1">
        <w:r w:rsidRPr="00752C00">
          <w:rPr>
            <w:rFonts w:ascii="Arial" w:eastAsia="Times New Roman" w:hAnsi="Arial" w:cs="Arial"/>
            <w:b/>
            <w:noProof/>
            <w:color w:val="0000FF"/>
            <w:sz w:val="20"/>
            <w:szCs w:val="20"/>
            <w:u w:val="single"/>
            <w:lang w:eastAsia="pt-BR"/>
          </w:rPr>
          <w:t>1.Introdução.</w:t>
        </w:r>
      </w:hyperlink>
    </w:p>
    <w:p w:rsidR="00752C00" w:rsidRPr="00752C00" w:rsidRDefault="00752C00" w:rsidP="00752C00">
      <w:pPr>
        <w:tabs>
          <w:tab w:val="left" w:leader="dot" w:pos="8505"/>
        </w:tabs>
        <w:spacing w:before="12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_Toc189383369" w:history="1">
        <w:r w:rsidRPr="00752C00">
          <w:rPr>
            <w:rFonts w:ascii="Arial" w:eastAsia="Times New Roman" w:hAnsi="Arial" w:cs="Arial"/>
            <w:b/>
            <w:noProof/>
            <w:color w:val="0000FF"/>
            <w:sz w:val="20"/>
            <w:szCs w:val="20"/>
            <w:u w:val="single"/>
            <w:lang w:eastAsia="pt-BR"/>
          </w:rPr>
          <w:t>2.Objetivo</w:t>
        </w:r>
      </w:hyperlink>
    </w:p>
    <w:p w:rsidR="00752C00" w:rsidRPr="00752C00" w:rsidRDefault="00752C00" w:rsidP="00752C00">
      <w:pPr>
        <w:tabs>
          <w:tab w:val="left" w:leader="dot" w:pos="8505"/>
        </w:tabs>
        <w:spacing w:before="12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_Toc189383370" w:history="1">
        <w:r w:rsidRPr="00752C00">
          <w:rPr>
            <w:rFonts w:ascii="Arial" w:eastAsia="Times New Roman" w:hAnsi="Arial" w:cs="Arial"/>
            <w:b/>
            <w:noProof/>
            <w:color w:val="0000FF"/>
            <w:sz w:val="20"/>
            <w:szCs w:val="20"/>
            <w:u w:val="single"/>
            <w:lang w:eastAsia="pt-BR"/>
          </w:rPr>
          <w:t>3.Definições</w:t>
        </w:r>
      </w:hyperlink>
    </w:p>
    <w:p w:rsidR="00752C00" w:rsidRPr="00752C00" w:rsidRDefault="00752C00" w:rsidP="00752C00">
      <w:pPr>
        <w:tabs>
          <w:tab w:val="left" w:leader="dot" w:pos="8505"/>
        </w:tabs>
        <w:spacing w:before="12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pt-BR"/>
        </w:rPr>
        <w:t>5.Diretrizes de Segurança da Informaçào............................................................................................5</w:t>
      </w:r>
    </w:p>
    <w:p w:rsidR="00752C00" w:rsidRPr="00752C00" w:rsidRDefault="00752C00" w:rsidP="00752C00">
      <w:pPr>
        <w:tabs>
          <w:tab w:val="left" w:leader="dot" w:pos="8505"/>
        </w:tabs>
        <w:spacing w:before="12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52C00" w:rsidRPr="00752C00" w:rsidRDefault="00752C00" w:rsidP="0075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spacing w:val="-5"/>
          <w:sz w:val="24"/>
          <w:szCs w:val="20"/>
        </w:rPr>
        <w:br w:type="page"/>
      </w:r>
    </w:p>
    <w:p w:rsidR="00752C00" w:rsidRPr="00752C00" w:rsidRDefault="00752C00" w:rsidP="00752C00">
      <w:pPr>
        <w:tabs>
          <w:tab w:val="left" w:pos="400"/>
          <w:tab w:val="left" w:pos="8505"/>
        </w:tabs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 </w:t>
      </w:r>
    </w:p>
    <w:p w:rsidR="00752C00" w:rsidRPr="00752C00" w:rsidRDefault="00752C00" w:rsidP="00752C00">
      <w:pPr>
        <w:spacing w:before="240" w:after="60" w:line="240" w:lineRule="auto"/>
        <w:ind w:left="432" w:right="-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" w:name="_Toc189383368"/>
      <w:r w:rsidRPr="00752C00">
        <w:rPr>
          <w:rFonts w:ascii="Arial" w:eastAsia="Arial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1.</w:t>
      </w:r>
      <w:r w:rsidRPr="00752C00">
        <w:rPr>
          <w:rFonts w:ascii="Times New Roman" w:eastAsia="Arial" w:hAnsi="Times New Roman" w:cs="Times New Roman"/>
          <w:b/>
          <w:bCs/>
          <w:color w:val="000000"/>
          <w:kern w:val="36"/>
          <w:sz w:val="14"/>
          <w:szCs w:val="14"/>
          <w:shd w:val="clear" w:color="auto" w:fill="C0C0C0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Introdução</w:t>
      </w:r>
      <w:bookmarkEnd w:id="1"/>
    </w:p>
    <w:p w:rsidR="00752C00" w:rsidRPr="00752C00" w:rsidRDefault="00752C00" w:rsidP="00752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Este documento estabelece a Política e as diretrizes que norteiam o Sistema de Gestão de Segurança da Informação – SGSI – do Centro de Processamento de Dados do Superior Tribunal de Justiça.</w:t>
      </w:r>
    </w:p>
    <w:p w:rsidR="00752C00" w:rsidRPr="00752C00" w:rsidRDefault="00752C00" w:rsidP="00752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 </w:t>
      </w:r>
    </w:p>
    <w:p w:rsidR="00752C00" w:rsidRPr="00752C00" w:rsidRDefault="00752C00" w:rsidP="00752C00">
      <w:pPr>
        <w:spacing w:before="240" w:after="60" w:line="240" w:lineRule="auto"/>
        <w:ind w:left="432" w:right="-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2" w:name="_Toc189383369"/>
      <w:r w:rsidRPr="00752C00">
        <w:rPr>
          <w:rFonts w:ascii="Arial" w:eastAsia="Arial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2.</w:t>
      </w:r>
      <w:r w:rsidRPr="00752C00">
        <w:rPr>
          <w:rFonts w:ascii="Times New Roman" w:eastAsia="Arial" w:hAnsi="Times New Roman" w:cs="Times New Roman"/>
          <w:b/>
          <w:bCs/>
          <w:color w:val="000000"/>
          <w:kern w:val="36"/>
          <w:sz w:val="14"/>
          <w:szCs w:val="14"/>
          <w:shd w:val="clear" w:color="auto" w:fill="C0C0C0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Objetivo</w:t>
      </w:r>
      <w:bookmarkEnd w:id="2"/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 xml:space="preserve"> </w:t>
      </w:r>
    </w:p>
    <w:p w:rsidR="00752C00" w:rsidRPr="00752C00" w:rsidRDefault="00752C00" w:rsidP="00752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 </w:t>
      </w:r>
    </w:p>
    <w:p w:rsidR="00752C00" w:rsidRPr="00752C00" w:rsidRDefault="00752C00" w:rsidP="00752C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Prover mecanismos que possibilitem preservar a confidencialidade, integridade e disponibilidade das informações inerentes à administração e operação do CPD do Superior Tribunal de Justiça, bem como a segurança física e lógica do ambiente, </w:t>
      </w:r>
      <w:r w:rsidRPr="00752C00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pt-BR"/>
        </w:rPr>
        <w:t xml:space="preserve">visando </w:t>
      </w:r>
      <w:proofErr w:type="gramStart"/>
      <w:r w:rsidRPr="00752C00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pt-BR"/>
        </w:rPr>
        <w:t>a</w:t>
      </w:r>
      <w:proofErr w:type="gramEnd"/>
      <w:r w:rsidRPr="00752C00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pt-BR"/>
        </w:rPr>
        <w:t xml:space="preserve"> continuidade de seus processos vitais</w:t>
      </w: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, em conformidade com a legislação vigente, as normas técnicas pertinentes, requisitos regulamentares e contratuais, valores éticos e as melhores práticas de segurança.</w:t>
      </w:r>
    </w:p>
    <w:p w:rsidR="00752C00" w:rsidRPr="00752C00" w:rsidRDefault="00752C00" w:rsidP="00752C00">
      <w:pPr>
        <w:spacing w:before="240" w:after="60" w:line="240" w:lineRule="auto"/>
        <w:ind w:left="432" w:right="-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3" w:name="_Toc189364905"/>
      <w:bookmarkStart w:id="4" w:name="_Toc189365033"/>
      <w:bookmarkStart w:id="5" w:name="_Toc189365231"/>
      <w:bookmarkStart w:id="6" w:name="_Toc189365300"/>
      <w:bookmarkStart w:id="7" w:name="_Toc189365408"/>
      <w:bookmarkStart w:id="8" w:name="_Toc189365570"/>
      <w:bookmarkStart w:id="9" w:name="_Toc189365635"/>
      <w:bookmarkStart w:id="10" w:name="_Toc189365646"/>
      <w:bookmarkStart w:id="11" w:name="_Toc189365677"/>
      <w:bookmarkStart w:id="12" w:name="_Toc189365684"/>
      <w:bookmarkStart w:id="13" w:name="_Toc189364906"/>
      <w:bookmarkStart w:id="14" w:name="_Toc189365034"/>
      <w:bookmarkStart w:id="15" w:name="_Toc189365232"/>
      <w:bookmarkStart w:id="16" w:name="_Toc189365301"/>
      <w:bookmarkStart w:id="17" w:name="_Toc189365409"/>
      <w:bookmarkStart w:id="18" w:name="_Toc189365571"/>
      <w:bookmarkStart w:id="19" w:name="_Toc189365636"/>
      <w:bookmarkStart w:id="20" w:name="_Toc189365647"/>
      <w:bookmarkStart w:id="21" w:name="_Toc189365678"/>
      <w:bookmarkStart w:id="22" w:name="_Toc189365685"/>
      <w:bookmarkStart w:id="23" w:name="_Toc18938337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752C00">
        <w:rPr>
          <w:rFonts w:ascii="Arial" w:eastAsia="Arial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3.</w:t>
      </w:r>
      <w:r w:rsidRPr="00752C00">
        <w:rPr>
          <w:rFonts w:ascii="Times New Roman" w:eastAsia="Arial" w:hAnsi="Times New Roman" w:cs="Times New Roman"/>
          <w:b/>
          <w:bCs/>
          <w:color w:val="000000"/>
          <w:kern w:val="36"/>
          <w:sz w:val="14"/>
          <w:szCs w:val="14"/>
          <w:shd w:val="clear" w:color="auto" w:fill="C0C0C0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Definições</w:t>
      </w:r>
      <w:bookmarkEnd w:id="23"/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3.1.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Ativo: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752C00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qualquer coisa que tenha valor para a organização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3.2.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Confidencialidade: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propriedade de que a informação não esteja disponível ou revelada a indivíduos, entidades ou processos não autorizados.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3.3.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Integridade: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propriedade de salvaguarda da exatidão e completeza de ativos.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3.4.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Disponibilidade: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propriedade de estar acessível e utilizável </w:t>
      </w:r>
      <w:proofErr w:type="gramStart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sob demanda</w:t>
      </w:r>
      <w:proofErr w:type="gramEnd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uma entidade autorizada.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3.5.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Segurança da informação: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preservação da confidencialidade, integridade e disponibilidade da informação; adicionalmente, outras propriedades, tais como autenticidade, responsabilidade, não repúdio e confiabilidade, podem também estar envolvidas.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3.6.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Sistema de Gestão de Segurança da Informação – SGSI: 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parte do sistema de gestão global, baseado na abordagem de riscos do negócio, para estabelecer, </w:t>
      </w:r>
      <w:proofErr w:type="gramStart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implementar</w:t>
      </w:r>
      <w:proofErr w:type="gramEnd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operar, monitorar, analisar criticamente, manter e melhorar a segurança da informação.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3.7.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Recursos de Informática: 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considera-se recurso de informática as estações de trabalho, servidores de rede e equipamento de interconexão de propriedade ou custodiados pelo STJ.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</w:p>
    <w:p w:rsidR="00752C00" w:rsidRPr="00752C00" w:rsidRDefault="00752C00" w:rsidP="00752C00">
      <w:pPr>
        <w:spacing w:before="120" w:after="60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3.8.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Usuário: </w:t>
      </w:r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considera-se usuário todo servidor público, estagiário, prestadores de serviço ou empresa contratada pelo STJ que no exercício de atividades do Tribunal tenha acesso </w:t>
      </w:r>
      <w:proofErr w:type="gramStart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</w:t>
      </w:r>
      <w:proofErr w:type="gramEnd"/>
      <w:r w:rsidRPr="00752C0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informações e aos recursos de informática do Órgão.</w:t>
      </w:r>
    </w:p>
    <w:p w:rsidR="00752C00" w:rsidRPr="00752C00" w:rsidRDefault="00752C00" w:rsidP="00752C00">
      <w:pPr>
        <w:spacing w:before="240" w:after="60" w:line="240" w:lineRule="auto"/>
        <w:ind w:left="432" w:right="-2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24" w:name="_Toc189383371"/>
      <w:r w:rsidRPr="00752C00">
        <w:rPr>
          <w:rFonts w:ascii="Arial" w:eastAsia="Arial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4.</w:t>
      </w:r>
      <w:r w:rsidRPr="00752C00">
        <w:rPr>
          <w:rFonts w:ascii="Times New Roman" w:eastAsia="Arial" w:hAnsi="Times New Roman" w:cs="Times New Roman"/>
          <w:b/>
          <w:bCs/>
          <w:color w:val="000000"/>
          <w:kern w:val="36"/>
          <w:sz w:val="14"/>
          <w:szCs w:val="14"/>
          <w:shd w:val="clear" w:color="auto" w:fill="C0C0C0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 xml:space="preserve">Diretrizes de Segurança da </w:t>
      </w:r>
      <w:proofErr w:type="gramStart"/>
      <w:r w:rsidRPr="00752C00">
        <w:rPr>
          <w:rFonts w:ascii="Arial" w:eastAsia="Times New Roman" w:hAnsi="Arial" w:cs="Arial"/>
          <w:b/>
          <w:bCs/>
          <w:color w:val="000000"/>
          <w:kern w:val="36"/>
          <w:sz w:val="24"/>
          <w:szCs w:val="20"/>
          <w:shd w:val="clear" w:color="auto" w:fill="C0C0C0"/>
          <w:lang w:eastAsia="pt-BR"/>
        </w:rPr>
        <w:t>Informação</w:t>
      </w:r>
      <w:bookmarkEnd w:id="24"/>
      <w:proofErr w:type="gramEnd"/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5" w:name="_Toc147652691"/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4.1.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 Segurança é Orientada pelos Requisitos e Fins Institucionais</w:t>
      </w:r>
      <w:bookmarkEnd w:id="25"/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4.1.1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 medidas de proteção devem ser planejadas e aplicadas proporcionalmente de acordo com as atribuições e necessidades do STJ, respeitando a avaliação dos riscos, a análise de custo e benefício e o cumprimento dos seus fins institucionais.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6" w:name="_Toc147652693"/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4.2.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Todos são Responsáveis pela Segurança</w:t>
      </w:r>
      <w:bookmarkEnd w:id="26"/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4.2.1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Cada Usuário é responsável pela segurança dos ativos e processos que estejam sob sua responsabilidade e por todos os atos executados com suas identificações, tais como: crachá, </w:t>
      </w:r>
      <w:proofErr w:type="spellStart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login</w:t>
      </w:r>
      <w:proofErr w:type="spellEnd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, senha eletrônica, certificado digital e endereço de correio eletrônico. A identificação deve ser pessoal e intransferível,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qualquer que seja a forma, permitindo de maneira clara e irrefutável o reconhecimento do Usuário envolvido.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7" w:name="_Toc147652692"/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4.3.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 Acesso à Informação é Controlado</w:t>
      </w:r>
      <w:bookmarkEnd w:id="27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e Minimizado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4.3.1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 informação somente será disponibilizada a quem de direito, respeitando os menores níveis de acesso necessários à realização das atribuições.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4.4.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Propriedade da Informação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4.4.1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Toda informação criada, adquirida ou custodiada pelos Usuários, no exercício de atividades do STJ, é propriedade do Tribunal e deve ser </w:t>
      </w:r>
      <w:proofErr w:type="gramStart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protegida segundo as diretrizes descritas nesta Política e demais regulamentações em vigor</w:t>
      </w:r>
      <w:proofErr w:type="gramEnd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.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4.4.2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 STJ deve providenciar junto ao fornecedor a documentação formal relativa à cessão de direitos sobre as informações de terceiros, antes de utilizá-las.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4.4.3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Nos casos de cessão de informação do Tribunal a terceiros, o responsável, assessorado pela área Jurídica do STJ deve, se necessário, providenciar a documentação formal relativa à cessão de direitos sobre as informações.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4.5.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Classificação da Informação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4.5.1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 informações criadas, armazenadas, manuseadas, transportadas ou descartas no STJ devem ser classificadas – pelo respectivo proprietário – quanto aos aspectos de confidencialidade, integridade e disponibilidade, de forma explícita ou implícita.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4.5.2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Todo Usuário deve ser capaz de identificar a classificação atribuída a uma informação tratada pelo STJ e, a partir dela, conhecer e obedecer </w:t>
      </w:r>
      <w:proofErr w:type="gramStart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as</w:t>
      </w:r>
      <w:proofErr w:type="gramEnd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restrições de acesso e divulgação associados.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4.6.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Treinamento e Conscientização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4.6.1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 Política de Segurança da Informação do SGSI deve ser difundida a todos os Usuários que, por algum motivo interajam com o ambiente do CPD, por um processo permanente de conscientização e treinamentos de segurança da informação.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4.6.2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Cada titular de unidade do STJ deve garantir que os Usuários sob sua responsabilidade possuam a capacitação mínima necessária à utilização dos recursos de informática, processos e informações.</w:t>
      </w:r>
    </w:p>
    <w:p w:rsidR="00752C00" w:rsidRPr="00752C00" w:rsidRDefault="00752C00" w:rsidP="00752C00">
      <w:pPr>
        <w:spacing w:before="240" w:after="60" w:line="240" w:lineRule="auto"/>
        <w:ind w:left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4.7.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Continuidade de Negócios</w:t>
      </w:r>
    </w:p>
    <w:p w:rsidR="00752C00" w:rsidRPr="00752C00" w:rsidRDefault="00752C00" w:rsidP="00752C00">
      <w:pPr>
        <w:spacing w:before="120" w:after="6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C00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4.7.1</w:t>
      </w:r>
      <w:r w:rsidRPr="00752C00">
        <w:rPr>
          <w:rFonts w:ascii="Times New Roman" w:eastAsia="Arial" w:hAnsi="Times New Roman" w:cs="Times New Roman"/>
          <w:b/>
          <w:bCs/>
          <w:color w:val="000000"/>
          <w:sz w:val="14"/>
          <w:szCs w:val="14"/>
          <w:lang w:eastAsia="pt-BR"/>
        </w:rPr>
        <w:t xml:space="preserve">          </w:t>
      </w:r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Um processo de gestão da continuidade do negócio deve ser </w:t>
      </w:r>
      <w:proofErr w:type="gramStart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implementado</w:t>
      </w:r>
      <w:proofErr w:type="gramEnd"/>
      <w:r w:rsidRPr="00752C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, mantido e periodicamente testado, visando reduzir, a um nível aceitável a possibilidade de interrupção do negócio causada por desastres ou falhas nos recursos de informática, que suportam os processos e as informações do STJ.</w:t>
      </w:r>
    </w:p>
    <w:p w:rsidR="00752C00" w:rsidRPr="00752C00" w:rsidRDefault="00752C00" w:rsidP="0075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C0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F664C" w:rsidRDefault="00DF664C">
      <w:bookmarkStart w:id="28" w:name="_GoBack"/>
      <w:bookmarkEnd w:id="28"/>
    </w:p>
    <w:sectPr w:rsidR="00DF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00"/>
    <w:rsid w:val="00752C00"/>
    <w:rsid w:val="00D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2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2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C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2C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2C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ompanyname">
    <w:name w:val="companyname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C00"/>
    <w:rPr>
      <w:b/>
      <w:bCs/>
    </w:rPr>
  </w:style>
  <w:style w:type="paragraph" w:customStyle="1" w:styleId="subtitlecover">
    <w:name w:val="subtitlecover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coverssombra">
    <w:name w:val="titlecoverssombra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752C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52C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2C00"/>
    <w:rPr>
      <w:color w:val="0000FF"/>
      <w:u w:val="single"/>
    </w:rPr>
  </w:style>
  <w:style w:type="paragraph" w:styleId="Sumrio1">
    <w:name w:val="toc 1"/>
    <w:basedOn w:val="Normal"/>
    <w:autoRedefine/>
    <w:uiPriority w:val="3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2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2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C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2C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2C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ompanyname">
    <w:name w:val="companyname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C00"/>
    <w:rPr>
      <w:b/>
      <w:bCs/>
    </w:rPr>
  </w:style>
  <w:style w:type="paragraph" w:customStyle="1" w:styleId="subtitlecover">
    <w:name w:val="subtitlecover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coverssombra">
    <w:name w:val="titlecoverssombra"/>
    <w:basedOn w:val="Normal"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752C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52C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2C00"/>
    <w:rPr>
      <w:color w:val="0000FF"/>
      <w:u w:val="single"/>
    </w:rPr>
  </w:style>
  <w:style w:type="paragraph" w:styleId="Sumrio1">
    <w:name w:val="toc 1"/>
    <w:basedOn w:val="Normal"/>
    <w:autoRedefine/>
    <w:uiPriority w:val="39"/>
    <w:semiHidden/>
    <w:unhideWhenUsed/>
    <w:rsid w:val="0075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370">
          <w:marLeft w:val="0"/>
          <w:marRight w:val="0"/>
          <w:marTop w:val="0"/>
          <w:marBottom w:val="0"/>
          <w:divBdr>
            <w:top w:val="single" w:sz="6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943">
          <w:marLeft w:val="0"/>
          <w:marRight w:val="0"/>
          <w:marTop w:val="0"/>
          <w:marBottom w:val="0"/>
          <w:divBdr>
            <w:top w:val="single" w:sz="6" w:space="31" w:color="FFFFFF"/>
            <w:left w:val="single" w:sz="6" w:space="31" w:color="FFFFFF"/>
            <w:bottom w:val="single" w:sz="6" w:space="31" w:color="FFFFFF"/>
            <w:right w:val="single" w:sz="6" w:space="31" w:color="FFFFFF"/>
          </w:divBdr>
        </w:div>
        <w:div w:id="497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c/modules/fckeditor/fckeditor/editor/fckeditor.html?InstanceName=oFCK_1&amp;Toolbar=DrupalFilter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c/modules/fckeditor/fckeditor/editor/fckeditor.html?InstanceName=oFCK_1&amp;Toolbar=DrupalFiltered" TargetMode="External"/><Relationship Id="rId5" Type="http://schemas.openxmlformats.org/officeDocument/2006/relationships/hyperlink" Target="http://bc/modules/fckeditor/fckeditor/editor/fckeditor.html?InstanceName=oFCK_1&amp;Toolbar=DrupalFilte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Venício Alves de Oliveira</dc:creator>
  <cp:lastModifiedBy>Marco Venício Alves de Oliveira</cp:lastModifiedBy>
  <cp:revision>1</cp:revision>
  <dcterms:created xsi:type="dcterms:W3CDTF">2014-02-04T13:36:00Z</dcterms:created>
  <dcterms:modified xsi:type="dcterms:W3CDTF">2014-02-04T13:37:00Z</dcterms:modified>
</cp:coreProperties>
</file>