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33282977"/>
        <w:docPartObj>
          <w:docPartGallery w:val="Cover Pages"/>
          <w:docPartUnique/>
        </w:docPartObj>
      </w:sdtPr>
      <w:sdtEndPr>
        <w:rPr>
          <w:rFonts w:ascii="Times New Roman" w:hAnsi="Times New Roman" w:cs="Times New Roman"/>
          <w:b/>
          <w:sz w:val="28"/>
        </w:rPr>
      </w:sdtEndPr>
      <w:sdtContent>
        <w:p w14:paraId="19303E41" w14:textId="6A4B4200" w:rsidR="00F0155F" w:rsidRDefault="00F0155F"/>
        <w:p w14:paraId="2BAA4DD4" w14:textId="77777777" w:rsidR="00F0155F" w:rsidRDefault="00F0155F">
          <w:pPr>
            <w:rPr>
              <w:rFonts w:ascii="Times New Roman" w:hAnsi="Times New Roman" w:cs="Times New Roman"/>
              <w:b/>
              <w:sz w:val="28"/>
            </w:rPr>
          </w:pPr>
        </w:p>
        <w:p w14:paraId="3F787D1B" w14:textId="77777777" w:rsidR="00F0155F" w:rsidRDefault="00F0155F">
          <w:pPr>
            <w:rPr>
              <w:rFonts w:ascii="Times New Roman" w:hAnsi="Times New Roman" w:cs="Times New Roman"/>
              <w:b/>
              <w:sz w:val="28"/>
            </w:rPr>
          </w:pPr>
        </w:p>
        <w:p w14:paraId="0C644C67" w14:textId="2E373361" w:rsidR="00F0155F" w:rsidRDefault="00F0155F">
          <w:pPr>
            <w:rPr>
              <w:rFonts w:ascii="Times New Roman" w:hAnsi="Times New Roman" w:cs="Times New Roman"/>
              <w:b/>
              <w:sz w:val="28"/>
            </w:rPr>
          </w:pPr>
        </w:p>
        <w:p w14:paraId="34BBBA38" w14:textId="1ABDCA7B" w:rsidR="00F0155F" w:rsidRPr="00F0155F" w:rsidRDefault="00F0155F" w:rsidP="00F0155F">
          <w:pPr>
            <w:jc w:val="center"/>
            <w:rPr>
              <w:rFonts w:ascii="Times New Roman" w:hAnsi="Times New Roman" w:cs="Times New Roman"/>
              <w:b/>
              <w:bCs/>
              <w:sz w:val="72"/>
              <w:szCs w:val="28"/>
            </w:rPr>
          </w:pPr>
          <w:r w:rsidRPr="00F0155F">
            <w:rPr>
              <w:rFonts w:ascii="Times New Roman" w:hAnsi="Times New Roman" w:cs="Times New Roman"/>
              <w:b/>
              <w:bCs/>
              <w:sz w:val="72"/>
              <w:szCs w:val="28"/>
            </w:rPr>
            <w:t>Mémoire</w:t>
          </w:r>
        </w:p>
        <w:p w14:paraId="7E0DA067" w14:textId="77777777" w:rsidR="00F0155F" w:rsidRDefault="00F0155F" w:rsidP="00F0155F">
          <w:pPr>
            <w:jc w:val="center"/>
            <w:rPr>
              <w:rFonts w:ascii="Times New Roman" w:hAnsi="Times New Roman" w:cs="Times New Roman"/>
              <w:b/>
              <w:bCs/>
              <w:sz w:val="56"/>
              <w:szCs w:val="28"/>
            </w:rPr>
          </w:pPr>
        </w:p>
        <w:p w14:paraId="410A2997" w14:textId="77777777" w:rsidR="00F0155F" w:rsidRPr="00F0155F" w:rsidRDefault="00F0155F" w:rsidP="00F0155F">
          <w:pPr>
            <w:jc w:val="center"/>
            <w:rPr>
              <w:rFonts w:ascii="Times New Roman" w:hAnsi="Times New Roman" w:cs="Times New Roman"/>
              <w:b/>
              <w:bCs/>
              <w:sz w:val="56"/>
              <w:szCs w:val="28"/>
            </w:rPr>
          </w:pPr>
          <w:r w:rsidRPr="00F0155F">
            <w:rPr>
              <w:rFonts w:ascii="Times New Roman" w:hAnsi="Times New Roman" w:cs="Times New Roman"/>
              <w:bCs/>
              <w:sz w:val="40"/>
              <w:szCs w:val="28"/>
            </w:rPr>
            <w:t>Master 1 Economie Appliquée parcours MASERATI</w:t>
          </w:r>
        </w:p>
        <w:p w14:paraId="2E92561F" w14:textId="78FCCAA7" w:rsidR="00F0155F" w:rsidRPr="00F0155F" w:rsidRDefault="00F0155F" w:rsidP="00F0155F">
          <w:pPr>
            <w:jc w:val="center"/>
            <w:rPr>
              <w:rFonts w:ascii="Times New Roman" w:hAnsi="Times New Roman" w:cs="Times New Roman"/>
              <w:sz w:val="32"/>
              <w:u w:val="single"/>
            </w:rPr>
          </w:pPr>
          <w:r w:rsidRPr="00F0155F">
            <w:rPr>
              <w:rFonts w:ascii="Times New Roman" w:hAnsi="Times New Roman" w:cs="Times New Roman"/>
              <w:sz w:val="32"/>
              <w:u w:val="single"/>
            </w:rPr>
            <w:t>Impact des politiques publiques en matière de transition énergétique sur la rentabilité du secteur du transport en Ile-de-France</w:t>
          </w:r>
        </w:p>
        <w:p w14:paraId="3EFE9F5B" w14:textId="77777777" w:rsidR="00F0155F" w:rsidRDefault="00F0155F">
          <w:pPr>
            <w:rPr>
              <w:rFonts w:ascii="Times New Roman" w:hAnsi="Times New Roman" w:cs="Times New Roman"/>
              <w:b/>
              <w:sz w:val="28"/>
            </w:rPr>
          </w:pPr>
        </w:p>
        <w:p w14:paraId="174F620E" w14:textId="77777777" w:rsidR="00F0155F" w:rsidRDefault="00F0155F">
          <w:pPr>
            <w:rPr>
              <w:rFonts w:ascii="Times New Roman" w:hAnsi="Times New Roman" w:cs="Times New Roman"/>
              <w:b/>
              <w:sz w:val="28"/>
            </w:rPr>
          </w:pPr>
        </w:p>
        <w:p w14:paraId="0BF8DC9D" w14:textId="77777777" w:rsidR="00F0155F" w:rsidRDefault="00F0155F" w:rsidP="00F0155F">
          <w:pPr>
            <w:jc w:val="center"/>
            <w:rPr>
              <w:rFonts w:ascii="Times New Roman" w:hAnsi="Times New Roman" w:cs="Times New Roman"/>
              <w:bCs/>
              <w:sz w:val="36"/>
              <w:szCs w:val="28"/>
            </w:rPr>
          </w:pPr>
          <w:r>
            <w:rPr>
              <w:rFonts w:ascii="Times New Roman" w:hAnsi="Times New Roman" w:cs="Times New Roman"/>
              <w:bCs/>
              <w:sz w:val="36"/>
              <w:szCs w:val="28"/>
            </w:rPr>
            <w:t>LAFLEUR Ednie Emmanuelle</w:t>
          </w:r>
        </w:p>
        <w:p w14:paraId="19011B2A" w14:textId="0F6EC889" w:rsidR="00F0155F" w:rsidRDefault="00F0155F" w:rsidP="00F0155F">
          <w:pPr>
            <w:jc w:val="center"/>
            <w:rPr>
              <w:rFonts w:ascii="Times New Roman" w:hAnsi="Times New Roman" w:cs="Times New Roman"/>
              <w:bCs/>
              <w:sz w:val="36"/>
              <w:szCs w:val="28"/>
            </w:rPr>
          </w:pPr>
          <w:r>
            <w:rPr>
              <w:rFonts w:ascii="Times New Roman" w:hAnsi="Times New Roman" w:cs="Times New Roman"/>
              <w:bCs/>
              <w:sz w:val="36"/>
              <w:szCs w:val="28"/>
            </w:rPr>
            <w:t>2020-2021</w:t>
          </w:r>
        </w:p>
        <w:p w14:paraId="417E272A" w14:textId="280FE785" w:rsidR="00F0155F" w:rsidRDefault="00F0155F" w:rsidP="00F0155F">
          <w:pPr>
            <w:jc w:val="center"/>
            <w:rPr>
              <w:rFonts w:ascii="Times New Roman" w:hAnsi="Times New Roman" w:cs="Times New Roman"/>
              <w:b/>
              <w:sz w:val="28"/>
            </w:rPr>
          </w:pPr>
          <w:r>
            <w:rPr>
              <w:rFonts w:ascii="Times New Roman" w:hAnsi="Times New Roman" w:cs="Times New Roman"/>
              <w:b/>
              <w:noProof/>
              <w:sz w:val="28"/>
              <w:lang w:eastAsia="fr-FR"/>
            </w:rPr>
            <w:drawing>
              <wp:anchor distT="0" distB="0" distL="114300" distR="114300" simplePos="0" relativeHeight="251658240" behindDoc="1" locked="0" layoutInCell="1" allowOverlap="1" wp14:anchorId="32492994" wp14:editId="7DACA589">
                <wp:simplePos x="0" y="0"/>
                <wp:positionH relativeFrom="margin">
                  <wp:align>center</wp:align>
                </wp:positionH>
                <wp:positionV relativeFrom="paragraph">
                  <wp:posOffset>769197</wp:posOffset>
                </wp:positionV>
                <wp:extent cx="2895600" cy="1466362"/>
                <wp:effectExtent l="0" t="0" r="0" b="635"/>
                <wp:wrapTight wrapText="bothSides">
                  <wp:wrapPolygon edited="0">
                    <wp:start x="0" y="0"/>
                    <wp:lineTo x="0" y="21329"/>
                    <wp:lineTo x="21458" y="21329"/>
                    <wp:lineTo x="21458" y="0"/>
                    <wp:lineTo x="0" y="0"/>
                  </wp:wrapPolygon>
                </wp:wrapTight>
                <wp:docPr id="9" name="Picture 9" descr="C:\Users\marosemond\Downloads\WhatsApp Image 2021-05-03 at 09.54.3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osemond\Downloads\WhatsApp Image 2021-05-03 at 09.54.34.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95600" cy="1466362"/>
                        </a:xfrm>
                        <a:prstGeom prst="rect">
                          <a:avLst/>
                        </a:prstGeom>
                        <a:noFill/>
                        <a:ln>
                          <a:noFill/>
                        </a:ln>
                      </pic:spPr>
                    </pic:pic>
                  </a:graphicData>
                </a:graphic>
              </wp:anchor>
            </w:drawing>
          </w:r>
          <w:r>
            <w:rPr>
              <w:rFonts w:ascii="Times New Roman" w:hAnsi="Times New Roman" w:cs="Times New Roman"/>
              <w:b/>
              <w:sz w:val="28"/>
            </w:rPr>
            <w:br w:type="page"/>
          </w:r>
        </w:p>
      </w:sdtContent>
    </w:sdt>
    <w:p w14:paraId="61F55479" w14:textId="77777777" w:rsidR="00343426" w:rsidRDefault="00343426">
      <w:pPr>
        <w:rPr>
          <w:rFonts w:ascii="Times New Roman" w:hAnsi="Times New Roman" w:cs="Times New Roman"/>
          <w:b/>
          <w:sz w:val="28"/>
        </w:rPr>
      </w:pPr>
    </w:p>
    <w:p w14:paraId="7E3A1615" w14:textId="77777777" w:rsidR="00343426" w:rsidRDefault="00343426">
      <w:pPr>
        <w:rPr>
          <w:rFonts w:ascii="Times New Roman" w:hAnsi="Times New Roman" w:cs="Times New Roman"/>
          <w:b/>
          <w:sz w:val="28"/>
        </w:rPr>
      </w:pPr>
    </w:p>
    <w:p w14:paraId="156E2E66" w14:textId="77777777" w:rsidR="00343426" w:rsidRDefault="00343426">
      <w:pPr>
        <w:rPr>
          <w:rFonts w:ascii="Times New Roman" w:hAnsi="Times New Roman" w:cs="Times New Roman"/>
          <w:b/>
          <w:sz w:val="28"/>
        </w:rPr>
      </w:pPr>
    </w:p>
    <w:p w14:paraId="3EF6C1D1" w14:textId="77777777" w:rsidR="00343426" w:rsidRDefault="00343426">
      <w:pPr>
        <w:rPr>
          <w:rFonts w:ascii="Times New Roman" w:hAnsi="Times New Roman" w:cs="Times New Roman"/>
          <w:b/>
          <w:sz w:val="28"/>
        </w:rPr>
      </w:pPr>
    </w:p>
    <w:p w14:paraId="1B7642B3" w14:textId="77777777" w:rsidR="00343426" w:rsidRDefault="00343426">
      <w:pPr>
        <w:rPr>
          <w:rFonts w:ascii="Times New Roman" w:hAnsi="Times New Roman" w:cs="Times New Roman"/>
          <w:b/>
          <w:sz w:val="28"/>
        </w:rPr>
      </w:pPr>
    </w:p>
    <w:p w14:paraId="22E9835A" w14:textId="77777777" w:rsidR="00343426" w:rsidRDefault="00343426">
      <w:pPr>
        <w:rPr>
          <w:rFonts w:ascii="Times New Roman" w:hAnsi="Times New Roman" w:cs="Times New Roman"/>
          <w:b/>
          <w:sz w:val="28"/>
        </w:rPr>
      </w:pPr>
    </w:p>
    <w:p w14:paraId="7360E19E" w14:textId="77777777" w:rsidR="00343426" w:rsidRDefault="00343426">
      <w:pPr>
        <w:rPr>
          <w:rFonts w:ascii="Times New Roman" w:hAnsi="Times New Roman" w:cs="Times New Roman"/>
          <w:b/>
          <w:sz w:val="28"/>
        </w:rPr>
      </w:pPr>
    </w:p>
    <w:p w14:paraId="66BC6701" w14:textId="77777777" w:rsidR="00343426" w:rsidRDefault="00343426">
      <w:pPr>
        <w:rPr>
          <w:rFonts w:ascii="Times New Roman" w:hAnsi="Times New Roman" w:cs="Times New Roman"/>
          <w:b/>
          <w:sz w:val="28"/>
        </w:rPr>
      </w:pPr>
    </w:p>
    <w:p w14:paraId="64C86DE6" w14:textId="77777777" w:rsidR="00343426" w:rsidRDefault="00343426">
      <w:pPr>
        <w:rPr>
          <w:rFonts w:ascii="Times New Roman" w:hAnsi="Times New Roman" w:cs="Times New Roman"/>
          <w:b/>
          <w:sz w:val="28"/>
        </w:rPr>
      </w:pPr>
    </w:p>
    <w:p w14:paraId="782CF6E7" w14:textId="77777777" w:rsidR="00343426" w:rsidRDefault="00343426">
      <w:pPr>
        <w:rPr>
          <w:rFonts w:ascii="Times New Roman" w:hAnsi="Times New Roman" w:cs="Times New Roman"/>
          <w:b/>
          <w:sz w:val="28"/>
        </w:rPr>
      </w:pPr>
    </w:p>
    <w:p w14:paraId="700900C3" w14:textId="77777777" w:rsidR="00343426" w:rsidRDefault="00343426">
      <w:pPr>
        <w:rPr>
          <w:rFonts w:ascii="Times New Roman" w:hAnsi="Times New Roman" w:cs="Times New Roman"/>
          <w:b/>
          <w:sz w:val="28"/>
        </w:rPr>
      </w:pPr>
    </w:p>
    <w:p w14:paraId="246F3AFE" w14:textId="77777777" w:rsidR="00343426" w:rsidRDefault="00343426">
      <w:pPr>
        <w:rPr>
          <w:rFonts w:ascii="Times New Roman" w:hAnsi="Times New Roman" w:cs="Times New Roman"/>
          <w:b/>
          <w:sz w:val="28"/>
        </w:rPr>
      </w:pPr>
    </w:p>
    <w:p w14:paraId="5A36E961" w14:textId="77777777" w:rsidR="00343426" w:rsidRDefault="00343426">
      <w:pPr>
        <w:rPr>
          <w:rFonts w:ascii="Times New Roman" w:hAnsi="Times New Roman" w:cs="Times New Roman"/>
          <w:b/>
          <w:sz w:val="28"/>
        </w:rPr>
      </w:pPr>
    </w:p>
    <w:p w14:paraId="07A4168B" w14:textId="63D251E7" w:rsidR="00343426" w:rsidRDefault="00343426">
      <w:pPr>
        <w:rPr>
          <w:rFonts w:ascii="Times New Roman" w:hAnsi="Times New Roman" w:cs="Times New Roman"/>
          <w:b/>
          <w:sz w:val="28"/>
        </w:rPr>
      </w:pPr>
    </w:p>
    <w:p w14:paraId="169D0414" w14:textId="20B24218" w:rsidR="001E3708" w:rsidRDefault="001E3708">
      <w:pPr>
        <w:rPr>
          <w:rFonts w:ascii="Times New Roman" w:hAnsi="Times New Roman" w:cs="Times New Roman"/>
          <w:b/>
          <w:sz w:val="28"/>
        </w:rPr>
      </w:pPr>
    </w:p>
    <w:p w14:paraId="719E497D" w14:textId="60763825" w:rsidR="001E3708" w:rsidRDefault="001E3708">
      <w:pPr>
        <w:rPr>
          <w:rFonts w:ascii="Times New Roman" w:hAnsi="Times New Roman" w:cs="Times New Roman"/>
          <w:b/>
          <w:sz w:val="28"/>
        </w:rPr>
      </w:pPr>
    </w:p>
    <w:p w14:paraId="3254C779" w14:textId="7975333D" w:rsidR="001E3708" w:rsidRDefault="001E3708">
      <w:pPr>
        <w:rPr>
          <w:rFonts w:ascii="Times New Roman" w:hAnsi="Times New Roman" w:cs="Times New Roman"/>
          <w:b/>
          <w:sz w:val="28"/>
        </w:rPr>
      </w:pPr>
    </w:p>
    <w:p w14:paraId="203B938A" w14:textId="2897C9A9" w:rsidR="001E3708" w:rsidRDefault="001E3708">
      <w:pPr>
        <w:rPr>
          <w:rFonts w:ascii="Times New Roman" w:hAnsi="Times New Roman" w:cs="Times New Roman"/>
          <w:b/>
          <w:sz w:val="28"/>
        </w:rPr>
      </w:pPr>
    </w:p>
    <w:p w14:paraId="62201888" w14:textId="045A05D5" w:rsidR="001E3708" w:rsidRDefault="001E3708">
      <w:pPr>
        <w:rPr>
          <w:rFonts w:ascii="Times New Roman" w:hAnsi="Times New Roman" w:cs="Times New Roman"/>
          <w:b/>
          <w:sz w:val="28"/>
        </w:rPr>
      </w:pPr>
    </w:p>
    <w:p w14:paraId="0C9E697D" w14:textId="3441A139" w:rsidR="001E3708" w:rsidRDefault="001E3708">
      <w:pPr>
        <w:rPr>
          <w:rFonts w:ascii="Times New Roman" w:hAnsi="Times New Roman" w:cs="Times New Roman"/>
          <w:b/>
          <w:sz w:val="28"/>
        </w:rPr>
      </w:pPr>
    </w:p>
    <w:p w14:paraId="54D2E61E" w14:textId="39D2E1A5" w:rsidR="001E3708" w:rsidRDefault="001E3708">
      <w:pPr>
        <w:rPr>
          <w:rFonts w:ascii="Times New Roman" w:hAnsi="Times New Roman" w:cs="Times New Roman"/>
          <w:b/>
          <w:sz w:val="28"/>
        </w:rPr>
      </w:pPr>
    </w:p>
    <w:p w14:paraId="5D5A9856" w14:textId="77931632" w:rsidR="001E3708" w:rsidRDefault="001E3708">
      <w:pPr>
        <w:rPr>
          <w:rFonts w:ascii="Times New Roman" w:hAnsi="Times New Roman" w:cs="Times New Roman"/>
          <w:b/>
          <w:sz w:val="28"/>
        </w:rPr>
      </w:pPr>
    </w:p>
    <w:p w14:paraId="60C77F23" w14:textId="77777777" w:rsidR="001E3708" w:rsidRDefault="001E3708">
      <w:pPr>
        <w:rPr>
          <w:rFonts w:ascii="Times New Roman" w:hAnsi="Times New Roman" w:cs="Times New Roman"/>
          <w:b/>
          <w:sz w:val="28"/>
        </w:rPr>
      </w:pPr>
    </w:p>
    <w:p w14:paraId="7D977D79" w14:textId="77777777" w:rsidR="00343426" w:rsidRDefault="00343426">
      <w:pPr>
        <w:rPr>
          <w:rFonts w:ascii="Times New Roman" w:hAnsi="Times New Roman" w:cs="Times New Roman"/>
          <w:b/>
          <w:sz w:val="28"/>
        </w:rPr>
      </w:pPr>
    </w:p>
    <w:p w14:paraId="3C398E26" w14:textId="77777777" w:rsidR="00071463" w:rsidRDefault="00071463">
      <w:pPr>
        <w:rPr>
          <w:rFonts w:ascii="Times New Roman" w:hAnsi="Times New Roman" w:cs="Times New Roman"/>
          <w:b/>
          <w:sz w:val="28"/>
        </w:rPr>
      </w:pPr>
    </w:p>
    <w:bookmarkStart w:id="0" w:name="_Hlk70961982" w:displacedByCustomXml="next"/>
    <w:sdt>
      <w:sdtPr>
        <w:rPr>
          <w:rFonts w:asciiTheme="minorHAnsi" w:eastAsia="MS Mincho" w:hAnsiTheme="minorHAnsi" w:cstheme="minorBidi"/>
          <w:color w:val="auto"/>
          <w:sz w:val="22"/>
          <w:szCs w:val="22"/>
          <w:lang w:val="fr-FR"/>
        </w:rPr>
        <w:id w:val="1015344787"/>
        <w:docPartObj>
          <w:docPartGallery w:val="Table of Contents"/>
          <w:docPartUnique/>
        </w:docPartObj>
      </w:sdtPr>
      <w:sdtEndPr>
        <w:rPr>
          <w:b/>
          <w:bCs/>
          <w:noProof/>
        </w:rPr>
      </w:sdtEndPr>
      <w:sdtContent>
        <w:p w14:paraId="51C6CD8B" w14:textId="368556E7" w:rsidR="00103218" w:rsidRPr="00583712" w:rsidRDefault="00103218">
          <w:pPr>
            <w:pStyle w:val="En-ttedetabledesmatires"/>
            <w:rPr>
              <w:rFonts w:ascii="Times New Roman" w:hAnsi="Times New Roman" w:cs="Times New Roman"/>
              <w:b/>
              <w:bCs/>
              <w:sz w:val="24"/>
              <w:szCs w:val="24"/>
              <w:lang w:val="fr-FR"/>
            </w:rPr>
          </w:pPr>
          <w:r w:rsidRPr="00583712">
            <w:rPr>
              <w:rFonts w:ascii="Times New Roman" w:hAnsi="Times New Roman" w:cs="Times New Roman"/>
              <w:b/>
              <w:bCs/>
              <w:sz w:val="24"/>
              <w:szCs w:val="24"/>
              <w:lang w:val="fr-FR"/>
            </w:rPr>
            <w:t xml:space="preserve">Table des matières </w:t>
          </w:r>
        </w:p>
        <w:p w14:paraId="2220379C" w14:textId="60DE175B" w:rsidR="0055443C" w:rsidRPr="00DE49C9" w:rsidRDefault="00103218">
          <w:pPr>
            <w:pStyle w:val="TM1"/>
            <w:tabs>
              <w:tab w:val="left" w:pos="440"/>
              <w:tab w:val="right" w:leader="dot" w:pos="9350"/>
            </w:tabs>
            <w:rPr>
              <w:rFonts w:ascii="Times New Roman" w:eastAsiaTheme="minorEastAsia" w:hAnsi="Times New Roman" w:cs="Times New Roman"/>
              <w:noProof/>
              <w:sz w:val="24"/>
              <w:szCs w:val="24"/>
              <w:lang w:eastAsia="fr-FR"/>
            </w:rPr>
          </w:pPr>
          <w:r w:rsidRPr="00DE49C9">
            <w:rPr>
              <w:rFonts w:ascii="Times New Roman" w:hAnsi="Times New Roman" w:cs="Times New Roman"/>
              <w:sz w:val="24"/>
              <w:szCs w:val="24"/>
            </w:rPr>
            <w:fldChar w:fldCharType="begin"/>
          </w:r>
          <w:r w:rsidRPr="00DE49C9">
            <w:rPr>
              <w:rFonts w:ascii="Times New Roman" w:hAnsi="Times New Roman" w:cs="Times New Roman"/>
              <w:sz w:val="24"/>
              <w:szCs w:val="24"/>
            </w:rPr>
            <w:instrText xml:space="preserve"> TOC \o "1-3" \h \z \u </w:instrText>
          </w:r>
          <w:r w:rsidRPr="00DE49C9">
            <w:rPr>
              <w:rFonts w:ascii="Times New Roman" w:hAnsi="Times New Roman" w:cs="Times New Roman"/>
              <w:sz w:val="24"/>
              <w:szCs w:val="24"/>
            </w:rPr>
            <w:fldChar w:fldCharType="separate"/>
          </w:r>
          <w:hyperlink w:anchor="_Toc70937399" w:history="1">
            <w:r w:rsidR="0055443C" w:rsidRPr="00DE49C9">
              <w:rPr>
                <w:rStyle w:val="Lienhypertexte"/>
                <w:rFonts w:ascii="Times New Roman" w:hAnsi="Times New Roman" w:cs="Times New Roman"/>
                <w:noProof/>
                <w:sz w:val="24"/>
                <w:szCs w:val="24"/>
              </w:rPr>
              <w:t>1.</w:t>
            </w:r>
            <w:r w:rsidR="0055443C" w:rsidRPr="00DE49C9">
              <w:rPr>
                <w:rFonts w:ascii="Times New Roman" w:eastAsiaTheme="minorEastAsia" w:hAnsi="Times New Roman" w:cs="Times New Roman"/>
                <w:noProof/>
                <w:sz w:val="24"/>
                <w:szCs w:val="24"/>
                <w:lang w:eastAsia="fr-FR"/>
              </w:rPr>
              <w:tab/>
            </w:r>
            <w:r w:rsidR="0055443C" w:rsidRPr="00DE49C9">
              <w:rPr>
                <w:rStyle w:val="Lienhypertexte"/>
                <w:rFonts w:ascii="Times New Roman" w:hAnsi="Times New Roman" w:cs="Times New Roman"/>
                <w:noProof/>
                <w:sz w:val="24"/>
                <w:szCs w:val="24"/>
              </w:rPr>
              <w:t>Introduction générale</w:t>
            </w:r>
            <w:r w:rsidR="0055443C" w:rsidRPr="00DE49C9">
              <w:rPr>
                <w:rFonts w:ascii="Times New Roman" w:hAnsi="Times New Roman" w:cs="Times New Roman"/>
                <w:noProof/>
                <w:webHidden/>
                <w:sz w:val="24"/>
                <w:szCs w:val="24"/>
              </w:rPr>
              <w:tab/>
            </w:r>
            <w:r w:rsidR="0055443C" w:rsidRPr="00DE49C9">
              <w:rPr>
                <w:rFonts w:ascii="Times New Roman" w:hAnsi="Times New Roman" w:cs="Times New Roman"/>
                <w:noProof/>
                <w:webHidden/>
                <w:sz w:val="24"/>
                <w:szCs w:val="24"/>
              </w:rPr>
              <w:fldChar w:fldCharType="begin"/>
            </w:r>
            <w:r w:rsidR="0055443C" w:rsidRPr="00DE49C9">
              <w:rPr>
                <w:rFonts w:ascii="Times New Roman" w:hAnsi="Times New Roman" w:cs="Times New Roman"/>
                <w:noProof/>
                <w:webHidden/>
                <w:sz w:val="24"/>
                <w:szCs w:val="24"/>
              </w:rPr>
              <w:instrText xml:space="preserve"> PAGEREF _Toc70937399 \h </w:instrText>
            </w:r>
            <w:r w:rsidR="0055443C" w:rsidRPr="00DE49C9">
              <w:rPr>
                <w:rFonts w:ascii="Times New Roman" w:hAnsi="Times New Roman" w:cs="Times New Roman"/>
                <w:noProof/>
                <w:webHidden/>
                <w:sz w:val="24"/>
                <w:szCs w:val="24"/>
              </w:rPr>
            </w:r>
            <w:r w:rsidR="0055443C" w:rsidRPr="00DE49C9">
              <w:rPr>
                <w:rFonts w:ascii="Times New Roman" w:hAnsi="Times New Roman" w:cs="Times New Roman"/>
                <w:noProof/>
                <w:webHidden/>
                <w:sz w:val="24"/>
                <w:szCs w:val="24"/>
              </w:rPr>
              <w:fldChar w:fldCharType="separate"/>
            </w:r>
            <w:r w:rsidR="001B2791">
              <w:rPr>
                <w:rFonts w:ascii="Times New Roman" w:hAnsi="Times New Roman" w:cs="Times New Roman"/>
                <w:noProof/>
                <w:webHidden/>
                <w:sz w:val="24"/>
                <w:szCs w:val="24"/>
              </w:rPr>
              <w:t>1</w:t>
            </w:r>
            <w:r w:rsidR="0055443C" w:rsidRPr="00DE49C9">
              <w:rPr>
                <w:rFonts w:ascii="Times New Roman" w:hAnsi="Times New Roman" w:cs="Times New Roman"/>
                <w:noProof/>
                <w:webHidden/>
                <w:sz w:val="24"/>
                <w:szCs w:val="24"/>
              </w:rPr>
              <w:fldChar w:fldCharType="end"/>
            </w:r>
          </w:hyperlink>
        </w:p>
        <w:p w14:paraId="49022181" w14:textId="4BAC2A54" w:rsidR="0055443C" w:rsidRPr="00DE49C9" w:rsidRDefault="000C4BE8">
          <w:pPr>
            <w:pStyle w:val="TM1"/>
            <w:tabs>
              <w:tab w:val="right" w:leader="dot" w:pos="9350"/>
            </w:tabs>
            <w:rPr>
              <w:rFonts w:ascii="Times New Roman" w:eastAsiaTheme="minorEastAsia" w:hAnsi="Times New Roman" w:cs="Times New Roman"/>
              <w:noProof/>
              <w:sz w:val="24"/>
              <w:szCs w:val="24"/>
              <w:lang w:eastAsia="fr-FR"/>
            </w:rPr>
          </w:pPr>
          <w:hyperlink w:anchor="_Toc70937400" w:history="1">
            <w:r w:rsidR="0055443C" w:rsidRPr="00DE49C9">
              <w:rPr>
                <w:rStyle w:val="Lienhypertexte"/>
                <w:rFonts w:ascii="Times New Roman" w:hAnsi="Times New Roman" w:cs="Times New Roman"/>
                <w:noProof/>
                <w:sz w:val="24"/>
                <w:szCs w:val="24"/>
              </w:rPr>
              <w:t>2. Revue de littérature théorique</w:t>
            </w:r>
            <w:r w:rsidR="0055443C" w:rsidRPr="00DE49C9">
              <w:rPr>
                <w:rFonts w:ascii="Times New Roman" w:hAnsi="Times New Roman" w:cs="Times New Roman"/>
                <w:noProof/>
                <w:webHidden/>
                <w:sz w:val="24"/>
                <w:szCs w:val="24"/>
              </w:rPr>
              <w:tab/>
            </w:r>
            <w:r w:rsidR="0055443C" w:rsidRPr="00DE49C9">
              <w:rPr>
                <w:rFonts w:ascii="Times New Roman" w:hAnsi="Times New Roman" w:cs="Times New Roman"/>
                <w:noProof/>
                <w:webHidden/>
                <w:sz w:val="24"/>
                <w:szCs w:val="24"/>
              </w:rPr>
              <w:fldChar w:fldCharType="begin"/>
            </w:r>
            <w:r w:rsidR="0055443C" w:rsidRPr="00DE49C9">
              <w:rPr>
                <w:rFonts w:ascii="Times New Roman" w:hAnsi="Times New Roman" w:cs="Times New Roman"/>
                <w:noProof/>
                <w:webHidden/>
                <w:sz w:val="24"/>
                <w:szCs w:val="24"/>
              </w:rPr>
              <w:instrText xml:space="preserve"> PAGEREF _Toc70937400 \h </w:instrText>
            </w:r>
            <w:r w:rsidR="0055443C" w:rsidRPr="00DE49C9">
              <w:rPr>
                <w:rFonts w:ascii="Times New Roman" w:hAnsi="Times New Roman" w:cs="Times New Roman"/>
                <w:noProof/>
                <w:webHidden/>
                <w:sz w:val="24"/>
                <w:szCs w:val="24"/>
              </w:rPr>
            </w:r>
            <w:r w:rsidR="0055443C" w:rsidRPr="00DE49C9">
              <w:rPr>
                <w:rFonts w:ascii="Times New Roman" w:hAnsi="Times New Roman" w:cs="Times New Roman"/>
                <w:noProof/>
                <w:webHidden/>
                <w:sz w:val="24"/>
                <w:szCs w:val="24"/>
              </w:rPr>
              <w:fldChar w:fldCharType="separate"/>
            </w:r>
            <w:r w:rsidR="001B2791">
              <w:rPr>
                <w:rFonts w:ascii="Times New Roman" w:hAnsi="Times New Roman" w:cs="Times New Roman"/>
                <w:noProof/>
                <w:webHidden/>
                <w:sz w:val="24"/>
                <w:szCs w:val="24"/>
              </w:rPr>
              <w:t>2</w:t>
            </w:r>
            <w:r w:rsidR="0055443C" w:rsidRPr="00DE49C9">
              <w:rPr>
                <w:rFonts w:ascii="Times New Roman" w:hAnsi="Times New Roman" w:cs="Times New Roman"/>
                <w:noProof/>
                <w:webHidden/>
                <w:sz w:val="24"/>
                <w:szCs w:val="24"/>
              </w:rPr>
              <w:fldChar w:fldCharType="end"/>
            </w:r>
          </w:hyperlink>
        </w:p>
        <w:p w14:paraId="71CC36CA" w14:textId="174F05E7" w:rsidR="0055443C" w:rsidRPr="00DE49C9" w:rsidRDefault="000C4BE8">
          <w:pPr>
            <w:pStyle w:val="TM1"/>
            <w:tabs>
              <w:tab w:val="right" w:leader="dot" w:pos="9350"/>
            </w:tabs>
            <w:rPr>
              <w:rFonts w:ascii="Times New Roman" w:eastAsiaTheme="minorEastAsia" w:hAnsi="Times New Roman" w:cs="Times New Roman"/>
              <w:noProof/>
              <w:sz w:val="24"/>
              <w:szCs w:val="24"/>
              <w:lang w:eastAsia="fr-FR"/>
            </w:rPr>
          </w:pPr>
          <w:hyperlink w:anchor="_Toc70937401" w:history="1">
            <w:r w:rsidR="0055443C" w:rsidRPr="00DE49C9">
              <w:rPr>
                <w:rStyle w:val="Lienhypertexte"/>
                <w:rFonts w:ascii="Times New Roman" w:hAnsi="Times New Roman" w:cs="Times New Roman"/>
                <w:noProof/>
                <w:sz w:val="24"/>
                <w:szCs w:val="24"/>
              </w:rPr>
              <w:t>3. Revue de littérature empirique</w:t>
            </w:r>
            <w:r w:rsidR="0055443C" w:rsidRPr="00DE49C9">
              <w:rPr>
                <w:rFonts w:ascii="Times New Roman" w:hAnsi="Times New Roman" w:cs="Times New Roman"/>
                <w:noProof/>
                <w:webHidden/>
                <w:sz w:val="24"/>
                <w:szCs w:val="24"/>
              </w:rPr>
              <w:tab/>
            </w:r>
            <w:r w:rsidR="0055443C" w:rsidRPr="00DE49C9">
              <w:rPr>
                <w:rFonts w:ascii="Times New Roman" w:hAnsi="Times New Roman" w:cs="Times New Roman"/>
                <w:noProof/>
                <w:webHidden/>
                <w:sz w:val="24"/>
                <w:szCs w:val="24"/>
              </w:rPr>
              <w:fldChar w:fldCharType="begin"/>
            </w:r>
            <w:r w:rsidR="0055443C" w:rsidRPr="00DE49C9">
              <w:rPr>
                <w:rFonts w:ascii="Times New Roman" w:hAnsi="Times New Roman" w:cs="Times New Roman"/>
                <w:noProof/>
                <w:webHidden/>
                <w:sz w:val="24"/>
                <w:szCs w:val="24"/>
              </w:rPr>
              <w:instrText xml:space="preserve"> PAGEREF _Toc70937401 \h </w:instrText>
            </w:r>
            <w:r w:rsidR="0055443C" w:rsidRPr="00DE49C9">
              <w:rPr>
                <w:rFonts w:ascii="Times New Roman" w:hAnsi="Times New Roman" w:cs="Times New Roman"/>
                <w:noProof/>
                <w:webHidden/>
                <w:sz w:val="24"/>
                <w:szCs w:val="24"/>
              </w:rPr>
            </w:r>
            <w:r w:rsidR="0055443C" w:rsidRPr="00DE49C9">
              <w:rPr>
                <w:rFonts w:ascii="Times New Roman" w:hAnsi="Times New Roman" w:cs="Times New Roman"/>
                <w:noProof/>
                <w:webHidden/>
                <w:sz w:val="24"/>
                <w:szCs w:val="24"/>
              </w:rPr>
              <w:fldChar w:fldCharType="separate"/>
            </w:r>
            <w:r w:rsidR="001B2791">
              <w:rPr>
                <w:rFonts w:ascii="Times New Roman" w:hAnsi="Times New Roman" w:cs="Times New Roman"/>
                <w:noProof/>
                <w:webHidden/>
                <w:sz w:val="24"/>
                <w:szCs w:val="24"/>
              </w:rPr>
              <w:t>5</w:t>
            </w:r>
            <w:r w:rsidR="0055443C" w:rsidRPr="00DE49C9">
              <w:rPr>
                <w:rFonts w:ascii="Times New Roman" w:hAnsi="Times New Roman" w:cs="Times New Roman"/>
                <w:noProof/>
                <w:webHidden/>
                <w:sz w:val="24"/>
                <w:szCs w:val="24"/>
              </w:rPr>
              <w:fldChar w:fldCharType="end"/>
            </w:r>
          </w:hyperlink>
        </w:p>
        <w:p w14:paraId="425ED6EC" w14:textId="6224F64F" w:rsidR="0055443C" w:rsidRPr="00DE49C9" w:rsidRDefault="000C4BE8">
          <w:pPr>
            <w:pStyle w:val="TM1"/>
            <w:tabs>
              <w:tab w:val="right" w:leader="dot" w:pos="9350"/>
            </w:tabs>
            <w:rPr>
              <w:rFonts w:ascii="Times New Roman" w:eastAsiaTheme="minorEastAsia" w:hAnsi="Times New Roman" w:cs="Times New Roman"/>
              <w:noProof/>
              <w:sz w:val="24"/>
              <w:szCs w:val="24"/>
              <w:lang w:eastAsia="fr-FR"/>
            </w:rPr>
          </w:pPr>
          <w:hyperlink w:anchor="_Toc70937402" w:history="1">
            <w:r w:rsidR="0055443C" w:rsidRPr="00DE49C9">
              <w:rPr>
                <w:rStyle w:val="Lienhypertexte"/>
                <w:rFonts w:ascii="Times New Roman" w:hAnsi="Times New Roman" w:cs="Times New Roman"/>
                <w:noProof/>
                <w:sz w:val="24"/>
                <w:szCs w:val="24"/>
              </w:rPr>
              <w:t>4. Cadre des réglementations environnementales françaises</w:t>
            </w:r>
            <w:r w:rsidR="0055443C" w:rsidRPr="00DE49C9">
              <w:rPr>
                <w:rFonts w:ascii="Times New Roman" w:hAnsi="Times New Roman" w:cs="Times New Roman"/>
                <w:noProof/>
                <w:webHidden/>
                <w:sz w:val="24"/>
                <w:szCs w:val="24"/>
              </w:rPr>
              <w:tab/>
            </w:r>
            <w:r w:rsidR="0055443C" w:rsidRPr="00DE49C9">
              <w:rPr>
                <w:rFonts w:ascii="Times New Roman" w:hAnsi="Times New Roman" w:cs="Times New Roman"/>
                <w:noProof/>
                <w:webHidden/>
                <w:sz w:val="24"/>
                <w:szCs w:val="24"/>
              </w:rPr>
              <w:fldChar w:fldCharType="begin"/>
            </w:r>
            <w:r w:rsidR="0055443C" w:rsidRPr="00DE49C9">
              <w:rPr>
                <w:rFonts w:ascii="Times New Roman" w:hAnsi="Times New Roman" w:cs="Times New Roman"/>
                <w:noProof/>
                <w:webHidden/>
                <w:sz w:val="24"/>
                <w:szCs w:val="24"/>
              </w:rPr>
              <w:instrText xml:space="preserve"> PAGEREF _Toc70937402 \h </w:instrText>
            </w:r>
            <w:r w:rsidR="0055443C" w:rsidRPr="00DE49C9">
              <w:rPr>
                <w:rFonts w:ascii="Times New Roman" w:hAnsi="Times New Roman" w:cs="Times New Roman"/>
                <w:noProof/>
                <w:webHidden/>
                <w:sz w:val="24"/>
                <w:szCs w:val="24"/>
              </w:rPr>
            </w:r>
            <w:r w:rsidR="0055443C" w:rsidRPr="00DE49C9">
              <w:rPr>
                <w:rFonts w:ascii="Times New Roman" w:hAnsi="Times New Roman" w:cs="Times New Roman"/>
                <w:noProof/>
                <w:webHidden/>
                <w:sz w:val="24"/>
                <w:szCs w:val="24"/>
              </w:rPr>
              <w:fldChar w:fldCharType="separate"/>
            </w:r>
            <w:r w:rsidR="001B2791">
              <w:rPr>
                <w:rFonts w:ascii="Times New Roman" w:hAnsi="Times New Roman" w:cs="Times New Roman"/>
                <w:noProof/>
                <w:webHidden/>
                <w:sz w:val="24"/>
                <w:szCs w:val="24"/>
              </w:rPr>
              <w:t>8</w:t>
            </w:r>
            <w:r w:rsidR="0055443C" w:rsidRPr="00DE49C9">
              <w:rPr>
                <w:rFonts w:ascii="Times New Roman" w:hAnsi="Times New Roman" w:cs="Times New Roman"/>
                <w:noProof/>
                <w:webHidden/>
                <w:sz w:val="24"/>
                <w:szCs w:val="24"/>
              </w:rPr>
              <w:fldChar w:fldCharType="end"/>
            </w:r>
          </w:hyperlink>
        </w:p>
        <w:p w14:paraId="4B67F92B" w14:textId="7FE81549" w:rsidR="0055443C" w:rsidRPr="00DE49C9" w:rsidRDefault="000C4BE8">
          <w:pPr>
            <w:pStyle w:val="TM1"/>
            <w:tabs>
              <w:tab w:val="right" w:leader="dot" w:pos="9350"/>
            </w:tabs>
            <w:rPr>
              <w:rFonts w:ascii="Times New Roman" w:eastAsiaTheme="minorEastAsia" w:hAnsi="Times New Roman" w:cs="Times New Roman"/>
              <w:noProof/>
              <w:sz w:val="24"/>
              <w:szCs w:val="24"/>
              <w:lang w:eastAsia="fr-FR"/>
            </w:rPr>
          </w:pPr>
          <w:hyperlink w:anchor="_Toc70937403" w:history="1">
            <w:r w:rsidR="0055443C" w:rsidRPr="00DE49C9">
              <w:rPr>
                <w:rStyle w:val="Lienhypertexte"/>
                <w:rFonts w:ascii="Times New Roman" w:hAnsi="Times New Roman" w:cs="Times New Roman"/>
                <w:noProof/>
                <w:sz w:val="24"/>
                <w:szCs w:val="24"/>
              </w:rPr>
              <w:t>5. Cadre de réalisation des services publics de transport</w:t>
            </w:r>
            <w:r w:rsidR="0055443C" w:rsidRPr="00DE49C9">
              <w:rPr>
                <w:rFonts w:ascii="Times New Roman" w:hAnsi="Times New Roman" w:cs="Times New Roman"/>
                <w:noProof/>
                <w:webHidden/>
                <w:sz w:val="24"/>
                <w:szCs w:val="24"/>
              </w:rPr>
              <w:tab/>
            </w:r>
            <w:r w:rsidR="0055443C" w:rsidRPr="00DE49C9">
              <w:rPr>
                <w:rFonts w:ascii="Times New Roman" w:hAnsi="Times New Roman" w:cs="Times New Roman"/>
                <w:noProof/>
                <w:webHidden/>
                <w:sz w:val="24"/>
                <w:szCs w:val="24"/>
              </w:rPr>
              <w:fldChar w:fldCharType="begin"/>
            </w:r>
            <w:r w:rsidR="0055443C" w:rsidRPr="00DE49C9">
              <w:rPr>
                <w:rFonts w:ascii="Times New Roman" w:hAnsi="Times New Roman" w:cs="Times New Roman"/>
                <w:noProof/>
                <w:webHidden/>
                <w:sz w:val="24"/>
                <w:szCs w:val="24"/>
              </w:rPr>
              <w:instrText xml:space="preserve"> PAGEREF _Toc70937403 \h </w:instrText>
            </w:r>
            <w:r w:rsidR="0055443C" w:rsidRPr="00DE49C9">
              <w:rPr>
                <w:rFonts w:ascii="Times New Roman" w:hAnsi="Times New Roman" w:cs="Times New Roman"/>
                <w:noProof/>
                <w:webHidden/>
                <w:sz w:val="24"/>
                <w:szCs w:val="24"/>
              </w:rPr>
            </w:r>
            <w:r w:rsidR="0055443C" w:rsidRPr="00DE49C9">
              <w:rPr>
                <w:rFonts w:ascii="Times New Roman" w:hAnsi="Times New Roman" w:cs="Times New Roman"/>
                <w:noProof/>
                <w:webHidden/>
                <w:sz w:val="24"/>
                <w:szCs w:val="24"/>
              </w:rPr>
              <w:fldChar w:fldCharType="separate"/>
            </w:r>
            <w:r w:rsidR="001B2791">
              <w:rPr>
                <w:rFonts w:ascii="Times New Roman" w:hAnsi="Times New Roman" w:cs="Times New Roman"/>
                <w:noProof/>
                <w:webHidden/>
                <w:sz w:val="24"/>
                <w:szCs w:val="24"/>
              </w:rPr>
              <w:t>10</w:t>
            </w:r>
            <w:r w:rsidR="0055443C" w:rsidRPr="00DE49C9">
              <w:rPr>
                <w:rFonts w:ascii="Times New Roman" w:hAnsi="Times New Roman" w:cs="Times New Roman"/>
                <w:noProof/>
                <w:webHidden/>
                <w:sz w:val="24"/>
                <w:szCs w:val="24"/>
              </w:rPr>
              <w:fldChar w:fldCharType="end"/>
            </w:r>
          </w:hyperlink>
        </w:p>
        <w:p w14:paraId="6ECED3DD" w14:textId="6DAA952E" w:rsidR="0055443C" w:rsidRPr="00DE49C9" w:rsidRDefault="000C4BE8">
          <w:pPr>
            <w:pStyle w:val="TM2"/>
            <w:tabs>
              <w:tab w:val="left" w:pos="660"/>
              <w:tab w:val="right" w:leader="dot" w:pos="9350"/>
            </w:tabs>
            <w:rPr>
              <w:rFonts w:ascii="Times New Roman" w:eastAsiaTheme="minorEastAsia" w:hAnsi="Times New Roman" w:cs="Times New Roman"/>
              <w:noProof/>
              <w:sz w:val="24"/>
              <w:szCs w:val="24"/>
              <w:lang w:eastAsia="fr-FR"/>
            </w:rPr>
          </w:pPr>
          <w:hyperlink w:anchor="_Toc70937404" w:history="1">
            <w:r w:rsidR="0055443C" w:rsidRPr="00DE49C9">
              <w:rPr>
                <w:rStyle w:val="Lienhypertexte"/>
                <w:rFonts w:ascii="Times New Roman" w:hAnsi="Times New Roman" w:cs="Times New Roman"/>
                <w:noProof/>
                <w:sz w:val="24"/>
                <w:szCs w:val="24"/>
              </w:rPr>
              <w:t></w:t>
            </w:r>
            <w:r w:rsidR="0055443C" w:rsidRPr="00DE49C9">
              <w:rPr>
                <w:rFonts w:ascii="Times New Roman" w:eastAsiaTheme="minorEastAsia" w:hAnsi="Times New Roman" w:cs="Times New Roman"/>
                <w:noProof/>
                <w:sz w:val="24"/>
                <w:szCs w:val="24"/>
                <w:lang w:eastAsia="fr-FR"/>
              </w:rPr>
              <w:tab/>
            </w:r>
            <w:r w:rsidR="0055443C" w:rsidRPr="00DE49C9">
              <w:rPr>
                <w:rStyle w:val="Lienhypertexte"/>
                <w:rFonts w:ascii="Times New Roman" w:hAnsi="Times New Roman" w:cs="Times New Roman"/>
                <w:noProof/>
                <w:sz w:val="24"/>
                <w:szCs w:val="24"/>
              </w:rPr>
              <w:t>Mise en œuvre de la transition énergétique dans le secteur des transports publics en Île-de-France</w:t>
            </w:r>
            <w:r w:rsidR="0055443C" w:rsidRPr="00DE49C9">
              <w:rPr>
                <w:rFonts w:ascii="Times New Roman" w:hAnsi="Times New Roman" w:cs="Times New Roman"/>
                <w:noProof/>
                <w:webHidden/>
                <w:sz w:val="24"/>
                <w:szCs w:val="24"/>
              </w:rPr>
              <w:tab/>
            </w:r>
            <w:r w:rsidR="0055443C" w:rsidRPr="00DE49C9">
              <w:rPr>
                <w:rFonts w:ascii="Times New Roman" w:hAnsi="Times New Roman" w:cs="Times New Roman"/>
                <w:noProof/>
                <w:webHidden/>
                <w:sz w:val="24"/>
                <w:szCs w:val="24"/>
              </w:rPr>
              <w:fldChar w:fldCharType="begin"/>
            </w:r>
            <w:r w:rsidR="0055443C" w:rsidRPr="00DE49C9">
              <w:rPr>
                <w:rFonts w:ascii="Times New Roman" w:hAnsi="Times New Roman" w:cs="Times New Roman"/>
                <w:noProof/>
                <w:webHidden/>
                <w:sz w:val="24"/>
                <w:szCs w:val="24"/>
              </w:rPr>
              <w:instrText xml:space="preserve"> PAGEREF _Toc70937404 \h </w:instrText>
            </w:r>
            <w:r w:rsidR="0055443C" w:rsidRPr="00DE49C9">
              <w:rPr>
                <w:rFonts w:ascii="Times New Roman" w:hAnsi="Times New Roman" w:cs="Times New Roman"/>
                <w:noProof/>
                <w:webHidden/>
                <w:sz w:val="24"/>
                <w:szCs w:val="24"/>
              </w:rPr>
            </w:r>
            <w:r w:rsidR="0055443C" w:rsidRPr="00DE49C9">
              <w:rPr>
                <w:rFonts w:ascii="Times New Roman" w:hAnsi="Times New Roman" w:cs="Times New Roman"/>
                <w:noProof/>
                <w:webHidden/>
                <w:sz w:val="24"/>
                <w:szCs w:val="24"/>
              </w:rPr>
              <w:fldChar w:fldCharType="separate"/>
            </w:r>
            <w:r w:rsidR="001B2791">
              <w:rPr>
                <w:rFonts w:ascii="Times New Roman" w:hAnsi="Times New Roman" w:cs="Times New Roman"/>
                <w:noProof/>
                <w:webHidden/>
                <w:sz w:val="24"/>
                <w:szCs w:val="24"/>
              </w:rPr>
              <w:t>11</w:t>
            </w:r>
            <w:r w:rsidR="0055443C" w:rsidRPr="00DE49C9">
              <w:rPr>
                <w:rFonts w:ascii="Times New Roman" w:hAnsi="Times New Roman" w:cs="Times New Roman"/>
                <w:noProof/>
                <w:webHidden/>
                <w:sz w:val="24"/>
                <w:szCs w:val="24"/>
              </w:rPr>
              <w:fldChar w:fldCharType="end"/>
            </w:r>
          </w:hyperlink>
        </w:p>
        <w:p w14:paraId="0FA2BF0C" w14:textId="18043848" w:rsidR="0055443C" w:rsidRPr="00DE49C9" w:rsidRDefault="000C4BE8">
          <w:pPr>
            <w:pStyle w:val="TM1"/>
            <w:tabs>
              <w:tab w:val="right" w:leader="dot" w:pos="9350"/>
            </w:tabs>
            <w:rPr>
              <w:rFonts w:ascii="Times New Roman" w:eastAsiaTheme="minorEastAsia" w:hAnsi="Times New Roman" w:cs="Times New Roman"/>
              <w:noProof/>
              <w:sz w:val="24"/>
              <w:szCs w:val="24"/>
              <w:lang w:eastAsia="fr-FR"/>
            </w:rPr>
          </w:pPr>
          <w:hyperlink w:anchor="_Toc70937405" w:history="1">
            <w:r w:rsidR="0055443C" w:rsidRPr="00DE49C9">
              <w:rPr>
                <w:rStyle w:val="Lienhypertexte"/>
                <w:rFonts w:ascii="Times New Roman" w:hAnsi="Times New Roman" w:cs="Times New Roman"/>
                <w:noProof/>
                <w:sz w:val="24"/>
                <w:szCs w:val="24"/>
              </w:rPr>
              <w:t>6. Données</w:t>
            </w:r>
            <w:r w:rsidR="0055443C" w:rsidRPr="00DE49C9">
              <w:rPr>
                <w:rFonts w:ascii="Times New Roman" w:hAnsi="Times New Roman" w:cs="Times New Roman"/>
                <w:noProof/>
                <w:webHidden/>
                <w:sz w:val="24"/>
                <w:szCs w:val="24"/>
              </w:rPr>
              <w:tab/>
            </w:r>
            <w:r w:rsidR="0055443C" w:rsidRPr="00DE49C9">
              <w:rPr>
                <w:rFonts w:ascii="Times New Roman" w:hAnsi="Times New Roman" w:cs="Times New Roman"/>
                <w:noProof/>
                <w:webHidden/>
                <w:sz w:val="24"/>
                <w:szCs w:val="24"/>
              </w:rPr>
              <w:fldChar w:fldCharType="begin"/>
            </w:r>
            <w:r w:rsidR="0055443C" w:rsidRPr="00DE49C9">
              <w:rPr>
                <w:rFonts w:ascii="Times New Roman" w:hAnsi="Times New Roman" w:cs="Times New Roman"/>
                <w:noProof/>
                <w:webHidden/>
                <w:sz w:val="24"/>
                <w:szCs w:val="24"/>
              </w:rPr>
              <w:instrText xml:space="preserve"> PAGEREF _Toc70937405 \h </w:instrText>
            </w:r>
            <w:r w:rsidR="0055443C" w:rsidRPr="00DE49C9">
              <w:rPr>
                <w:rFonts w:ascii="Times New Roman" w:hAnsi="Times New Roman" w:cs="Times New Roman"/>
                <w:noProof/>
                <w:webHidden/>
                <w:sz w:val="24"/>
                <w:szCs w:val="24"/>
              </w:rPr>
            </w:r>
            <w:r w:rsidR="0055443C" w:rsidRPr="00DE49C9">
              <w:rPr>
                <w:rFonts w:ascii="Times New Roman" w:hAnsi="Times New Roman" w:cs="Times New Roman"/>
                <w:noProof/>
                <w:webHidden/>
                <w:sz w:val="24"/>
                <w:szCs w:val="24"/>
              </w:rPr>
              <w:fldChar w:fldCharType="separate"/>
            </w:r>
            <w:r w:rsidR="001B2791">
              <w:rPr>
                <w:rFonts w:ascii="Times New Roman" w:hAnsi="Times New Roman" w:cs="Times New Roman"/>
                <w:noProof/>
                <w:webHidden/>
                <w:sz w:val="24"/>
                <w:szCs w:val="24"/>
              </w:rPr>
              <w:t>13</w:t>
            </w:r>
            <w:r w:rsidR="0055443C" w:rsidRPr="00DE49C9">
              <w:rPr>
                <w:rFonts w:ascii="Times New Roman" w:hAnsi="Times New Roman" w:cs="Times New Roman"/>
                <w:noProof/>
                <w:webHidden/>
                <w:sz w:val="24"/>
                <w:szCs w:val="24"/>
              </w:rPr>
              <w:fldChar w:fldCharType="end"/>
            </w:r>
          </w:hyperlink>
        </w:p>
        <w:p w14:paraId="7187E947" w14:textId="321F7FCA" w:rsidR="0055443C" w:rsidRPr="00DE49C9" w:rsidRDefault="000C4BE8">
          <w:pPr>
            <w:pStyle w:val="TM1"/>
            <w:tabs>
              <w:tab w:val="right" w:leader="dot" w:pos="9350"/>
            </w:tabs>
            <w:rPr>
              <w:rFonts w:ascii="Times New Roman" w:eastAsiaTheme="minorEastAsia" w:hAnsi="Times New Roman" w:cs="Times New Roman"/>
              <w:noProof/>
              <w:sz w:val="24"/>
              <w:szCs w:val="24"/>
              <w:lang w:eastAsia="fr-FR"/>
            </w:rPr>
          </w:pPr>
          <w:hyperlink w:anchor="_Toc70937406" w:history="1">
            <w:r w:rsidR="0055443C" w:rsidRPr="00DE49C9">
              <w:rPr>
                <w:rStyle w:val="Lienhypertexte"/>
                <w:rFonts w:ascii="Times New Roman" w:hAnsi="Times New Roman" w:cs="Times New Roman"/>
                <w:noProof/>
                <w:sz w:val="24"/>
                <w:szCs w:val="24"/>
              </w:rPr>
              <w:t>7. Choix des variables</w:t>
            </w:r>
            <w:r w:rsidR="0055443C" w:rsidRPr="00DE49C9">
              <w:rPr>
                <w:rFonts w:ascii="Times New Roman" w:hAnsi="Times New Roman" w:cs="Times New Roman"/>
                <w:noProof/>
                <w:webHidden/>
                <w:sz w:val="24"/>
                <w:szCs w:val="24"/>
              </w:rPr>
              <w:tab/>
            </w:r>
            <w:r w:rsidR="0055443C" w:rsidRPr="00DE49C9">
              <w:rPr>
                <w:rFonts w:ascii="Times New Roman" w:hAnsi="Times New Roman" w:cs="Times New Roman"/>
                <w:noProof/>
                <w:webHidden/>
                <w:sz w:val="24"/>
                <w:szCs w:val="24"/>
              </w:rPr>
              <w:fldChar w:fldCharType="begin"/>
            </w:r>
            <w:r w:rsidR="0055443C" w:rsidRPr="00DE49C9">
              <w:rPr>
                <w:rFonts w:ascii="Times New Roman" w:hAnsi="Times New Roman" w:cs="Times New Roman"/>
                <w:noProof/>
                <w:webHidden/>
                <w:sz w:val="24"/>
                <w:szCs w:val="24"/>
              </w:rPr>
              <w:instrText xml:space="preserve"> PAGEREF _Toc70937406 \h </w:instrText>
            </w:r>
            <w:r w:rsidR="0055443C" w:rsidRPr="00DE49C9">
              <w:rPr>
                <w:rFonts w:ascii="Times New Roman" w:hAnsi="Times New Roman" w:cs="Times New Roman"/>
                <w:noProof/>
                <w:webHidden/>
                <w:sz w:val="24"/>
                <w:szCs w:val="24"/>
              </w:rPr>
            </w:r>
            <w:r w:rsidR="0055443C" w:rsidRPr="00DE49C9">
              <w:rPr>
                <w:rFonts w:ascii="Times New Roman" w:hAnsi="Times New Roman" w:cs="Times New Roman"/>
                <w:noProof/>
                <w:webHidden/>
                <w:sz w:val="24"/>
                <w:szCs w:val="24"/>
              </w:rPr>
              <w:fldChar w:fldCharType="separate"/>
            </w:r>
            <w:r w:rsidR="001B2791">
              <w:rPr>
                <w:rFonts w:ascii="Times New Roman" w:hAnsi="Times New Roman" w:cs="Times New Roman"/>
                <w:noProof/>
                <w:webHidden/>
                <w:sz w:val="24"/>
                <w:szCs w:val="24"/>
              </w:rPr>
              <w:t>15</w:t>
            </w:r>
            <w:r w:rsidR="0055443C" w:rsidRPr="00DE49C9">
              <w:rPr>
                <w:rFonts w:ascii="Times New Roman" w:hAnsi="Times New Roman" w:cs="Times New Roman"/>
                <w:noProof/>
                <w:webHidden/>
                <w:sz w:val="24"/>
                <w:szCs w:val="24"/>
              </w:rPr>
              <w:fldChar w:fldCharType="end"/>
            </w:r>
          </w:hyperlink>
        </w:p>
        <w:p w14:paraId="060D324C" w14:textId="3A9E2FFC" w:rsidR="0055443C" w:rsidRPr="00DE49C9" w:rsidRDefault="000C4BE8">
          <w:pPr>
            <w:pStyle w:val="TM2"/>
            <w:tabs>
              <w:tab w:val="left" w:pos="660"/>
              <w:tab w:val="right" w:leader="dot" w:pos="9350"/>
            </w:tabs>
            <w:rPr>
              <w:rFonts w:ascii="Times New Roman" w:eastAsiaTheme="minorEastAsia" w:hAnsi="Times New Roman" w:cs="Times New Roman"/>
              <w:noProof/>
              <w:sz w:val="24"/>
              <w:szCs w:val="24"/>
              <w:lang w:eastAsia="fr-FR"/>
            </w:rPr>
          </w:pPr>
          <w:hyperlink w:anchor="_Toc70937407" w:history="1">
            <w:r w:rsidR="0055443C" w:rsidRPr="00DE49C9">
              <w:rPr>
                <w:rStyle w:val="Lienhypertexte"/>
                <w:rFonts w:ascii="Times New Roman" w:hAnsi="Times New Roman" w:cs="Times New Roman"/>
                <w:noProof/>
                <w:sz w:val="24"/>
                <w:szCs w:val="24"/>
              </w:rPr>
              <w:t></w:t>
            </w:r>
            <w:r w:rsidR="0055443C" w:rsidRPr="00DE49C9">
              <w:rPr>
                <w:rFonts w:ascii="Times New Roman" w:eastAsiaTheme="minorEastAsia" w:hAnsi="Times New Roman" w:cs="Times New Roman"/>
                <w:noProof/>
                <w:sz w:val="24"/>
                <w:szCs w:val="24"/>
                <w:lang w:eastAsia="fr-FR"/>
              </w:rPr>
              <w:tab/>
            </w:r>
            <w:r w:rsidR="0055443C" w:rsidRPr="00DE49C9">
              <w:rPr>
                <w:rStyle w:val="Lienhypertexte"/>
                <w:rFonts w:ascii="Times New Roman" w:hAnsi="Times New Roman" w:cs="Times New Roman"/>
                <w:noProof/>
                <w:sz w:val="24"/>
                <w:szCs w:val="24"/>
              </w:rPr>
              <w:t>Rentabilité économique : Variable dépendante</w:t>
            </w:r>
            <w:r w:rsidR="0055443C" w:rsidRPr="00DE49C9">
              <w:rPr>
                <w:rFonts w:ascii="Times New Roman" w:hAnsi="Times New Roman" w:cs="Times New Roman"/>
                <w:noProof/>
                <w:webHidden/>
                <w:sz w:val="24"/>
                <w:szCs w:val="24"/>
              </w:rPr>
              <w:tab/>
            </w:r>
            <w:r w:rsidR="0055443C" w:rsidRPr="00DE49C9">
              <w:rPr>
                <w:rFonts w:ascii="Times New Roman" w:hAnsi="Times New Roman" w:cs="Times New Roman"/>
                <w:noProof/>
                <w:webHidden/>
                <w:sz w:val="24"/>
                <w:szCs w:val="24"/>
              </w:rPr>
              <w:fldChar w:fldCharType="begin"/>
            </w:r>
            <w:r w:rsidR="0055443C" w:rsidRPr="00DE49C9">
              <w:rPr>
                <w:rFonts w:ascii="Times New Roman" w:hAnsi="Times New Roman" w:cs="Times New Roman"/>
                <w:noProof/>
                <w:webHidden/>
                <w:sz w:val="24"/>
                <w:szCs w:val="24"/>
              </w:rPr>
              <w:instrText xml:space="preserve"> PAGEREF _Toc70937407 \h </w:instrText>
            </w:r>
            <w:r w:rsidR="0055443C" w:rsidRPr="00DE49C9">
              <w:rPr>
                <w:rFonts w:ascii="Times New Roman" w:hAnsi="Times New Roman" w:cs="Times New Roman"/>
                <w:noProof/>
                <w:webHidden/>
                <w:sz w:val="24"/>
                <w:szCs w:val="24"/>
              </w:rPr>
            </w:r>
            <w:r w:rsidR="0055443C" w:rsidRPr="00DE49C9">
              <w:rPr>
                <w:rFonts w:ascii="Times New Roman" w:hAnsi="Times New Roman" w:cs="Times New Roman"/>
                <w:noProof/>
                <w:webHidden/>
                <w:sz w:val="24"/>
                <w:szCs w:val="24"/>
              </w:rPr>
              <w:fldChar w:fldCharType="separate"/>
            </w:r>
            <w:r w:rsidR="001B2791">
              <w:rPr>
                <w:rFonts w:ascii="Times New Roman" w:hAnsi="Times New Roman" w:cs="Times New Roman"/>
                <w:noProof/>
                <w:webHidden/>
                <w:sz w:val="24"/>
                <w:szCs w:val="24"/>
              </w:rPr>
              <w:t>17</w:t>
            </w:r>
            <w:r w:rsidR="0055443C" w:rsidRPr="00DE49C9">
              <w:rPr>
                <w:rFonts w:ascii="Times New Roman" w:hAnsi="Times New Roman" w:cs="Times New Roman"/>
                <w:noProof/>
                <w:webHidden/>
                <w:sz w:val="24"/>
                <w:szCs w:val="24"/>
              </w:rPr>
              <w:fldChar w:fldCharType="end"/>
            </w:r>
          </w:hyperlink>
        </w:p>
        <w:p w14:paraId="434F377F" w14:textId="612E0690" w:rsidR="0055443C" w:rsidRPr="00DE49C9" w:rsidRDefault="000C4BE8">
          <w:pPr>
            <w:pStyle w:val="TM2"/>
            <w:tabs>
              <w:tab w:val="left" w:pos="660"/>
              <w:tab w:val="right" w:leader="dot" w:pos="9350"/>
            </w:tabs>
            <w:rPr>
              <w:rFonts w:ascii="Times New Roman" w:eastAsiaTheme="minorEastAsia" w:hAnsi="Times New Roman" w:cs="Times New Roman"/>
              <w:noProof/>
              <w:sz w:val="24"/>
              <w:szCs w:val="24"/>
              <w:lang w:eastAsia="fr-FR"/>
            </w:rPr>
          </w:pPr>
          <w:hyperlink w:anchor="_Toc70937408" w:history="1">
            <w:r w:rsidR="0055443C" w:rsidRPr="00DE49C9">
              <w:rPr>
                <w:rStyle w:val="Lienhypertexte"/>
                <w:rFonts w:ascii="Times New Roman" w:hAnsi="Times New Roman" w:cs="Times New Roman"/>
                <w:noProof/>
                <w:sz w:val="24"/>
                <w:szCs w:val="24"/>
              </w:rPr>
              <w:t></w:t>
            </w:r>
            <w:r w:rsidR="0055443C" w:rsidRPr="00DE49C9">
              <w:rPr>
                <w:rFonts w:ascii="Times New Roman" w:eastAsiaTheme="minorEastAsia" w:hAnsi="Times New Roman" w:cs="Times New Roman"/>
                <w:noProof/>
                <w:sz w:val="24"/>
                <w:szCs w:val="24"/>
                <w:lang w:eastAsia="fr-FR"/>
              </w:rPr>
              <w:tab/>
            </w:r>
            <w:r w:rsidR="0055443C" w:rsidRPr="00DE49C9">
              <w:rPr>
                <w:rStyle w:val="Lienhypertexte"/>
                <w:rFonts w:ascii="Times New Roman" w:hAnsi="Times New Roman" w:cs="Times New Roman"/>
                <w:noProof/>
                <w:sz w:val="24"/>
                <w:szCs w:val="24"/>
              </w:rPr>
              <w:t>Dépenses d’investissement en matériel roulant : Variable indépendante</w:t>
            </w:r>
            <w:r w:rsidR="0055443C" w:rsidRPr="00DE49C9">
              <w:rPr>
                <w:rFonts w:ascii="Times New Roman" w:hAnsi="Times New Roman" w:cs="Times New Roman"/>
                <w:noProof/>
                <w:webHidden/>
                <w:sz w:val="24"/>
                <w:szCs w:val="24"/>
              </w:rPr>
              <w:tab/>
            </w:r>
            <w:r w:rsidR="0055443C" w:rsidRPr="00DE49C9">
              <w:rPr>
                <w:rFonts w:ascii="Times New Roman" w:hAnsi="Times New Roman" w:cs="Times New Roman"/>
                <w:noProof/>
                <w:webHidden/>
                <w:sz w:val="24"/>
                <w:szCs w:val="24"/>
              </w:rPr>
              <w:fldChar w:fldCharType="begin"/>
            </w:r>
            <w:r w:rsidR="0055443C" w:rsidRPr="00DE49C9">
              <w:rPr>
                <w:rFonts w:ascii="Times New Roman" w:hAnsi="Times New Roman" w:cs="Times New Roman"/>
                <w:noProof/>
                <w:webHidden/>
                <w:sz w:val="24"/>
                <w:szCs w:val="24"/>
              </w:rPr>
              <w:instrText xml:space="preserve"> PAGEREF _Toc70937408 \h </w:instrText>
            </w:r>
            <w:r w:rsidR="0055443C" w:rsidRPr="00DE49C9">
              <w:rPr>
                <w:rFonts w:ascii="Times New Roman" w:hAnsi="Times New Roman" w:cs="Times New Roman"/>
                <w:noProof/>
                <w:webHidden/>
                <w:sz w:val="24"/>
                <w:szCs w:val="24"/>
              </w:rPr>
            </w:r>
            <w:r w:rsidR="0055443C" w:rsidRPr="00DE49C9">
              <w:rPr>
                <w:rFonts w:ascii="Times New Roman" w:hAnsi="Times New Roman" w:cs="Times New Roman"/>
                <w:noProof/>
                <w:webHidden/>
                <w:sz w:val="24"/>
                <w:szCs w:val="24"/>
              </w:rPr>
              <w:fldChar w:fldCharType="separate"/>
            </w:r>
            <w:r w:rsidR="001B2791">
              <w:rPr>
                <w:rFonts w:ascii="Times New Roman" w:hAnsi="Times New Roman" w:cs="Times New Roman"/>
                <w:noProof/>
                <w:webHidden/>
                <w:sz w:val="24"/>
                <w:szCs w:val="24"/>
              </w:rPr>
              <w:t>19</w:t>
            </w:r>
            <w:r w:rsidR="0055443C" w:rsidRPr="00DE49C9">
              <w:rPr>
                <w:rFonts w:ascii="Times New Roman" w:hAnsi="Times New Roman" w:cs="Times New Roman"/>
                <w:noProof/>
                <w:webHidden/>
                <w:sz w:val="24"/>
                <w:szCs w:val="24"/>
              </w:rPr>
              <w:fldChar w:fldCharType="end"/>
            </w:r>
          </w:hyperlink>
        </w:p>
        <w:p w14:paraId="5110CB38" w14:textId="591F604C" w:rsidR="0055443C" w:rsidRPr="00DE49C9" w:rsidRDefault="000C4BE8">
          <w:pPr>
            <w:pStyle w:val="TM2"/>
            <w:tabs>
              <w:tab w:val="left" w:pos="660"/>
              <w:tab w:val="right" w:leader="dot" w:pos="9350"/>
            </w:tabs>
            <w:rPr>
              <w:rFonts w:ascii="Times New Roman" w:eastAsiaTheme="minorEastAsia" w:hAnsi="Times New Roman" w:cs="Times New Roman"/>
              <w:noProof/>
              <w:sz w:val="24"/>
              <w:szCs w:val="24"/>
              <w:lang w:eastAsia="fr-FR"/>
            </w:rPr>
          </w:pPr>
          <w:hyperlink w:anchor="_Toc70937409" w:history="1">
            <w:r w:rsidR="0055443C" w:rsidRPr="00DE49C9">
              <w:rPr>
                <w:rStyle w:val="Lienhypertexte"/>
                <w:rFonts w:ascii="Times New Roman" w:hAnsi="Times New Roman" w:cs="Times New Roman"/>
                <w:noProof/>
                <w:sz w:val="24"/>
                <w:szCs w:val="24"/>
              </w:rPr>
              <w:t></w:t>
            </w:r>
            <w:r w:rsidR="0055443C" w:rsidRPr="00DE49C9">
              <w:rPr>
                <w:rFonts w:ascii="Times New Roman" w:eastAsiaTheme="minorEastAsia" w:hAnsi="Times New Roman" w:cs="Times New Roman"/>
                <w:noProof/>
                <w:sz w:val="24"/>
                <w:szCs w:val="24"/>
                <w:lang w:eastAsia="fr-FR"/>
              </w:rPr>
              <w:tab/>
            </w:r>
            <w:r w:rsidR="0055443C" w:rsidRPr="00DE49C9">
              <w:rPr>
                <w:rStyle w:val="Lienhypertexte"/>
                <w:rFonts w:ascii="Times New Roman" w:hAnsi="Times New Roman" w:cs="Times New Roman"/>
                <w:noProof/>
                <w:sz w:val="24"/>
                <w:szCs w:val="24"/>
              </w:rPr>
              <w:t>Offre commerciale réalisée et Concours publics : Variables de contrôle</w:t>
            </w:r>
            <w:r w:rsidR="0055443C" w:rsidRPr="00DE49C9">
              <w:rPr>
                <w:rFonts w:ascii="Times New Roman" w:hAnsi="Times New Roman" w:cs="Times New Roman"/>
                <w:noProof/>
                <w:webHidden/>
                <w:sz w:val="24"/>
                <w:szCs w:val="24"/>
              </w:rPr>
              <w:tab/>
            </w:r>
            <w:r w:rsidR="0055443C" w:rsidRPr="00DE49C9">
              <w:rPr>
                <w:rFonts w:ascii="Times New Roman" w:hAnsi="Times New Roman" w:cs="Times New Roman"/>
                <w:noProof/>
                <w:webHidden/>
                <w:sz w:val="24"/>
                <w:szCs w:val="24"/>
              </w:rPr>
              <w:fldChar w:fldCharType="begin"/>
            </w:r>
            <w:r w:rsidR="0055443C" w:rsidRPr="00DE49C9">
              <w:rPr>
                <w:rFonts w:ascii="Times New Roman" w:hAnsi="Times New Roman" w:cs="Times New Roman"/>
                <w:noProof/>
                <w:webHidden/>
                <w:sz w:val="24"/>
                <w:szCs w:val="24"/>
              </w:rPr>
              <w:instrText xml:space="preserve"> PAGEREF _Toc70937409 \h </w:instrText>
            </w:r>
            <w:r w:rsidR="0055443C" w:rsidRPr="00DE49C9">
              <w:rPr>
                <w:rFonts w:ascii="Times New Roman" w:hAnsi="Times New Roman" w:cs="Times New Roman"/>
                <w:noProof/>
                <w:webHidden/>
                <w:sz w:val="24"/>
                <w:szCs w:val="24"/>
              </w:rPr>
            </w:r>
            <w:r w:rsidR="0055443C" w:rsidRPr="00DE49C9">
              <w:rPr>
                <w:rFonts w:ascii="Times New Roman" w:hAnsi="Times New Roman" w:cs="Times New Roman"/>
                <w:noProof/>
                <w:webHidden/>
                <w:sz w:val="24"/>
                <w:szCs w:val="24"/>
              </w:rPr>
              <w:fldChar w:fldCharType="separate"/>
            </w:r>
            <w:r w:rsidR="001B2791">
              <w:rPr>
                <w:rFonts w:ascii="Times New Roman" w:hAnsi="Times New Roman" w:cs="Times New Roman"/>
                <w:noProof/>
                <w:webHidden/>
                <w:sz w:val="24"/>
                <w:szCs w:val="24"/>
              </w:rPr>
              <w:t>20</w:t>
            </w:r>
            <w:r w:rsidR="0055443C" w:rsidRPr="00DE49C9">
              <w:rPr>
                <w:rFonts w:ascii="Times New Roman" w:hAnsi="Times New Roman" w:cs="Times New Roman"/>
                <w:noProof/>
                <w:webHidden/>
                <w:sz w:val="24"/>
                <w:szCs w:val="24"/>
              </w:rPr>
              <w:fldChar w:fldCharType="end"/>
            </w:r>
          </w:hyperlink>
        </w:p>
        <w:p w14:paraId="0C50F325" w14:textId="5273744E" w:rsidR="0055443C" w:rsidRPr="00DE49C9" w:rsidRDefault="000C4BE8">
          <w:pPr>
            <w:pStyle w:val="TM1"/>
            <w:tabs>
              <w:tab w:val="right" w:leader="dot" w:pos="9350"/>
            </w:tabs>
            <w:rPr>
              <w:rFonts w:ascii="Times New Roman" w:eastAsiaTheme="minorEastAsia" w:hAnsi="Times New Roman" w:cs="Times New Roman"/>
              <w:noProof/>
              <w:sz w:val="24"/>
              <w:szCs w:val="24"/>
              <w:lang w:eastAsia="fr-FR"/>
            </w:rPr>
          </w:pPr>
          <w:hyperlink w:anchor="_Toc70937410" w:history="1">
            <w:r w:rsidR="0055443C" w:rsidRPr="00DE49C9">
              <w:rPr>
                <w:rStyle w:val="Lienhypertexte"/>
                <w:rFonts w:ascii="Times New Roman" w:hAnsi="Times New Roman" w:cs="Times New Roman"/>
                <w:noProof/>
                <w:sz w:val="24"/>
                <w:szCs w:val="24"/>
              </w:rPr>
              <w:t>8. Modélisation</w:t>
            </w:r>
            <w:r w:rsidR="0055443C" w:rsidRPr="00DE49C9">
              <w:rPr>
                <w:rFonts w:ascii="Times New Roman" w:hAnsi="Times New Roman" w:cs="Times New Roman"/>
                <w:noProof/>
                <w:webHidden/>
                <w:sz w:val="24"/>
                <w:szCs w:val="24"/>
              </w:rPr>
              <w:tab/>
            </w:r>
            <w:r w:rsidR="0055443C" w:rsidRPr="00DE49C9">
              <w:rPr>
                <w:rFonts w:ascii="Times New Roman" w:hAnsi="Times New Roman" w:cs="Times New Roman"/>
                <w:noProof/>
                <w:webHidden/>
                <w:sz w:val="24"/>
                <w:szCs w:val="24"/>
              </w:rPr>
              <w:fldChar w:fldCharType="begin"/>
            </w:r>
            <w:r w:rsidR="0055443C" w:rsidRPr="00DE49C9">
              <w:rPr>
                <w:rFonts w:ascii="Times New Roman" w:hAnsi="Times New Roman" w:cs="Times New Roman"/>
                <w:noProof/>
                <w:webHidden/>
                <w:sz w:val="24"/>
                <w:szCs w:val="24"/>
              </w:rPr>
              <w:instrText xml:space="preserve"> PAGEREF _Toc70937410 \h </w:instrText>
            </w:r>
            <w:r w:rsidR="0055443C" w:rsidRPr="00DE49C9">
              <w:rPr>
                <w:rFonts w:ascii="Times New Roman" w:hAnsi="Times New Roman" w:cs="Times New Roman"/>
                <w:noProof/>
                <w:webHidden/>
                <w:sz w:val="24"/>
                <w:szCs w:val="24"/>
              </w:rPr>
            </w:r>
            <w:r w:rsidR="0055443C" w:rsidRPr="00DE49C9">
              <w:rPr>
                <w:rFonts w:ascii="Times New Roman" w:hAnsi="Times New Roman" w:cs="Times New Roman"/>
                <w:noProof/>
                <w:webHidden/>
                <w:sz w:val="24"/>
                <w:szCs w:val="24"/>
              </w:rPr>
              <w:fldChar w:fldCharType="separate"/>
            </w:r>
            <w:r w:rsidR="001B2791">
              <w:rPr>
                <w:rFonts w:ascii="Times New Roman" w:hAnsi="Times New Roman" w:cs="Times New Roman"/>
                <w:noProof/>
                <w:webHidden/>
                <w:sz w:val="24"/>
                <w:szCs w:val="24"/>
              </w:rPr>
              <w:t>21</w:t>
            </w:r>
            <w:r w:rsidR="0055443C" w:rsidRPr="00DE49C9">
              <w:rPr>
                <w:rFonts w:ascii="Times New Roman" w:hAnsi="Times New Roman" w:cs="Times New Roman"/>
                <w:noProof/>
                <w:webHidden/>
                <w:sz w:val="24"/>
                <w:szCs w:val="24"/>
              </w:rPr>
              <w:fldChar w:fldCharType="end"/>
            </w:r>
          </w:hyperlink>
        </w:p>
        <w:p w14:paraId="188C9714" w14:textId="20615C61" w:rsidR="0055443C" w:rsidRPr="00DE49C9" w:rsidRDefault="000C4BE8">
          <w:pPr>
            <w:pStyle w:val="TM2"/>
            <w:tabs>
              <w:tab w:val="right" w:leader="dot" w:pos="9350"/>
            </w:tabs>
            <w:rPr>
              <w:rFonts w:ascii="Times New Roman" w:eastAsiaTheme="minorEastAsia" w:hAnsi="Times New Roman" w:cs="Times New Roman"/>
              <w:noProof/>
              <w:sz w:val="24"/>
              <w:szCs w:val="24"/>
              <w:lang w:eastAsia="fr-FR"/>
            </w:rPr>
          </w:pPr>
          <w:hyperlink w:anchor="_Toc70937411" w:history="1">
            <w:r w:rsidR="0055443C" w:rsidRPr="00DE49C9">
              <w:rPr>
                <w:rStyle w:val="Lienhypertexte"/>
                <w:rFonts w:ascii="Times New Roman" w:hAnsi="Times New Roman" w:cs="Times New Roman"/>
                <w:noProof/>
                <w:sz w:val="24"/>
                <w:szCs w:val="24"/>
              </w:rPr>
              <w:t>8.1. Spécification théorique</w:t>
            </w:r>
            <w:r w:rsidR="0055443C" w:rsidRPr="00DE49C9">
              <w:rPr>
                <w:rFonts w:ascii="Times New Roman" w:hAnsi="Times New Roman" w:cs="Times New Roman"/>
                <w:noProof/>
                <w:webHidden/>
                <w:sz w:val="24"/>
                <w:szCs w:val="24"/>
              </w:rPr>
              <w:tab/>
            </w:r>
            <w:r w:rsidR="0055443C" w:rsidRPr="00DE49C9">
              <w:rPr>
                <w:rFonts w:ascii="Times New Roman" w:hAnsi="Times New Roman" w:cs="Times New Roman"/>
                <w:noProof/>
                <w:webHidden/>
                <w:sz w:val="24"/>
                <w:szCs w:val="24"/>
              </w:rPr>
              <w:fldChar w:fldCharType="begin"/>
            </w:r>
            <w:r w:rsidR="0055443C" w:rsidRPr="00DE49C9">
              <w:rPr>
                <w:rFonts w:ascii="Times New Roman" w:hAnsi="Times New Roman" w:cs="Times New Roman"/>
                <w:noProof/>
                <w:webHidden/>
                <w:sz w:val="24"/>
                <w:szCs w:val="24"/>
              </w:rPr>
              <w:instrText xml:space="preserve"> PAGEREF _Toc70937411 \h </w:instrText>
            </w:r>
            <w:r w:rsidR="0055443C" w:rsidRPr="00DE49C9">
              <w:rPr>
                <w:rFonts w:ascii="Times New Roman" w:hAnsi="Times New Roman" w:cs="Times New Roman"/>
                <w:noProof/>
                <w:webHidden/>
                <w:sz w:val="24"/>
                <w:szCs w:val="24"/>
              </w:rPr>
            </w:r>
            <w:r w:rsidR="0055443C" w:rsidRPr="00DE49C9">
              <w:rPr>
                <w:rFonts w:ascii="Times New Roman" w:hAnsi="Times New Roman" w:cs="Times New Roman"/>
                <w:noProof/>
                <w:webHidden/>
                <w:sz w:val="24"/>
                <w:szCs w:val="24"/>
              </w:rPr>
              <w:fldChar w:fldCharType="separate"/>
            </w:r>
            <w:r w:rsidR="001B2791">
              <w:rPr>
                <w:rFonts w:ascii="Times New Roman" w:hAnsi="Times New Roman" w:cs="Times New Roman"/>
                <w:noProof/>
                <w:webHidden/>
                <w:sz w:val="24"/>
                <w:szCs w:val="24"/>
              </w:rPr>
              <w:t>22</w:t>
            </w:r>
            <w:r w:rsidR="0055443C" w:rsidRPr="00DE49C9">
              <w:rPr>
                <w:rFonts w:ascii="Times New Roman" w:hAnsi="Times New Roman" w:cs="Times New Roman"/>
                <w:noProof/>
                <w:webHidden/>
                <w:sz w:val="24"/>
                <w:szCs w:val="24"/>
              </w:rPr>
              <w:fldChar w:fldCharType="end"/>
            </w:r>
          </w:hyperlink>
        </w:p>
        <w:p w14:paraId="648C9C6D" w14:textId="729CABC4" w:rsidR="0055443C" w:rsidRPr="00DE49C9" w:rsidRDefault="000C4BE8">
          <w:pPr>
            <w:pStyle w:val="TM3"/>
            <w:tabs>
              <w:tab w:val="left" w:pos="880"/>
              <w:tab w:val="right" w:leader="dot" w:pos="9350"/>
            </w:tabs>
            <w:rPr>
              <w:rFonts w:ascii="Times New Roman" w:eastAsiaTheme="minorEastAsia" w:hAnsi="Times New Roman" w:cs="Times New Roman"/>
              <w:noProof/>
              <w:sz w:val="24"/>
              <w:szCs w:val="24"/>
              <w:lang w:eastAsia="fr-FR"/>
            </w:rPr>
          </w:pPr>
          <w:hyperlink w:anchor="_Toc70937412" w:history="1">
            <w:r w:rsidR="0055443C" w:rsidRPr="00DE49C9">
              <w:rPr>
                <w:rStyle w:val="Lienhypertexte"/>
                <w:rFonts w:ascii="Times New Roman" w:hAnsi="Times New Roman" w:cs="Times New Roman"/>
                <w:noProof/>
                <w:sz w:val="24"/>
                <w:szCs w:val="24"/>
              </w:rPr>
              <w:t></w:t>
            </w:r>
            <w:r w:rsidR="0055443C" w:rsidRPr="00DE49C9">
              <w:rPr>
                <w:rFonts w:ascii="Times New Roman" w:eastAsiaTheme="minorEastAsia" w:hAnsi="Times New Roman" w:cs="Times New Roman"/>
                <w:noProof/>
                <w:sz w:val="24"/>
                <w:szCs w:val="24"/>
                <w:lang w:eastAsia="fr-FR"/>
              </w:rPr>
              <w:tab/>
            </w:r>
            <w:r w:rsidR="0055443C" w:rsidRPr="00DE49C9">
              <w:rPr>
                <w:rStyle w:val="Lienhypertexte"/>
                <w:rFonts w:ascii="Times New Roman" w:hAnsi="Times New Roman" w:cs="Times New Roman"/>
                <w:noProof/>
                <w:sz w:val="24"/>
                <w:szCs w:val="24"/>
              </w:rPr>
              <w:t>Relation de court et de Long terme</w:t>
            </w:r>
            <w:r w:rsidR="0055443C" w:rsidRPr="00DE49C9">
              <w:rPr>
                <w:rFonts w:ascii="Times New Roman" w:hAnsi="Times New Roman" w:cs="Times New Roman"/>
                <w:noProof/>
                <w:webHidden/>
                <w:sz w:val="24"/>
                <w:szCs w:val="24"/>
              </w:rPr>
              <w:tab/>
            </w:r>
            <w:r w:rsidR="0055443C" w:rsidRPr="00DE49C9">
              <w:rPr>
                <w:rFonts w:ascii="Times New Roman" w:hAnsi="Times New Roman" w:cs="Times New Roman"/>
                <w:noProof/>
                <w:webHidden/>
                <w:sz w:val="24"/>
                <w:szCs w:val="24"/>
              </w:rPr>
              <w:fldChar w:fldCharType="begin"/>
            </w:r>
            <w:r w:rsidR="0055443C" w:rsidRPr="00DE49C9">
              <w:rPr>
                <w:rFonts w:ascii="Times New Roman" w:hAnsi="Times New Roman" w:cs="Times New Roman"/>
                <w:noProof/>
                <w:webHidden/>
                <w:sz w:val="24"/>
                <w:szCs w:val="24"/>
              </w:rPr>
              <w:instrText xml:space="preserve"> PAGEREF _Toc70937412 \h </w:instrText>
            </w:r>
            <w:r w:rsidR="0055443C" w:rsidRPr="00DE49C9">
              <w:rPr>
                <w:rFonts w:ascii="Times New Roman" w:hAnsi="Times New Roman" w:cs="Times New Roman"/>
                <w:noProof/>
                <w:webHidden/>
                <w:sz w:val="24"/>
                <w:szCs w:val="24"/>
              </w:rPr>
            </w:r>
            <w:r w:rsidR="0055443C" w:rsidRPr="00DE49C9">
              <w:rPr>
                <w:rFonts w:ascii="Times New Roman" w:hAnsi="Times New Roman" w:cs="Times New Roman"/>
                <w:noProof/>
                <w:webHidden/>
                <w:sz w:val="24"/>
                <w:szCs w:val="24"/>
              </w:rPr>
              <w:fldChar w:fldCharType="separate"/>
            </w:r>
            <w:r w:rsidR="001B2791">
              <w:rPr>
                <w:rFonts w:ascii="Times New Roman" w:hAnsi="Times New Roman" w:cs="Times New Roman"/>
                <w:noProof/>
                <w:webHidden/>
                <w:sz w:val="24"/>
                <w:szCs w:val="24"/>
              </w:rPr>
              <w:t>23</w:t>
            </w:r>
            <w:r w:rsidR="0055443C" w:rsidRPr="00DE49C9">
              <w:rPr>
                <w:rFonts w:ascii="Times New Roman" w:hAnsi="Times New Roman" w:cs="Times New Roman"/>
                <w:noProof/>
                <w:webHidden/>
                <w:sz w:val="24"/>
                <w:szCs w:val="24"/>
              </w:rPr>
              <w:fldChar w:fldCharType="end"/>
            </w:r>
          </w:hyperlink>
        </w:p>
        <w:p w14:paraId="0159EA5A" w14:textId="0049689E" w:rsidR="0055443C" w:rsidRPr="00DE49C9" w:rsidRDefault="000C4BE8">
          <w:pPr>
            <w:pStyle w:val="TM2"/>
            <w:tabs>
              <w:tab w:val="right" w:leader="dot" w:pos="9350"/>
            </w:tabs>
            <w:rPr>
              <w:rFonts w:ascii="Times New Roman" w:eastAsiaTheme="minorEastAsia" w:hAnsi="Times New Roman" w:cs="Times New Roman"/>
              <w:noProof/>
              <w:sz w:val="24"/>
              <w:szCs w:val="24"/>
              <w:lang w:eastAsia="fr-FR"/>
            </w:rPr>
          </w:pPr>
          <w:hyperlink w:anchor="_Toc70937413" w:history="1">
            <w:r w:rsidR="0055443C" w:rsidRPr="00DE49C9">
              <w:rPr>
                <w:rStyle w:val="Lienhypertexte"/>
                <w:rFonts w:ascii="Times New Roman" w:hAnsi="Times New Roman" w:cs="Times New Roman"/>
                <w:noProof/>
                <w:sz w:val="24"/>
                <w:szCs w:val="24"/>
              </w:rPr>
              <w:t>8.2. Etude sur les séries</w:t>
            </w:r>
            <w:r w:rsidR="0055443C" w:rsidRPr="00DE49C9">
              <w:rPr>
                <w:rFonts w:ascii="Times New Roman" w:hAnsi="Times New Roman" w:cs="Times New Roman"/>
                <w:noProof/>
                <w:webHidden/>
                <w:sz w:val="24"/>
                <w:szCs w:val="24"/>
              </w:rPr>
              <w:tab/>
            </w:r>
            <w:r w:rsidR="0055443C" w:rsidRPr="00DE49C9">
              <w:rPr>
                <w:rFonts w:ascii="Times New Roman" w:hAnsi="Times New Roman" w:cs="Times New Roman"/>
                <w:noProof/>
                <w:webHidden/>
                <w:sz w:val="24"/>
                <w:szCs w:val="24"/>
              </w:rPr>
              <w:fldChar w:fldCharType="begin"/>
            </w:r>
            <w:r w:rsidR="0055443C" w:rsidRPr="00DE49C9">
              <w:rPr>
                <w:rFonts w:ascii="Times New Roman" w:hAnsi="Times New Roman" w:cs="Times New Roman"/>
                <w:noProof/>
                <w:webHidden/>
                <w:sz w:val="24"/>
                <w:szCs w:val="24"/>
              </w:rPr>
              <w:instrText xml:space="preserve"> PAGEREF _Toc70937413 \h </w:instrText>
            </w:r>
            <w:r w:rsidR="0055443C" w:rsidRPr="00DE49C9">
              <w:rPr>
                <w:rFonts w:ascii="Times New Roman" w:hAnsi="Times New Roman" w:cs="Times New Roman"/>
                <w:noProof/>
                <w:webHidden/>
                <w:sz w:val="24"/>
                <w:szCs w:val="24"/>
              </w:rPr>
            </w:r>
            <w:r w:rsidR="0055443C" w:rsidRPr="00DE49C9">
              <w:rPr>
                <w:rFonts w:ascii="Times New Roman" w:hAnsi="Times New Roman" w:cs="Times New Roman"/>
                <w:noProof/>
                <w:webHidden/>
                <w:sz w:val="24"/>
                <w:szCs w:val="24"/>
              </w:rPr>
              <w:fldChar w:fldCharType="separate"/>
            </w:r>
            <w:r w:rsidR="001B2791">
              <w:rPr>
                <w:rFonts w:ascii="Times New Roman" w:hAnsi="Times New Roman" w:cs="Times New Roman"/>
                <w:noProof/>
                <w:webHidden/>
                <w:sz w:val="24"/>
                <w:szCs w:val="24"/>
              </w:rPr>
              <w:t>24</w:t>
            </w:r>
            <w:r w:rsidR="0055443C" w:rsidRPr="00DE49C9">
              <w:rPr>
                <w:rFonts w:ascii="Times New Roman" w:hAnsi="Times New Roman" w:cs="Times New Roman"/>
                <w:noProof/>
                <w:webHidden/>
                <w:sz w:val="24"/>
                <w:szCs w:val="24"/>
              </w:rPr>
              <w:fldChar w:fldCharType="end"/>
            </w:r>
          </w:hyperlink>
        </w:p>
        <w:p w14:paraId="71802F9F" w14:textId="61942519" w:rsidR="0055443C" w:rsidRPr="00DE49C9" w:rsidRDefault="000C4BE8">
          <w:pPr>
            <w:pStyle w:val="TM3"/>
            <w:tabs>
              <w:tab w:val="left" w:pos="880"/>
              <w:tab w:val="right" w:leader="dot" w:pos="9350"/>
            </w:tabs>
            <w:rPr>
              <w:rFonts w:ascii="Times New Roman" w:eastAsiaTheme="minorEastAsia" w:hAnsi="Times New Roman" w:cs="Times New Roman"/>
              <w:noProof/>
              <w:sz w:val="24"/>
              <w:szCs w:val="24"/>
              <w:lang w:eastAsia="fr-FR"/>
            </w:rPr>
          </w:pPr>
          <w:hyperlink w:anchor="_Toc70937414" w:history="1">
            <w:r w:rsidR="0055443C" w:rsidRPr="00DE49C9">
              <w:rPr>
                <w:rStyle w:val="Lienhypertexte"/>
                <w:rFonts w:ascii="Times New Roman" w:hAnsi="Times New Roman" w:cs="Times New Roman"/>
                <w:noProof/>
                <w:sz w:val="24"/>
                <w:szCs w:val="24"/>
              </w:rPr>
              <w:t>a.</w:t>
            </w:r>
            <w:r w:rsidR="0055443C" w:rsidRPr="00DE49C9">
              <w:rPr>
                <w:rFonts w:ascii="Times New Roman" w:eastAsiaTheme="minorEastAsia" w:hAnsi="Times New Roman" w:cs="Times New Roman"/>
                <w:noProof/>
                <w:sz w:val="24"/>
                <w:szCs w:val="24"/>
                <w:lang w:eastAsia="fr-FR"/>
              </w:rPr>
              <w:tab/>
            </w:r>
            <w:r w:rsidR="0055443C" w:rsidRPr="00DE49C9">
              <w:rPr>
                <w:rStyle w:val="Lienhypertexte"/>
                <w:rFonts w:ascii="Times New Roman" w:hAnsi="Times New Roman" w:cs="Times New Roman"/>
                <w:noProof/>
                <w:sz w:val="24"/>
                <w:szCs w:val="24"/>
              </w:rPr>
              <w:t>Caractéristiques descriptives</w:t>
            </w:r>
            <w:r w:rsidR="0055443C" w:rsidRPr="00DE49C9">
              <w:rPr>
                <w:rFonts w:ascii="Times New Roman" w:hAnsi="Times New Roman" w:cs="Times New Roman"/>
                <w:noProof/>
                <w:webHidden/>
                <w:sz w:val="24"/>
                <w:szCs w:val="24"/>
              </w:rPr>
              <w:tab/>
            </w:r>
            <w:r w:rsidR="0055443C" w:rsidRPr="00DE49C9">
              <w:rPr>
                <w:rFonts w:ascii="Times New Roman" w:hAnsi="Times New Roman" w:cs="Times New Roman"/>
                <w:noProof/>
                <w:webHidden/>
                <w:sz w:val="24"/>
                <w:szCs w:val="24"/>
              </w:rPr>
              <w:fldChar w:fldCharType="begin"/>
            </w:r>
            <w:r w:rsidR="0055443C" w:rsidRPr="00DE49C9">
              <w:rPr>
                <w:rFonts w:ascii="Times New Roman" w:hAnsi="Times New Roman" w:cs="Times New Roman"/>
                <w:noProof/>
                <w:webHidden/>
                <w:sz w:val="24"/>
                <w:szCs w:val="24"/>
              </w:rPr>
              <w:instrText xml:space="preserve"> PAGEREF _Toc70937414 \h </w:instrText>
            </w:r>
            <w:r w:rsidR="0055443C" w:rsidRPr="00DE49C9">
              <w:rPr>
                <w:rFonts w:ascii="Times New Roman" w:hAnsi="Times New Roman" w:cs="Times New Roman"/>
                <w:noProof/>
                <w:webHidden/>
                <w:sz w:val="24"/>
                <w:szCs w:val="24"/>
              </w:rPr>
            </w:r>
            <w:r w:rsidR="0055443C" w:rsidRPr="00DE49C9">
              <w:rPr>
                <w:rFonts w:ascii="Times New Roman" w:hAnsi="Times New Roman" w:cs="Times New Roman"/>
                <w:noProof/>
                <w:webHidden/>
                <w:sz w:val="24"/>
                <w:szCs w:val="24"/>
              </w:rPr>
              <w:fldChar w:fldCharType="separate"/>
            </w:r>
            <w:r w:rsidR="001B2791">
              <w:rPr>
                <w:rFonts w:ascii="Times New Roman" w:hAnsi="Times New Roman" w:cs="Times New Roman"/>
                <w:noProof/>
                <w:webHidden/>
                <w:sz w:val="24"/>
                <w:szCs w:val="24"/>
              </w:rPr>
              <w:t>24</w:t>
            </w:r>
            <w:r w:rsidR="0055443C" w:rsidRPr="00DE49C9">
              <w:rPr>
                <w:rFonts w:ascii="Times New Roman" w:hAnsi="Times New Roman" w:cs="Times New Roman"/>
                <w:noProof/>
                <w:webHidden/>
                <w:sz w:val="24"/>
                <w:szCs w:val="24"/>
              </w:rPr>
              <w:fldChar w:fldCharType="end"/>
            </w:r>
          </w:hyperlink>
        </w:p>
        <w:p w14:paraId="5DAFD80E" w14:textId="00D6587A" w:rsidR="0055443C" w:rsidRPr="00DE49C9" w:rsidRDefault="000C4BE8">
          <w:pPr>
            <w:pStyle w:val="TM3"/>
            <w:tabs>
              <w:tab w:val="left" w:pos="880"/>
              <w:tab w:val="right" w:leader="dot" w:pos="9350"/>
            </w:tabs>
            <w:rPr>
              <w:rFonts w:ascii="Times New Roman" w:eastAsiaTheme="minorEastAsia" w:hAnsi="Times New Roman" w:cs="Times New Roman"/>
              <w:noProof/>
              <w:sz w:val="24"/>
              <w:szCs w:val="24"/>
              <w:lang w:eastAsia="fr-FR"/>
            </w:rPr>
          </w:pPr>
          <w:hyperlink w:anchor="_Toc70937415" w:history="1">
            <w:r w:rsidR="0055443C" w:rsidRPr="00DE49C9">
              <w:rPr>
                <w:rStyle w:val="Lienhypertexte"/>
                <w:rFonts w:ascii="Times New Roman" w:hAnsi="Times New Roman" w:cs="Times New Roman"/>
                <w:noProof/>
                <w:sz w:val="24"/>
                <w:szCs w:val="24"/>
              </w:rPr>
              <w:t>b.</w:t>
            </w:r>
            <w:r w:rsidR="0055443C" w:rsidRPr="00DE49C9">
              <w:rPr>
                <w:rFonts w:ascii="Times New Roman" w:eastAsiaTheme="minorEastAsia" w:hAnsi="Times New Roman" w:cs="Times New Roman"/>
                <w:noProof/>
                <w:sz w:val="24"/>
                <w:szCs w:val="24"/>
                <w:lang w:eastAsia="fr-FR"/>
              </w:rPr>
              <w:tab/>
            </w:r>
            <w:r w:rsidR="0055443C" w:rsidRPr="00DE49C9">
              <w:rPr>
                <w:rStyle w:val="Lienhypertexte"/>
                <w:rFonts w:ascii="Times New Roman" w:hAnsi="Times New Roman" w:cs="Times New Roman"/>
                <w:noProof/>
                <w:sz w:val="24"/>
                <w:szCs w:val="24"/>
              </w:rPr>
              <w:t>Evolution graphique des séries et nuage de points</w:t>
            </w:r>
            <w:r w:rsidR="0055443C" w:rsidRPr="00DE49C9">
              <w:rPr>
                <w:rFonts w:ascii="Times New Roman" w:hAnsi="Times New Roman" w:cs="Times New Roman"/>
                <w:noProof/>
                <w:webHidden/>
                <w:sz w:val="24"/>
                <w:szCs w:val="24"/>
              </w:rPr>
              <w:tab/>
            </w:r>
            <w:r w:rsidR="0055443C" w:rsidRPr="00DE49C9">
              <w:rPr>
                <w:rFonts w:ascii="Times New Roman" w:hAnsi="Times New Roman" w:cs="Times New Roman"/>
                <w:noProof/>
                <w:webHidden/>
                <w:sz w:val="24"/>
                <w:szCs w:val="24"/>
              </w:rPr>
              <w:fldChar w:fldCharType="begin"/>
            </w:r>
            <w:r w:rsidR="0055443C" w:rsidRPr="00DE49C9">
              <w:rPr>
                <w:rFonts w:ascii="Times New Roman" w:hAnsi="Times New Roman" w:cs="Times New Roman"/>
                <w:noProof/>
                <w:webHidden/>
                <w:sz w:val="24"/>
                <w:szCs w:val="24"/>
              </w:rPr>
              <w:instrText xml:space="preserve"> PAGEREF _Toc70937415 \h </w:instrText>
            </w:r>
            <w:r w:rsidR="0055443C" w:rsidRPr="00DE49C9">
              <w:rPr>
                <w:rFonts w:ascii="Times New Roman" w:hAnsi="Times New Roman" w:cs="Times New Roman"/>
                <w:noProof/>
                <w:webHidden/>
                <w:sz w:val="24"/>
                <w:szCs w:val="24"/>
              </w:rPr>
            </w:r>
            <w:r w:rsidR="0055443C" w:rsidRPr="00DE49C9">
              <w:rPr>
                <w:rFonts w:ascii="Times New Roman" w:hAnsi="Times New Roman" w:cs="Times New Roman"/>
                <w:noProof/>
                <w:webHidden/>
                <w:sz w:val="24"/>
                <w:szCs w:val="24"/>
              </w:rPr>
              <w:fldChar w:fldCharType="separate"/>
            </w:r>
            <w:r w:rsidR="001B2791">
              <w:rPr>
                <w:rFonts w:ascii="Times New Roman" w:hAnsi="Times New Roman" w:cs="Times New Roman"/>
                <w:noProof/>
                <w:webHidden/>
                <w:sz w:val="24"/>
                <w:szCs w:val="24"/>
              </w:rPr>
              <w:t>25</w:t>
            </w:r>
            <w:r w:rsidR="0055443C" w:rsidRPr="00DE49C9">
              <w:rPr>
                <w:rFonts w:ascii="Times New Roman" w:hAnsi="Times New Roman" w:cs="Times New Roman"/>
                <w:noProof/>
                <w:webHidden/>
                <w:sz w:val="24"/>
                <w:szCs w:val="24"/>
              </w:rPr>
              <w:fldChar w:fldCharType="end"/>
            </w:r>
          </w:hyperlink>
        </w:p>
        <w:p w14:paraId="3E0068AD" w14:textId="1CB57903" w:rsidR="0055443C" w:rsidRPr="00DE49C9" w:rsidRDefault="000C4BE8">
          <w:pPr>
            <w:pStyle w:val="TM3"/>
            <w:tabs>
              <w:tab w:val="left" w:pos="880"/>
              <w:tab w:val="right" w:leader="dot" w:pos="9350"/>
            </w:tabs>
            <w:rPr>
              <w:rFonts w:ascii="Times New Roman" w:eastAsiaTheme="minorEastAsia" w:hAnsi="Times New Roman" w:cs="Times New Roman"/>
              <w:noProof/>
              <w:sz w:val="24"/>
              <w:szCs w:val="24"/>
              <w:lang w:eastAsia="fr-FR"/>
            </w:rPr>
          </w:pPr>
          <w:hyperlink w:anchor="_Toc70937416" w:history="1">
            <w:r w:rsidR="0055443C" w:rsidRPr="00DE49C9">
              <w:rPr>
                <w:rStyle w:val="Lienhypertexte"/>
                <w:rFonts w:ascii="Times New Roman" w:hAnsi="Times New Roman" w:cs="Times New Roman"/>
                <w:noProof/>
                <w:sz w:val="24"/>
                <w:szCs w:val="24"/>
              </w:rPr>
              <w:t>c.</w:t>
            </w:r>
            <w:r w:rsidR="0055443C" w:rsidRPr="00DE49C9">
              <w:rPr>
                <w:rFonts w:ascii="Times New Roman" w:eastAsiaTheme="minorEastAsia" w:hAnsi="Times New Roman" w:cs="Times New Roman"/>
                <w:noProof/>
                <w:sz w:val="24"/>
                <w:szCs w:val="24"/>
                <w:lang w:eastAsia="fr-FR"/>
              </w:rPr>
              <w:tab/>
            </w:r>
            <w:r w:rsidR="0055443C" w:rsidRPr="00DE49C9">
              <w:rPr>
                <w:rStyle w:val="Lienhypertexte"/>
                <w:rFonts w:ascii="Times New Roman" w:hAnsi="Times New Roman" w:cs="Times New Roman"/>
                <w:noProof/>
                <w:sz w:val="24"/>
                <w:szCs w:val="24"/>
              </w:rPr>
              <w:t>Analyse de corrélation</w:t>
            </w:r>
            <w:r w:rsidR="0055443C" w:rsidRPr="00DE49C9">
              <w:rPr>
                <w:rFonts w:ascii="Times New Roman" w:hAnsi="Times New Roman" w:cs="Times New Roman"/>
                <w:noProof/>
                <w:webHidden/>
                <w:sz w:val="24"/>
                <w:szCs w:val="24"/>
              </w:rPr>
              <w:tab/>
            </w:r>
            <w:r w:rsidR="0055443C" w:rsidRPr="00DE49C9">
              <w:rPr>
                <w:rFonts w:ascii="Times New Roman" w:hAnsi="Times New Roman" w:cs="Times New Roman"/>
                <w:noProof/>
                <w:webHidden/>
                <w:sz w:val="24"/>
                <w:szCs w:val="24"/>
              </w:rPr>
              <w:fldChar w:fldCharType="begin"/>
            </w:r>
            <w:r w:rsidR="0055443C" w:rsidRPr="00DE49C9">
              <w:rPr>
                <w:rFonts w:ascii="Times New Roman" w:hAnsi="Times New Roman" w:cs="Times New Roman"/>
                <w:noProof/>
                <w:webHidden/>
                <w:sz w:val="24"/>
                <w:szCs w:val="24"/>
              </w:rPr>
              <w:instrText xml:space="preserve"> PAGEREF _Toc70937416 \h </w:instrText>
            </w:r>
            <w:r w:rsidR="0055443C" w:rsidRPr="00DE49C9">
              <w:rPr>
                <w:rFonts w:ascii="Times New Roman" w:hAnsi="Times New Roman" w:cs="Times New Roman"/>
                <w:noProof/>
                <w:webHidden/>
                <w:sz w:val="24"/>
                <w:szCs w:val="24"/>
              </w:rPr>
            </w:r>
            <w:r w:rsidR="0055443C" w:rsidRPr="00DE49C9">
              <w:rPr>
                <w:rFonts w:ascii="Times New Roman" w:hAnsi="Times New Roman" w:cs="Times New Roman"/>
                <w:noProof/>
                <w:webHidden/>
                <w:sz w:val="24"/>
                <w:szCs w:val="24"/>
              </w:rPr>
              <w:fldChar w:fldCharType="separate"/>
            </w:r>
            <w:r w:rsidR="001B2791">
              <w:rPr>
                <w:rFonts w:ascii="Times New Roman" w:hAnsi="Times New Roman" w:cs="Times New Roman"/>
                <w:noProof/>
                <w:webHidden/>
                <w:sz w:val="24"/>
                <w:szCs w:val="24"/>
              </w:rPr>
              <w:t>28</w:t>
            </w:r>
            <w:r w:rsidR="0055443C" w:rsidRPr="00DE49C9">
              <w:rPr>
                <w:rFonts w:ascii="Times New Roman" w:hAnsi="Times New Roman" w:cs="Times New Roman"/>
                <w:noProof/>
                <w:webHidden/>
                <w:sz w:val="24"/>
                <w:szCs w:val="24"/>
              </w:rPr>
              <w:fldChar w:fldCharType="end"/>
            </w:r>
          </w:hyperlink>
        </w:p>
        <w:p w14:paraId="30BC9BA7" w14:textId="2EF6B47F" w:rsidR="0055443C" w:rsidRPr="00DE49C9" w:rsidRDefault="000C4BE8">
          <w:pPr>
            <w:pStyle w:val="TM2"/>
            <w:tabs>
              <w:tab w:val="right" w:leader="dot" w:pos="9350"/>
            </w:tabs>
            <w:rPr>
              <w:rFonts w:ascii="Times New Roman" w:eastAsiaTheme="minorEastAsia" w:hAnsi="Times New Roman" w:cs="Times New Roman"/>
              <w:noProof/>
              <w:sz w:val="24"/>
              <w:szCs w:val="24"/>
              <w:lang w:eastAsia="fr-FR"/>
            </w:rPr>
          </w:pPr>
          <w:hyperlink w:anchor="_Toc70937417" w:history="1">
            <w:r w:rsidR="0055443C" w:rsidRPr="00DE49C9">
              <w:rPr>
                <w:rStyle w:val="Lienhypertexte"/>
                <w:rFonts w:ascii="Times New Roman" w:hAnsi="Times New Roman" w:cs="Times New Roman"/>
                <w:noProof/>
                <w:sz w:val="24"/>
                <w:szCs w:val="24"/>
              </w:rPr>
              <w:t>8.3. Résultats empiriques</w:t>
            </w:r>
            <w:r w:rsidR="0055443C" w:rsidRPr="00DE49C9">
              <w:rPr>
                <w:rFonts w:ascii="Times New Roman" w:hAnsi="Times New Roman" w:cs="Times New Roman"/>
                <w:noProof/>
                <w:webHidden/>
                <w:sz w:val="24"/>
                <w:szCs w:val="24"/>
              </w:rPr>
              <w:tab/>
            </w:r>
            <w:r w:rsidR="0055443C" w:rsidRPr="00DE49C9">
              <w:rPr>
                <w:rFonts w:ascii="Times New Roman" w:hAnsi="Times New Roman" w:cs="Times New Roman"/>
                <w:noProof/>
                <w:webHidden/>
                <w:sz w:val="24"/>
                <w:szCs w:val="24"/>
              </w:rPr>
              <w:fldChar w:fldCharType="begin"/>
            </w:r>
            <w:r w:rsidR="0055443C" w:rsidRPr="00DE49C9">
              <w:rPr>
                <w:rFonts w:ascii="Times New Roman" w:hAnsi="Times New Roman" w:cs="Times New Roman"/>
                <w:noProof/>
                <w:webHidden/>
                <w:sz w:val="24"/>
                <w:szCs w:val="24"/>
              </w:rPr>
              <w:instrText xml:space="preserve"> PAGEREF _Toc70937417 \h </w:instrText>
            </w:r>
            <w:r w:rsidR="0055443C" w:rsidRPr="00DE49C9">
              <w:rPr>
                <w:rFonts w:ascii="Times New Roman" w:hAnsi="Times New Roman" w:cs="Times New Roman"/>
                <w:noProof/>
                <w:webHidden/>
                <w:sz w:val="24"/>
                <w:szCs w:val="24"/>
              </w:rPr>
            </w:r>
            <w:r w:rsidR="0055443C" w:rsidRPr="00DE49C9">
              <w:rPr>
                <w:rFonts w:ascii="Times New Roman" w:hAnsi="Times New Roman" w:cs="Times New Roman"/>
                <w:noProof/>
                <w:webHidden/>
                <w:sz w:val="24"/>
                <w:szCs w:val="24"/>
              </w:rPr>
              <w:fldChar w:fldCharType="separate"/>
            </w:r>
            <w:r w:rsidR="001B2791">
              <w:rPr>
                <w:rFonts w:ascii="Times New Roman" w:hAnsi="Times New Roman" w:cs="Times New Roman"/>
                <w:noProof/>
                <w:webHidden/>
                <w:sz w:val="24"/>
                <w:szCs w:val="24"/>
              </w:rPr>
              <w:t>29</w:t>
            </w:r>
            <w:r w:rsidR="0055443C" w:rsidRPr="00DE49C9">
              <w:rPr>
                <w:rFonts w:ascii="Times New Roman" w:hAnsi="Times New Roman" w:cs="Times New Roman"/>
                <w:noProof/>
                <w:webHidden/>
                <w:sz w:val="24"/>
                <w:szCs w:val="24"/>
              </w:rPr>
              <w:fldChar w:fldCharType="end"/>
            </w:r>
          </w:hyperlink>
        </w:p>
        <w:p w14:paraId="4EAC113C" w14:textId="7BB9880C" w:rsidR="0055443C" w:rsidRPr="00DE49C9" w:rsidRDefault="000C4BE8">
          <w:pPr>
            <w:pStyle w:val="TM3"/>
            <w:tabs>
              <w:tab w:val="left" w:pos="880"/>
              <w:tab w:val="right" w:leader="dot" w:pos="9350"/>
            </w:tabs>
            <w:rPr>
              <w:rFonts w:ascii="Times New Roman" w:eastAsiaTheme="minorEastAsia" w:hAnsi="Times New Roman" w:cs="Times New Roman"/>
              <w:noProof/>
              <w:sz w:val="24"/>
              <w:szCs w:val="24"/>
              <w:lang w:eastAsia="fr-FR"/>
            </w:rPr>
          </w:pPr>
          <w:hyperlink w:anchor="_Toc70937418" w:history="1">
            <w:r w:rsidR="0055443C" w:rsidRPr="00DE49C9">
              <w:rPr>
                <w:rStyle w:val="Lienhypertexte"/>
                <w:rFonts w:ascii="Times New Roman" w:hAnsi="Times New Roman" w:cs="Times New Roman"/>
                <w:noProof/>
                <w:sz w:val="24"/>
                <w:szCs w:val="24"/>
              </w:rPr>
              <w:t>a.</w:t>
            </w:r>
            <w:r w:rsidR="0055443C" w:rsidRPr="00DE49C9">
              <w:rPr>
                <w:rFonts w:ascii="Times New Roman" w:eastAsiaTheme="minorEastAsia" w:hAnsi="Times New Roman" w:cs="Times New Roman"/>
                <w:noProof/>
                <w:sz w:val="24"/>
                <w:szCs w:val="24"/>
                <w:lang w:eastAsia="fr-FR"/>
              </w:rPr>
              <w:tab/>
            </w:r>
            <w:r w:rsidR="0055443C" w:rsidRPr="00DE49C9">
              <w:rPr>
                <w:rStyle w:val="Lienhypertexte"/>
                <w:rFonts w:ascii="Times New Roman" w:hAnsi="Times New Roman" w:cs="Times New Roman"/>
                <w:noProof/>
                <w:sz w:val="24"/>
                <w:szCs w:val="24"/>
              </w:rPr>
              <w:t>Stationnarité des séries</w:t>
            </w:r>
            <w:r w:rsidR="0055443C" w:rsidRPr="00DE49C9">
              <w:rPr>
                <w:rFonts w:ascii="Times New Roman" w:hAnsi="Times New Roman" w:cs="Times New Roman"/>
                <w:noProof/>
                <w:webHidden/>
                <w:sz w:val="24"/>
                <w:szCs w:val="24"/>
              </w:rPr>
              <w:tab/>
            </w:r>
            <w:r w:rsidR="0055443C" w:rsidRPr="00DE49C9">
              <w:rPr>
                <w:rFonts w:ascii="Times New Roman" w:hAnsi="Times New Roman" w:cs="Times New Roman"/>
                <w:noProof/>
                <w:webHidden/>
                <w:sz w:val="24"/>
                <w:szCs w:val="24"/>
              </w:rPr>
              <w:fldChar w:fldCharType="begin"/>
            </w:r>
            <w:r w:rsidR="0055443C" w:rsidRPr="00DE49C9">
              <w:rPr>
                <w:rFonts w:ascii="Times New Roman" w:hAnsi="Times New Roman" w:cs="Times New Roman"/>
                <w:noProof/>
                <w:webHidden/>
                <w:sz w:val="24"/>
                <w:szCs w:val="24"/>
              </w:rPr>
              <w:instrText xml:space="preserve"> PAGEREF _Toc70937418 \h </w:instrText>
            </w:r>
            <w:r w:rsidR="0055443C" w:rsidRPr="00DE49C9">
              <w:rPr>
                <w:rFonts w:ascii="Times New Roman" w:hAnsi="Times New Roman" w:cs="Times New Roman"/>
                <w:noProof/>
                <w:webHidden/>
                <w:sz w:val="24"/>
                <w:szCs w:val="24"/>
              </w:rPr>
            </w:r>
            <w:r w:rsidR="0055443C" w:rsidRPr="00DE49C9">
              <w:rPr>
                <w:rFonts w:ascii="Times New Roman" w:hAnsi="Times New Roman" w:cs="Times New Roman"/>
                <w:noProof/>
                <w:webHidden/>
                <w:sz w:val="24"/>
                <w:szCs w:val="24"/>
              </w:rPr>
              <w:fldChar w:fldCharType="separate"/>
            </w:r>
            <w:r w:rsidR="001B2791">
              <w:rPr>
                <w:rFonts w:ascii="Times New Roman" w:hAnsi="Times New Roman" w:cs="Times New Roman"/>
                <w:noProof/>
                <w:webHidden/>
                <w:sz w:val="24"/>
                <w:szCs w:val="24"/>
              </w:rPr>
              <w:t>29</w:t>
            </w:r>
            <w:r w:rsidR="0055443C" w:rsidRPr="00DE49C9">
              <w:rPr>
                <w:rFonts w:ascii="Times New Roman" w:hAnsi="Times New Roman" w:cs="Times New Roman"/>
                <w:noProof/>
                <w:webHidden/>
                <w:sz w:val="24"/>
                <w:szCs w:val="24"/>
              </w:rPr>
              <w:fldChar w:fldCharType="end"/>
            </w:r>
          </w:hyperlink>
        </w:p>
        <w:p w14:paraId="3A1E1426" w14:textId="35EA2090" w:rsidR="0055443C" w:rsidRPr="00DE49C9" w:rsidRDefault="000C4BE8">
          <w:pPr>
            <w:pStyle w:val="TM3"/>
            <w:tabs>
              <w:tab w:val="left" w:pos="880"/>
              <w:tab w:val="right" w:leader="dot" w:pos="9350"/>
            </w:tabs>
            <w:rPr>
              <w:rFonts w:ascii="Times New Roman" w:eastAsiaTheme="minorEastAsia" w:hAnsi="Times New Roman" w:cs="Times New Roman"/>
              <w:noProof/>
              <w:sz w:val="24"/>
              <w:szCs w:val="24"/>
              <w:lang w:eastAsia="fr-FR"/>
            </w:rPr>
          </w:pPr>
          <w:hyperlink w:anchor="_Toc70937419" w:history="1">
            <w:r w:rsidR="0055443C" w:rsidRPr="00DE49C9">
              <w:rPr>
                <w:rStyle w:val="Lienhypertexte"/>
                <w:rFonts w:ascii="Times New Roman" w:hAnsi="Times New Roman" w:cs="Times New Roman"/>
                <w:noProof/>
                <w:sz w:val="24"/>
                <w:szCs w:val="24"/>
              </w:rPr>
              <w:t>b.</w:t>
            </w:r>
            <w:r w:rsidR="0055443C" w:rsidRPr="00DE49C9">
              <w:rPr>
                <w:rFonts w:ascii="Times New Roman" w:eastAsiaTheme="minorEastAsia" w:hAnsi="Times New Roman" w:cs="Times New Roman"/>
                <w:noProof/>
                <w:sz w:val="24"/>
                <w:szCs w:val="24"/>
                <w:lang w:eastAsia="fr-FR"/>
              </w:rPr>
              <w:tab/>
            </w:r>
            <w:r w:rsidR="0055443C" w:rsidRPr="00DE49C9">
              <w:rPr>
                <w:rStyle w:val="Lienhypertexte"/>
                <w:rFonts w:ascii="Times New Roman" w:hAnsi="Times New Roman" w:cs="Times New Roman"/>
                <w:noProof/>
                <w:sz w:val="24"/>
                <w:szCs w:val="24"/>
              </w:rPr>
              <w:t>Analyse de causalité</w:t>
            </w:r>
            <w:r w:rsidR="0055443C" w:rsidRPr="00DE49C9">
              <w:rPr>
                <w:rFonts w:ascii="Times New Roman" w:hAnsi="Times New Roman" w:cs="Times New Roman"/>
                <w:noProof/>
                <w:webHidden/>
                <w:sz w:val="24"/>
                <w:szCs w:val="24"/>
              </w:rPr>
              <w:tab/>
            </w:r>
            <w:r w:rsidR="0055443C" w:rsidRPr="00DE49C9">
              <w:rPr>
                <w:rFonts w:ascii="Times New Roman" w:hAnsi="Times New Roman" w:cs="Times New Roman"/>
                <w:noProof/>
                <w:webHidden/>
                <w:sz w:val="24"/>
                <w:szCs w:val="24"/>
              </w:rPr>
              <w:fldChar w:fldCharType="begin"/>
            </w:r>
            <w:r w:rsidR="0055443C" w:rsidRPr="00DE49C9">
              <w:rPr>
                <w:rFonts w:ascii="Times New Roman" w:hAnsi="Times New Roman" w:cs="Times New Roman"/>
                <w:noProof/>
                <w:webHidden/>
                <w:sz w:val="24"/>
                <w:szCs w:val="24"/>
              </w:rPr>
              <w:instrText xml:space="preserve"> PAGEREF _Toc70937419 \h </w:instrText>
            </w:r>
            <w:r w:rsidR="0055443C" w:rsidRPr="00DE49C9">
              <w:rPr>
                <w:rFonts w:ascii="Times New Roman" w:hAnsi="Times New Roman" w:cs="Times New Roman"/>
                <w:noProof/>
                <w:webHidden/>
                <w:sz w:val="24"/>
                <w:szCs w:val="24"/>
              </w:rPr>
            </w:r>
            <w:r w:rsidR="0055443C" w:rsidRPr="00DE49C9">
              <w:rPr>
                <w:rFonts w:ascii="Times New Roman" w:hAnsi="Times New Roman" w:cs="Times New Roman"/>
                <w:noProof/>
                <w:webHidden/>
                <w:sz w:val="24"/>
                <w:szCs w:val="24"/>
              </w:rPr>
              <w:fldChar w:fldCharType="separate"/>
            </w:r>
            <w:r w:rsidR="001B2791">
              <w:rPr>
                <w:rFonts w:ascii="Times New Roman" w:hAnsi="Times New Roman" w:cs="Times New Roman"/>
                <w:noProof/>
                <w:webHidden/>
                <w:sz w:val="24"/>
                <w:szCs w:val="24"/>
              </w:rPr>
              <w:t>30</w:t>
            </w:r>
            <w:r w:rsidR="0055443C" w:rsidRPr="00DE49C9">
              <w:rPr>
                <w:rFonts w:ascii="Times New Roman" w:hAnsi="Times New Roman" w:cs="Times New Roman"/>
                <w:noProof/>
                <w:webHidden/>
                <w:sz w:val="24"/>
                <w:szCs w:val="24"/>
              </w:rPr>
              <w:fldChar w:fldCharType="end"/>
            </w:r>
          </w:hyperlink>
        </w:p>
        <w:p w14:paraId="2EF7B81E" w14:textId="208FA906" w:rsidR="0055443C" w:rsidRPr="00DE49C9" w:rsidRDefault="000C4BE8">
          <w:pPr>
            <w:pStyle w:val="TM3"/>
            <w:tabs>
              <w:tab w:val="left" w:pos="880"/>
              <w:tab w:val="right" w:leader="dot" w:pos="9350"/>
            </w:tabs>
            <w:rPr>
              <w:rFonts w:ascii="Times New Roman" w:eastAsiaTheme="minorEastAsia" w:hAnsi="Times New Roman" w:cs="Times New Roman"/>
              <w:noProof/>
              <w:sz w:val="24"/>
              <w:szCs w:val="24"/>
              <w:lang w:eastAsia="fr-FR"/>
            </w:rPr>
          </w:pPr>
          <w:hyperlink w:anchor="_Toc70937420" w:history="1">
            <w:r w:rsidR="0055443C" w:rsidRPr="00DE49C9">
              <w:rPr>
                <w:rStyle w:val="Lienhypertexte"/>
                <w:rFonts w:ascii="Times New Roman" w:hAnsi="Times New Roman" w:cs="Times New Roman"/>
                <w:noProof/>
                <w:sz w:val="24"/>
                <w:szCs w:val="24"/>
              </w:rPr>
              <w:t>c.</w:t>
            </w:r>
            <w:r w:rsidR="0055443C" w:rsidRPr="00DE49C9">
              <w:rPr>
                <w:rFonts w:ascii="Times New Roman" w:eastAsiaTheme="minorEastAsia" w:hAnsi="Times New Roman" w:cs="Times New Roman"/>
                <w:noProof/>
                <w:sz w:val="24"/>
                <w:szCs w:val="24"/>
                <w:lang w:eastAsia="fr-FR"/>
              </w:rPr>
              <w:tab/>
            </w:r>
            <w:r w:rsidR="0055443C" w:rsidRPr="00DE49C9">
              <w:rPr>
                <w:rStyle w:val="Lienhypertexte"/>
                <w:rFonts w:ascii="Times New Roman" w:hAnsi="Times New Roman" w:cs="Times New Roman"/>
                <w:noProof/>
                <w:sz w:val="24"/>
                <w:szCs w:val="24"/>
              </w:rPr>
              <w:t>Décalage optimal et estimation du modèle ARDL</w:t>
            </w:r>
            <w:r w:rsidR="0055443C" w:rsidRPr="00DE49C9">
              <w:rPr>
                <w:rFonts w:ascii="Times New Roman" w:hAnsi="Times New Roman" w:cs="Times New Roman"/>
                <w:noProof/>
                <w:webHidden/>
                <w:sz w:val="24"/>
                <w:szCs w:val="24"/>
              </w:rPr>
              <w:tab/>
            </w:r>
            <w:r w:rsidR="0055443C" w:rsidRPr="00DE49C9">
              <w:rPr>
                <w:rFonts w:ascii="Times New Roman" w:hAnsi="Times New Roman" w:cs="Times New Roman"/>
                <w:noProof/>
                <w:webHidden/>
                <w:sz w:val="24"/>
                <w:szCs w:val="24"/>
              </w:rPr>
              <w:fldChar w:fldCharType="begin"/>
            </w:r>
            <w:r w:rsidR="0055443C" w:rsidRPr="00DE49C9">
              <w:rPr>
                <w:rFonts w:ascii="Times New Roman" w:hAnsi="Times New Roman" w:cs="Times New Roman"/>
                <w:noProof/>
                <w:webHidden/>
                <w:sz w:val="24"/>
                <w:szCs w:val="24"/>
              </w:rPr>
              <w:instrText xml:space="preserve"> PAGEREF _Toc70937420 \h </w:instrText>
            </w:r>
            <w:r w:rsidR="0055443C" w:rsidRPr="00DE49C9">
              <w:rPr>
                <w:rFonts w:ascii="Times New Roman" w:hAnsi="Times New Roman" w:cs="Times New Roman"/>
                <w:noProof/>
                <w:webHidden/>
                <w:sz w:val="24"/>
                <w:szCs w:val="24"/>
              </w:rPr>
            </w:r>
            <w:r w:rsidR="0055443C" w:rsidRPr="00DE49C9">
              <w:rPr>
                <w:rFonts w:ascii="Times New Roman" w:hAnsi="Times New Roman" w:cs="Times New Roman"/>
                <w:noProof/>
                <w:webHidden/>
                <w:sz w:val="24"/>
                <w:szCs w:val="24"/>
              </w:rPr>
              <w:fldChar w:fldCharType="separate"/>
            </w:r>
            <w:r w:rsidR="001B2791">
              <w:rPr>
                <w:rFonts w:ascii="Times New Roman" w:hAnsi="Times New Roman" w:cs="Times New Roman"/>
                <w:noProof/>
                <w:webHidden/>
                <w:sz w:val="24"/>
                <w:szCs w:val="24"/>
              </w:rPr>
              <w:t>32</w:t>
            </w:r>
            <w:r w:rsidR="0055443C" w:rsidRPr="00DE49C9">
              <w:rPr>
                <w:rFonts w:ascii="Times New Roman" w:hAnsi="Times New Roman" w:cs="Times New Roman"/>
                <w:noProof/>
                <w:webHidden/>
                <w:sz w:val="24"/>
                <w:szCs w:val="24"/>
              </w:rPr>
              <w:fldChar w:fldCharType="end"/>
            </w:r>
          </w:hyperlink>
        </w:p>
        <w:p w14:paraId="705F2738" w14:textId="2EE99BD6" w:rsidR="0055443C" w:rsidRPr="00DE49C9" w:rsidRDefault="000C4BE8">
          <w:pPr>
            <w:pStyle w:val="TM3"/>
            <w:tabs>
              <w:tab w:val="left" w:pos="880"/>
              <w:tab w:val="right" w:leader="dot" w:pos="9350"/>
            </w:tabs>
            <w:rPr>
              <w:rFonts w:ascii="Times New Roman" w:eastAsiaTheme="minorEastAsia" w:hAnsi="Times New Roman" w:cs="Times New Roman"/>
              <w:noProof/>
              <w:sz w:val="24"/>
              <w:szCs w:val="24"/>
              <w:lang w:eastAsia="fr-FR"/>
            </w:rPr>
          </w:pPr>
          <w:hyperlink w:anchor="_Toc70937421" w:history="1">
            <w:r w:rsidR="0055443C" w:rsidRPr="00DE49C9">
              <w:rPr>
                <w:rStyle w:val="Lienhypertexte"/>
                <w:rFonts w:ascii="Times New Roman" w:hAnsi="Times New Roman" w:cs="Times New Roman"/>
                <w:noProof/>
                <w:sz w:val="24"/>
                <w:szCs w:val="24"/>
              </w:rPr>
              <w:t>d.</w:t>
            </w:r>
            <w:r w:rsidR="0055443C" w:rsidRPr="00DE49C9">
              <w:rPr>
                <w:rFonts w:ascii="Times New Roman" w:eastAsiaTheme="minorEastAsia" w:hAnsi="Times New Roman" w:cs="Times New Roman"/>
                <w:noProof/>
                <w:sz w:val="24"/>
                <w:szCs w:val="24"/>
                <w:lang w:eastAsia="fr-FR"/>
              </w:rPr>
              <w:tab/>
            </w:r>
            <w:r w:rsidR="0055443C" w:rsidRPr="00DE49C9">
              <w:rPr>
                <w:rStyle w:val="Lienhypertexte"/>
                <w:rFonts w:ascii="Times New Roman" w:hAnsi="Times New Roman" w:cs="Times New Roman"/>
                <w:noProof/>
                <w:sz w:val="24"/>
                <w:szCs w:val="24"/>
              </w:rPr>
              <w:t>Test de Cointégration</w:t>
            </w:r>
            <w:r w:rsidR="0055443C" w:rsidRPr="00DE49C9">
              <w:rPr>
                <w:rFonts w:ascii="Times New Roman" w:hAnsi="Times New Roman" w:cs="Times New Roman"/>
                <w:noProof/>
                <w:webHidden/>
                <w:sz w:val="24"/>
                <w:szCs w:val="24"/>
              </w:rPr>
              <w:tab/>
            </w:r>
            <w:r w:rsidR="0055443C" w:rsidRPr="00DE49C9">
              <w:rPr>
                <w:rFonts w:ascii="Times New Roman" w:hAnsi="Times New Roman" w:cs="Times New Roman"/>
                <w:noProof/>
                <w:webHidden/>
                <w:sz w:val="24"/>
                <w:szCs w:val="24"/>
              </w:rPr>
              <w:fldChar w:fldCharType="begin"/>
            </w:r>
            <w:r w:rsidR="0055443C" w:rsidRPr="00DE49C9">
              <w:rPr>
                <w:rFonts w:ascii="Times New Roman" w:hAnsi="Times New Roman" w:cs="Times New Roman"/>
                <w:noProof/>
                <w:webHidden/>
                <w:sz w:val="24"/>
                <w:szCs w:val="24"/>
              </w:rPr>
              <w:instrText xml:space="preserve"> PAGEREF _Toc70937421 \h </w:instrText>
            </w:r>
            <w:r w:rsidR="0055443C" w:rsidRPr="00DE49C9">
              <w:rPr>
                <w:rFonts w:ascii="Times New Roman" w:hAnsi="Times New Roman" w:cs="Times New Roman"/>
                <w:noProof/>
                <w:webHidden/>
                <w:sz w:val="24"/>
                <w:szCs w:val="24"/>
              </w:rPr>
            </w:r>
            <w:r w:rsidR="0055443C" w:rsidRPr="00DE49C9">
              <w:rPr>
                <w:rFonts w:ascii="Times New Roman" w:hAnsi="Times New Roman" w:cs="Times New Roman"/>
                <w:noProof/>
                <w:webHidden/>
                <w:sz w:val="24"/>
                <w:szCs w:val="24"/>
              </w:rPr>
              <w:fldChar w:fldCharType="separate"/>
            </w:r>
            <w:r w:rsidR="001B2791">
              <w:rPr>
                <w:rFonts w:ascii="Times New Roman" w:hAnsi="Times New Roman" w:cs="Times New Roman"/>
                <w:noProof/>
                <w:webHidden/>
                <w:sz w:val="24"/>
                <w:szCs w:val="24"/>
              </w:rPr>
              <w:t>37</w:t>
            </w:r>
            <w:r w:rsidR="0055443C" w:rsidRPr="00DE49C9">
              <w:rPr>
                <w:rFonts w:ascii="Times New Roman" w:hAnsi="Times New Roman" w:cs="Times New Roman"/>
                <w:noProof/>
                <w:webHidden/>
                <w:sz w:val="24"/>
                <w:szCs w:val="24"/>
              </w:rPr>
              <w:fldChar w:fldCharType="end"/>
            </w:r>
          </w:hyperlink>
        </w:p>
        <w:p w14:paraId="0D7084C3" w14:textId="176F74F5" w:rsidR="0055443C" w:rsidRPr="00DE49C9" w:rsidRDefault="000C4BE8">
          <w:pPr>
            <w:pStyle w:val="TM3"/>
            <w:tabs>
              <w:tab w:val="left" w:pos="880"/>
              <w:tab w:val="right" w:leader="dot" w:pos="9350"/>
            </w:tabs>
            <w:rPr>
              <w:rFonts w:ascii="Times New Roman" w:eastAsiaTheme="minorEastAsia" w:hAnsi="Times New Roman" w:cs="Times New Roman"/>
              <w:noProof/>
              <w:sz w:val="24"/>
              <w:szCs w:val="24"/>
              <w:lang w:eastAsia="fr-FR"/>
            </w:rPr>
          </w:pPr>
          <w:hyperlink w:anchor="_Toc70937422" w:history="1">
            <w:r w:rsidR="0055443C" w:rsidRPr="00DE49C9">
              <w:rPr>
                <w:rStyle w:val="Lienhypertexte"/>
                <w:rFonts w:ascii="Times New Roman" w:hAnsi="Times New Roman" w:cs="Times New Roman"/>
                <w:noProof/>
                <w:sz w:val="24"/>
                <w:szCs w:val="24"/>
              </w:rPr>
              <w:t>e.</w:t>
            </w:r>
            <w:r w:rsidR="0055443C" w:rsidRPr="00DE49C9">
              <w:rPr>
                <w:rFonts w:ascii="Times New Roman" w:eastAsiaTheme="minorEastAsia" w:hAnsi="Times New Roman" w:cs="Times New Roman"/>
                <w:noProof/>
                <w:sz w:val="24"/>
                <w:szCs w:val="24"/>
                <w:lang w:eastAsia="fr-FR"/>
              </w:rPr>
              <w:tab/>
            </w:r>
            <w:r w:rsidR="0055443C" w:rsidRPr="00DE49C9">
              <w:rPr>
                <w:rStyle w:val="Lienhypertexte"/>
                <w:rFonts w:ascii="Times New Roman" w:hAnsi="Times New Roman" w:cs="Times New Roman"/>
                <w:noProof/>
                <w:sz w:val="24"/>
                <w:szCs w:val="24"/>
              </w:rPr>
              <w:t>Estimation de court et de long terme</w:t>
            </w:r>
            <w:r w:rsidR="0055443C" w:rsidRPr="00DE49C9">
              <w:rPr>
                <w:rFonts w:ascii="Times New Roman" w:hAnsi="Times New Roman" w:cs="Times New Roman"/>
                <w:noProof/>
                <w:webHidden/>
                <w:sz w:val="24"/>
                <w:szCs w:val="24"/>
              </w:rPr>
              <w:tab/>
            </w:r>
            <w:r w:rsidR="0055443C" w:rsidRPr="00DE49C9">
              <w:rPr>
                <w:rFonts w:ascii="Times New Roman" w:hAnsi="Times New Roman" w:cs="Times New Roman"/>
                <w:noProof/>
                <w:webHidden/>
                <w:sz w:val="24"/>
                <w:szCs w:val="24"/>
              </w:rPr>
              <w:fldChar w:fldCharType="begin"/>
            </w:r>
            <w:r w:rsidR="0055443C" w:rsidRPr="00DE49C9">
              <w:rPr>
                <w:rFonts w:ascii="Times New Roman" w:hAnsi="Times New Roman" w:cs="Times New Roman"/>
                <w:noProof/>
                <w:webHidden/>
                <w:sz w:val="24"/>
                <w:szCs w:val="24"/>
              </w:rPr>
              <w:instrText xml:space="preserve"> PAGEREF _Toc70937422 \h </w:instrText>
            </w:r>
            <w:r w:rsidR="0055443C" w:rsidRPr="00DE49C9">
              <w:rPr>
                <w:rFonts w:ascii="Times New Roman" w:hAnsi="Times New Roman" w:cs="Times New Roman"/>
                <w:noProof/>
                <w:webHidden/>
                <w:sz w:val="24"/>
                <w:szCs w:val="24"/>
              </w:rPr>
            </w:r>
            <w:r w:rsidR="0055443C" w:rsidRPr="00DE49C9">
              <w:rPr>
                <w:rFonts w:ascii="Times New Roman" w:hAnsi="Times New Roman" w:cs="Times New Roman"/>
                <w:noProof/>
                <w:webHidden/>
                <w:sz w:val="24"/>
                <w:szCs w:val="24"/>
              </w:rPr>
              <w:fldChar w:fldCharType="separate"/>
            </w:r>
            <w:r w:rsidR="001B2791">
              <w:rPr>
                <w:rFonts w:ascii="Times New Roman" w:hAnsi="Times New Roman" w:cs="Times New Roman"/>
                <w:noProof/>
                <w:webHidden/>
                <w:sz w:val="24"/>
                <w:szCs w:val="24"/>
              </w:rPr>
              <w:t>39</w:t>
            </w:r>
            <w:r w:rsidR="0055443C" w:rsidRPr="00DE49C9">
              <w:rPr>
                <w:rFonts w:ascii="Times New Roman" w:hAnsi="Times New Roman" w:cs="Times New Roman"/>
                <w:noProof/>
                <w:webHidden/>
                <w:sz w:val="24"/>
                <w:szCs w:val="24"/>
              </w:rPr>
              <w:fldChar w:fldCharType="end"/>
            </w:r>
          </w:hyperlink>
        </w:p>
        <w:p w14:paraId="30A1D23B" w14:textId="108CACF9" w:rsidR="0055443C" w:rsidRPr="00DE49C9" w:rsidRDefault="000C4BE8">
          <w:pPr>
            <w:pStyle w:val="TM1"/>
            <w:tabs>
              <w:tab w:val="left" w:pos="440"/>
              <w:tab w:val="right" w:leader="dot" w:pos="9350"/>
            </w:tabs>
            <w:rPr>
              <w:rFonts w:ascii="Times New Roman" w:eastAsiaTheme="minorEastAsia" w:hAnsi="Times New Roman" w:cs="Times New Roman"/>
              <w:noProof/>
              <w:sz w:val="24"/>
              <w:szCs w:val="24"/>
              <w:lang w:eastAsia="fr-FR"/>
            </w:rPr>
          </w:pPr>
          <w:hyperlink w:anchor="_Toc70937423" w:history="1">
            <w:r w:rsidR="0055443C" w:rsidRPr="00DE49C9">
              <w:rPr>
                <w:rStyle w:val="Lienhypertexte"/>
                <w:rFonts w:ascii="Times New Roman" w:hAnsi="Times New Roman" w:cs="Times New Roman"/>
                <w:noProof/>
                <w:sz w:val="24"/>
                <w:szCs w:val="24"/>
              </w:rPr>
              <w:t>9.</w:t>
            </w:r>
            <w:r w:rsidR="0055443C" w:rsidRPr="00DE49C9">
              <w:rPr>
                <w:rFonts w:ascii="Times New Roman" w:eastAsiaTheme="minorEastAsia" w:hAnsi="Times New Roman" w:cs="Times New Roman"/>
                <w:noProof/>
                <w:sz w:val="24"/>
                <w:szCs w:val="24"/>
                <w:lang w:eastAsia="fr-FR"/>
              </w:rPr>
              <w:tab/>
            </w:r>
            <w:r w:rsidR="0055443C" w:rsidRPr="00DE49C9">
              <w:rPr>
                <w:rStyle w:val="Lienhypertexte"/>
                <w:rFonts w:ascii="Times New Roman" w:hAnsi="Times New Roman" w:cs="Times New Roman"/>
                <w:noProof/>
                <w:sz w:val="24"/>
                <w:szCs w:val="24"/>
              </w:rPr>
              <w:t>Discussions et Limites</w:t>
            </w:r>
            <w:r w:rsidR="0055443C" w:rsidRPr="00DE49C9">
              <w:rPr>
                <w:rFonts w:ascii="Times New Roman" w:hAnsi="Times New Roman" w:cs="Times New Roman"/>
                <w:noProof/>
                <w:webHidden/>
                <w:sz w:val="24"/>
                <w:szCs w:val="24"/>
              </w:rPr>
              <w:tab/>
            </w:r>
            <w:r w:rsidR="0055443C" w:rsidRPr="00DE49C9">
              <w:rPr>
                <w:rFonts w:ascii="Times New Roman" w:hAnsi="Times New Roman" w:cs="Times New Roman"/>
                <w:noProof/>
                <w:webHidden/>
                <w:sz w:val="24"/>
                <w:szCs w:val="24"/>
              </w:rPr>
              <w:fldChar w:fldCharType="begin"/>
            </w:r>
            <w:r w:rsidR="0055443C" w:rsidRPr="00DE49C9">
              <w:rPr>
                <w:rFonts w:ascii="Times New Roman" w:hAnsi="Times New Roman" w:cs="Times New Roman"/>
                <w:noProof/>
                <w:webHidden/>
                <w:sz w:val="24"/>
                <w:szCs w:val="24"/>
              </w:rPr>
              <w:instrText xml:space="preserve"> PAGEREF _Toc70937423 \h </w:instrText>
            </w:r>
            <w:r w:rsidR="0055443C" w:rsidRPr="00DE49C9">
              <w:rPr>
                <w:rFonts w:ascii="Times New Roman" w:hAnsi="Times New Roman" w:cs="Times New Roman"/>
                <w:noProof/>
                <w:webHidden/>
                <w:sz w:val="24"/>
                <w:szCs w:val="24"/>
              </w:rPr>
            </w:r>
            <w:r w:rsidR="0055443C" w:rsidRPr="00DE49C9">
              <w:rPr>
                <w:rFonts w:ascii="Times New Roman" w:hAnsi="Times New Roman" w:cs="Times New Roman"/>
                <w:noProof/>
                <w:webHidden/>
                <w:sz w:val="24"/>
                <w:szCs w:val="24"/>
              </w:rPr>
              <w:fldChar w:fldCharType="separate"/>
            </w:r>
            <w:r w:rsidR="001B2791">
              <w:rPr>
                <w:rFonts w:ascii="Times New Roman" w:hAnsi="Times New Roman" w:cs="Times New Roman"/>
                <w:noProof/>
                <w:webHidden/>
                <w:sz w:val="24"/>
                <w:szCs w:val="24"/>
              </w:rPr>
              <w:t>41</w:t>
            </w:r>
            <w:r w:rsidR="0055443C" w:rsidRPr="00DE49C9">
              <w:rPr>
                <w:rFonts w:ascii="Times New Roman" w:hAnsi="Times New Roman" w:cs="Times New Roman"/>
                <w:noProof/>
                <w:webHidden/>
                <w:sz w:val="24"/>
                <w:szCs w:val="24"/>
              </w:rPr>
              <w:fldChar w:fldCharType="end"/>
            </w:r>
          </w:hyperlink>
        </w:p>
        <w:p w14:paraId="4B0AED69" w14:textId="19C35CE4" w:rsidR="0055443C" w:rsidRPr="00DE49C9" w:rsidRDefault="000C4BE8">
          <w:pPr>
            <w:pStyle w:val="TM1"/>
            <w:tabs>
              <w:tab w:val="left" w:pos="660"/>
              <w:tab w:val="right" w:leader="dot" w:pos="9350"/>
            </w:tabs>
            <w:rPr>
              <w:rFonts w:ascii="Times New Roman" w:eastAsiaTheme="minorEastAsia" w:hAnsi="Times New Roman" w:cs="Times New Roman"/>
              <w:noProof/>
              <w:sz w:val="24"/>
              <w:szCs w:val="24"/>
              <w:lang w:eastAsia="fr-FR"/>
            </w:rPr>
          </w:pPr>
          <w:hyperlink w:anchor="_Toc70937424" w:history="1">
            <w:r w:rsidR="0055443C" w:rsidRPr="00DE49C9">
              <w:rPr>
                <w:rStyle w:val="Lienhypertexte"/>
                <w:rFonts w:ascii="Times New Roman" w:hAnsi="Times New Roman" w:cs="Times New Roman"/>
                <w:noProof/>
                <w:sz w:val="24"/>
                <w:szCs w:val="24"/>
              </w:rPr>
              <w:t>10.</w:t>
            </w:r>
            <w:r w:rsidR="0055443C" w:rsidRPr="00DE49C9">
              <w:rPr>
                <w:rFonts w:ascii="Times New Roman" w:eastAsiaTheme="minorEastAsia" w:hAnsi="Times New Roman" w:cs="Times New Roman"/>
                <w:noProof/>
                <w:sz w:val="24"/>
                <w:szCs w:val="24"/>
                <w:lang w:eastAsia="fr-FR"/>
              </w:rPr>
              <w:tab/>
            </w:r>
            <w:r w:rsidR="0055443C" w:rsidRPr="00DE49C9">
              <w:rPr>
                <w:rStyle w:val="Lienhypertexte"/>
                <w:rFonts w:ascii="Times New Roman" w:hAnsi="Times New Roman" w:cs="Times New Roman"/>
                <w:noProof/>
                <w:sz w:val="24"/>
                <w:szCs w:val="24"/>
              </w:rPr>
              <w:t>Conclusion</w:t>
            </w:r>
            <w:r w:rsidR="0055443C" w:rsidRPr="00DE49C9">
              <w:rPr>
                <w:rFonts w:ascii="Times New Roman" w:hAnsi="Times New Roman" w:cs="Times New Roman"/>
                <w:noProof/>
                <w:webHidden/>
                <w:sz w:val="24"/>
                <w:szCs w:val="24"/>
              </w:rPr>
              <w:tab/>
            </w:r>
            <w:r w:rsidR="0055443C" w:rsidRPr="00DE49C9">
              <w:rPr>
                <w:rFonts w:ascii="Times New Roman" w:hAnsi="Times New Roman" w:cs="Times New Roman"/>
                <w:noProof/>
                <w:webHidden/>
                <w:sz w:val="24"/>
                <w:szCs w:val="24"/>
              </w:rPr>
              <w:fldChar w:fldCharType="begin"/>
            </w:r>
            <w:r w:rsidR="0055443C" w:rsidRPr="00DE49C9">
              <w:rPr>
                <w:rFonts w:ascii="Times New Roman" w:hAnsi="Times New Roman" w:cs="Times New Roman"/>
                <w:noProof/>
                <w:webHidden/>
                <w:sz w:val="24"/>
                <w:szCs w:val="24"/>
              </w:rPr>
              <w:instrText xml:space="preserve"> PAGEREF _Toc70937424 \h </w:instrText>
            </w:r>
            <w:r w:rsidR="0055443C" w:rsidRPr="00DE49C9">
              <w:rPr>
                <w:rFonts w:ascii="Times New Roman" w:hAnsi="Times New Roman" w:cs="Times New Roman"/>
                <w:noProof/>
                <w:webHidden/>
                <w:sz w:val="24"/>
                <w:szCs w:val="24"/>
              </w:rPr>
            </w:r>
            <w:r w:rsidR="0055443C" w:rsidRPr="00DE49C9">
              <w:rPr>
                <w:rFonts w:ascii="Times New Roman" w:hAnsi="Times New Roman" w:cs="Times New Roman"/>
                <w:noProof/>
                <w:webHidden/>
                <w:sz w:val="24"/>
                <w:szCs w:val="24"/>
              </w:rPr>
              <w:fldChar w:fldCharType="separate"/>
            </w:r>
            <w:r w:rsidR="001B2791">
              <w:rPr>
                <w:rFonts w:ascii="Times New Roman" w:hAnsi="Times New Roman" w:cs="Times New Roman"/>
                <w:noProof/>
                <w:webHidden/>
                <w:sz w:val="24"/>
                <w:szCs w:val="24"/>
              </w:rPr>
              <w:t>42</w:t>
            </w:r>
            <w:r w:rsidR="0055443C" w:rsidRPr="00DE49C9">
              <w:rPr>
                <w:rFonts w:ascii="Times New Roman" w:hAnsi="Times New Roman" w:cs="Times New Roman"/>
                <w:noProof/>
                <w:webHidden/>
                <w:sz w:val="24"/>
                <w:szCs w:val="24"/>
              </w:rPr>
              <w:fldChar w:fldCharType="end"/>
            </w:r>
          </w:hyperlink>
        </w:p>
        <w:p w14:paraId="7D42B606" w14:textId="0ADDD2F1" w:rsidR="0055443C" w:rsidRPr="00DE49C9" w:rsidRDefault="000C4BE8">
          <w:pPr>
            <w:pStyle w:val="TM1"/>
            <w:tabs>
              <w:tab w:val="right" w:leader="dot" w:pos="9350"/>
            </w:tabs>
            <w:rPr>
              <w:rFonts w:ascii="Times New Roman" w:eastAsiaTheme="minorEastAsia" w:hAnsi="Times New Roman" w:cs="Times New Roman"/>
              <w:noProof/>
              <w:sz w:val="24"/>
              <w:szCs w:val="24"/>
              <w:lang w:eastAsia="fr-FR"/>
            </w:rPr>
          </w:pPr>
          <w:hyperlink w:anchor="_Toc70937425" w:history="1">
            <w:r w:rsidR="0055443C" w:rsidRPr="00DE49C9">
              <w:rPr>
                <w:rStyle w:val="Lienhypertexte"/>
                <w:rFonts w:ascii="Times New Roman" w:hAnsi="Times New Roman" w:cs="Times New Roman"/>
                <w:noProof/>
                <w:sz w:val="24"/>
                <w:szCs w:val="24"/>
              </w:rPr>
              <w:t>Bibliographie</w:t>
            </w:r>
            <w:r w:rsidR="0055443C" w:rsidRPr="00DE49C9">
              <w:rPr>
                <w:rFonts w:ascii="Times New Roman" w:hAnsi="Times New Roman" w:cs="Times New Roman"/>
                <w:noProof/>
                <w:webHidden/>
                <w:sz w:val="24"/>
                <w:szCs w:val="24"/>
              </w:rPr>
              <w:tab/>
            </w:r>
            <w:r w:rsidR="0055443C" w:rsidRPr="00DE49C9">
              <w:rPr>
                <w:rFonts w:ascii="Times New Roman" w:hAnsi="Times New Roman" w:cs="Times New Roman"/>
                <w:noProof/>
                <w:webHidden/>
                <w:sz w:val="24"/>
                <w:szCs w:val="24"/>
              </w:rPr>
              <w:fldChar w:fldCharType="begin"/>
            </w:r>
            <w:r w:rsidR="0055443C" w:rsidRPr="00DE49C9">
              <w:rPr>
                <w:rFonts w:ascii="Times New Roman" w:hAnsi="Times New Roman" w:cs="Times New Roman"/>
                <w:noProof/>
                <w:webHidden/>
                <w:sz w:val="24"/>
                <w:szCs w:val="24"/>
              </w:rPr>
              <w:instrText xml:space="preserve"> PAGEREF _Toc70937425 \h </w:instrText>
            </w:r>
            <w:r w:rsidR="0055443C" w:rsidRPr="00DE49C9">
              <w:rPr>
                <w:rFonts w:ascii="Times New Roman" w:hAnsi="Times New Roman" w:cs="Times New Roman"/>
                <w:noProof/>
                <w:webHidden/>
                <w:sz w:val="24"/>
                <w:szCs w:val="24"/>
              </w:rPr>
            </w:r>
            <w:r w:rsidR="0055443C" w:rsidRPr="00DE49C9">
              <w:rPr>
                <w:rFonts w:ascii="Times New Roman" w:hAnsi="Times New Roman" w:cs="Times New Roman"/>
                <w:noProof/>
                <w:webHidden/>
                <w:sz w:val="24"/>
                <w:szCs w:val="24"/>
              </w:rPr>
              <w:fldChar w:fldCharType="separate"/>
            </w:r>
            <w:r w:rsidR="001B2791">
              <w:rPr>
                <w:rFonts w:ascii="Times New Roman" w:hAnsi="Times New Roman" w:cs="Times New Roman"/>
                <w:noProof/>
                <w:webHidden/>
                <w:sz w:val="24"/>
                <w:szCs w:val="24"/>
              </w:rPr>
              <w:t>i</w:t>
            </w:r>
            <w:r w:rsidR="0055443C" w:rsidRPr="00DE49C9">
              <w:rPr>
                <w:rFonts w:ascii="Times New Roman" w:hAnsi="Times New Roman" w:cs="Times New Roman"/>
                <w:noProof/>
                <w:webHidden/>
                <w:sz w:val="24"/>
                <w:szCs w:val="24"/>
              </w:rPr>
              <w:fldChar w:fldCharType="end"/>
            </w:r>
          </w:hyperlink>
        </w:p>
        <w:p w14:paraId="034DFF11" w14:textId="33EFB9A2" w:rsidR="0055443C" w:rsidRPr="00DE49C9" w:rsidRDefault="000C4BE8">
          <w:pPr>
            <w:pStyle w:val="TM1"/>
            <w:tabs>
              <w:tab w:val="right" w:leader="dot" w:pos="9350"/>
            </w:tabs>
            <w:rPr>
              <w:rFonts w:ascii="Times New Roman" w:eastAsiaTheme="minorEastAsia" w:hAnsi="Times New Roman" w:cs="Times New Roman"/>
              <w:noProof/>
              <w:sz w:val="24"/>
              <w:szCs w:val="24"/>
              <w:lang w:eastAsia="fr-FR"/>
            </w:rPr>
          </w:pPr>
          <w:hyperlink w:anchor="_Toc70937426" w:history="1">
            <w:r w:rsidR="0055443C" w:rsidRPr="00DE49C9">
              <w:rPr>
                <w:rStyle w:val="Lienhypertexte"/>
                <w:rFonts w:ascii="Times New Roman" w:hAnsi="Times New Roman" w:cs="Times New Roman"/>
                <w:noProof/>
                <w:sz w:val="24"/>
                <w:szCs w:val="24"/>
              </w:rPr>
              <w:t>ANNEXE</w:t>
            </w:r>
            <w:r w:rsidR="0055443C" w:rsidRPr="00DE49C9">
              <w:rPr>
                <w:rFonts w:ascii="Times New Roman" w:hAnsi="Times New Roman" w:cs="Times New Roman"/>
                <w:noProof/>
                <w:webHidden/>
                <w:sz w:val="24"/>
                <w:szCs w:val="24"/>
              </w:rPr>
              <w:tab/>
            </w:r>
            <w:r w:rsidR="0055443C" w:rsidRPr="00DE49C9">
              <w:rPr>
                <w:rFonts w:ascii="Times New Roman" w:hAnsi="Times New Roman" w:cs="Times New Roman"/>
                <w:noProof/>
                <w:webHidden/>
                <w:sz w:val="24"/>
                <w:szCs w:val="24"/>
              </w:rPr>
              <w:fldChar w:fldCharType="begin"/>
            </w:r>
            <w:r w:rsidR="0055443C" w:rsidRPr="00DE49C9">
              <w:rPr>
                <w:rFonts w:ascii="Times New Roman" w:hAnsi="Times New Roman" w:cs="Times New Roman"/>
                <w:noProof/>
                <w:webHidden/>
                <w:sz w:val="24"/>
                <w:szCs w:val="24"/>
              </w:rPr>
              <w:instrText xml:space="preserve"> PAGEREF _Toc70937426 \h </w:instrText>
            </w:r>
            <w:r w:rsidR="0055443C" w:rsidRPr="00DE49C9">
              <w:rPr>
                <w:rFonts w:ascii="Times New Roman" w:hAnsi="Times New Roman" w:cs="Times New Roman"/>
                <w:noProof/>
                <w:webHidden/>
                <w:sz w:val="24"/>
                <w:szCs w:val="24"/>
              </w:rPr>
            </w:r>
            <w:r w:rsidR="0055443C" w:rsidRPr="00DE49C9">
              <w:rPr>
                <w:rFonts w:ascii="Times New Roman" w:hAnsi="Times New Roman" w:cs="Times New Roman"/>
                <w:noProof/>
                <w:webHidden/>
                <w:sz w:val="24"/>
                <w:szCs w:val="24"/>
              </w:rPr>
              <w:fldChar w:fldCharType="separate"/>
            </w:r>
            <w:r w:rsidR="001B2791">
              <w:rPr>
                <w:rFonts w:ascii="Times New Roman" w:hAnsi="Times New Roman" w:cs="Times New Roman"/>
                <w:noProof/>
                <w:webHidden/>
                <w:sz w:val="24"/>
                <w:szCs w:val="24"/>
              </w:rPr>
              <w:t>A</w:t>
            </w:r>
            <w:r w:rsidR="0055443C" w:rsidRPr="00DE49C9">
              <w:rPr>
                <w:rFonts w:ascii="Times New Roman" w:hAnsi="Times New Roman" w:cs="Times New Roman"/>
                <w:noProof/>
                <w:webHidden/>
                <w:sz w:val="24"/>
                <w:szCs w:val="24"/>
              </w:rPr>
              <w:fldChar w:fldCharType="end"/>
            </w:r>
          </w:hyperlink>
        </w:p>
        <w:p w14:paraId="623EDE74" w14:textId="4031E703" w:rsidR="0055443C" w:rsidRPr="00DE49C9" w:rsidRDefault="000C4BE8">
          <w:pPr>
            <w:pStyle w:val="TM2"/>
            <w:tabs>
              <w:tab w:val="left" w:pos="660"/>
              <w:tab w:val="right" w:leader="dot" w:pos="9350"/>
            </w:tabs>
            <w:rPr>
              <w:rFonts w:ascii="Times New Roman" w:eastAsiaTheme="minorEastAsia" w:hAnsi="Times New Roman" w:cs="Times New Roman"/>
              <w:noProof/>
              <w:sz w:val="24"/>
              <w:szCs w:val="24"/>
              <w:lang w:eastAsia="fr-FR"/>
            </w:rPr>
          </w:pPr>
          <w:hyperlink w:anchor="_Toc70937427" w:history="1">
            <w:r w:rsidR="0055443C" w:rsidRPr="00DE49C9">
              <w:rPr>
                <w:rStyle w:val="Lienhypertexte"/>
                <w:rFonts w:ascii="Times New Roman" w:hAnsi="Times New Roman" w:cs="Times New Roman"/>
                <w:noProof/>
                <w:sz w:val="24"/>
                <w:szCs w:val="24"/>
              </w:rPr>
              <w:t>A.</w:t>
            </w:r>
            <w:r w:rsidR="0055443C" w:rsidRPr="00DE49C9">
              <w:rPr>
                <w:rFonts w:ascii="Times New Roman" w:eastAsiaTheme="minorEastAsia" w:hAnsi="Times New Roman" w:cs="Times New Roman"/>
                <w:noProof/>
                <w:sz w:val="24"/>
                <w:szCs w:val="24"/>
                <w:lang w:eastAsia="fr-FR"/>
              </w:rPr>
              <w:tab/>
            </w:r>
            <w:r w:rsidR="0055443C" w:rsidRPr="00DE49C9">
              <w:rPr>
                <w:rStyle w:val="Lienhypertexte"/>
                <w:rFonts w:ascii="Times New Roman" w:hAnsi="Times New Roman" w:cs="Times New Roman"/>
                <w:noProof/>
                <w:sz w:val="24"/>
                <w:szCs w:val="24"/>
              </w:rPr>
              <w:t>Codes utilisés dans le travail</w:t>
            </w:r>
            <w:r w:rsidR="0055443C" w:rsidRPr="00DE49C9">
              <w:rPr>
                <w:rFonts w:ascii="Times New Roman" w:hAnsi="Times New Roman" w:cs="Times New Roman"/>
                <w:noProof/>
                <w:webHidden/>
                <w:sz w:val="24"/>
                <w:szCs w:val="24"/>
              </w:rPr>
              <w:tab/>
            </w:r>
            <w:r w:rsidR="0055443C" w:rsidRPr="00DE49C9">
              <w:rPr>
                <w:rFonts w:ascii="Times New Roman" w:hAnsi="Times New Roman" w:cs="Times New Roman"/>
                <w:noProof/>
                <w:webHidden/>
                <w:sz w:val="24"/>
                <w:szCs w:val="24"/>
              </w:rPr>
              <w:fldChar w:fldCharType="begin"/>
            </w:r>
            <w:r w:rsidR="0055443C" w:rsidRPr="00DE49C9">
              <w:rPr>
                <w:rFonts w:ascii="Times New Roman" w:hAnsi="Times New Roman" w:cs="Times New Roman"/>
                <w:noProof/>
                <w:webHidden/>
                <w:sz w:val="24"/>
                <w:szCs w:val="24"/>
              </w:rPr>
              <w:instrText xml:space="preserve"> PAGEREF _Toc70937427 \h </w:instrText>
            </w:r>
            <w:r w:rsidR="0055443C" w:rsidRPr="00DE49C9">
              <w:rPr>
                <w:rFonts w:ascii="Times New Roman" w:hAnsi="Times New Roman" w:cs="Times New Roman"/>
                <w:noProof/>
                <w:webHidden/>
                <w:sz w:val="24"/>
                <w:szCs w:val="24"/>
              </w:rPr>
            </w:r>
            <w:r w:rsidR="0055443C" w:rsidRPr="00DE49C9">
              <w:rPr>
                <w:rFonts w:ascii="Times New Roman" w:hAnsi="Times New Roman" w:cs="Times New Roman"/>
                <w:noProof/>
                <w:webHidden/>
                <w:sz w:val="24"/>
                <w:szCs w:val="24"/>
              </w:rPr>
              <w:fldChar w:fldCharType="separate"/>
            </w:r>
            <w:r w:rsidR="001B2791">
              <w:rPr>
                <w:rFonts w:ascii="Times New Roman" w:hAnsi="Times New Roman" w:cs="Times New Roman"/>
                <w:noProof/>
                <w:webHidden/>
                <w:sz w:val="24"/>
                <w:szCs w:val="24"/>
              </w:rPr>
              <w:t>A</w:t>
            </w:r>
            <w:r w:rsidR="0055443C" w:rsidRPr="00DE49C9">
              <w:rPr>
                <w:rFonts w:ascii="Times New Roman" w:hAnsi="Times New Roman" w:cs="Times New Roman"/>
                <w:noProof/>
                <w:webHidden/>
                <w:sz w:val="24"/>
                <w:szCs w:val="24"/>
              </w:rPr>
              <w:fldChar w:fldCharType="end"/>
            </w:r>
          </w:hyperlink>
        </w:p>
        <w:p w14:paraId="20E8F996" w14:textId="0159A7E0" w:rsidR="0055443C" w:rsidRPr="00DE49C9" w:rsidRDefault="000C4BE8">
          <w:pPr>
            <w:pStyle w:val="TM2"/>
            <w:tabs>
              <w:tab w:val="left" w:pos="660"/>
              <w:tab w:val="right" w:leader="dot" w:pos="9350"/>
            </w:tabs>
            <w:rPr>
              <w:rFonts w:ascii="Times New Roman" w:eastAsiaTheme="minorEastAsia" w:hAnsi="Times New Roman" w:cs="Times New Roman"/>
              <w:noProof/>
              <w:sz w:val="24"/>
              <w:szCs w:val="24"/>
              <w:lang w:eastAsia="fr-FR"/>
            </w:rPr>
          </w:pPr>
          <w:hyperlink w:anchor="_Toc70937428" w:history="1">
            <w:r w:rsidR="0055443C" w:rsidRPr="00DE49C9">
              <w:rPr>
                <w:rStyle w:val="Lienhypertexte"/>
                <w:rFonts w:ascii="Times New Roman" w:hAnsi="Times New Roman" w:cs="Times New Roman"/>
                <w:noProof/>
                <w:sz w:val="24"/>
                <w:szCs w:val="24"/>
              </w:rPr>
              <w:t>B.</w:t>
            </w:r>
            <w:r w:rsidR="0055443C" w:rsidRPr="00DE49C9">
              <w:rPr>
                <w:rFonts w:ascii="Times New Roman" w:eastAsiaTheme="minorEastAsia" w:hAnsi="Times New Roman" w:cs="Times New Roman"/>
                <w:noProof/>
                <w:sz w:val="24"/>
                <w:szCs w:val="24"/>
                <w:lang w:eastAsia="fr-FR"/>
              </w:rPr>
              <w:tab/>
            </w:r>
            <w:r w:rsidR="0055443C" w:rsidRPr="00DE49C9">
              <w:rPr>
                <w:rStyle w:val="Lienhypertexte"/>
                <w:rFonts w:ascii="Times New Roman" w:hAnsi="Times New Roman" w:cs="Times New Roman"/>
                <w:noProof/>
                <w:sz w:val="24"/>
                <w:szCs w:val="24"/>
              </w:rPr>
              <w:t>Codes utilisés dans le travail en version texte</w:t>
            </w:r>
            <w:r w:rsidR="0055443C" w:rsidRPr="00DE49C9">
              <w:rPr>
                <w:rFonts w:ascii="Times New Roman" w:hAnsi="Times New Roman" w:cs="Times New Roman"/>
                <w:noProof/>
                <w:webHidden/>
                <w:sz w:val="24"/>
                <w:szCs w:val="24"/>
              </w:rPr>
              <w:tab/>
            </w:r>
            <w:r w:rsidR="0055443C" w:rsidRPr="00DE49C9">
              <w:rPr>
                <w:rFonts w:ascii="Times New Roman" w:hAnsi="Times New Roman" w:cs="Times New Roman"/>
                <w:noProof/>
                <w:webHidden/>
                <w:sz w:val="24"/>
                <w:szCs w:val="24"/>
              </w:rPr>
              <w:fldChar w:fldCharType="begin"/>
            </w:r>
            <w:r w:rsidR="0055443C" w:rsidRPr="00DE49C9">
              <w:rPr>
                <w:rFonts w:ascii="Times New Roman" w:hAnsi="Times New Roman" w:cs="Times New Roman"/>
                <w:noProof/>
                <w:webHidden/>
                <w:sz w:val="24"/>
                <w:szCs w:val="24"/>
              </w:rPr>
              <w:instrText xml:space="preserve"> PAGEREF _Toc70937428 \h </w:instrText>
            </w:r>
            <w:r w:rsidR="0055443C" w:rsidRPr="00DE49C9">
              <w:rPr>
                <w:rFonts w:ascii="Times New Roman" w:hAnsi="Times New Roman" w:cs="Times New Roman"/>
                <w:noProof/>
                <w:webHidden/>
                <w:sz w:val="24"/>
                <w:szCs w:val="24"/>
              </w:rPr>
            </w:r>
            <w:r w:rsidR="0055443C" w:rsidRPr="00DE49C9">
              <w:rPr>
                <w:rFonts w:ascii="Times New Roman" w:hAnsi="Times New Roman" w:cs="Times New Roman"/>
                <w:noProof/>
                <w:webHidden/>
                <w:sz w:val="24"/>
                <w:szCs w:val="24"/>
              </w:rPr>
              <w:fldChar w:fldCharType="separate"/>
            </w:r>
            <w:r w:rsidR="001B2791">
              <w:rPr>
                <w:rFonts w:ascii="Times New Roman" w:hAnsi="Times New Roman" w:cs="Times New Roman"/>
                <w:noProof/>
                <w:webHidden/>
                <w:sz w:val="24"/>
                <w:szCs w:val="24"/>
              </w:rPr>
              <w:t>E</w:t>
            </w:r>
            <w:r w:rsidR="0055443C" w:rsidRPr="00DE49C9">
              <w:rPr>
                <w:rFonts w:ascii="Times New Roman" w:hAnsi="Times New Roman" w:cs="Times New Roman"/>
                <w:noProof/>
                <w:webHidden/>
                <w:sz w:val="24"/>
                <w:szCs w:val="24"/>
              </w:rPr>
              <w:fldChar w:fldCharType="end"/>
            </w:r>
          </w:hyperlink>
        </w:p>
        <w:p w14:paraId="52C82C6E" w14:textId="7AF41D7F" w:rsidR="00103218" w:rsidRDefault="00103218">
          <w:r w:rsidRPr="00DE49C9">
            <w:rPr>
              <w:rFonts w:ascii="Times New Roman" w:hAnsi="Times New Roman" w:cs="Times New Roman"/>
              <w:b/>
              <w:bCs/>
              <w:noProof/>
              <w:sz w:val="24"/>
              <w:szCs w:val="24"/>
            </w:rPr>
            <w:fldChar w:fldCharType="end"/>
          </w:r>
        </w:p>
      </w:sdtContent>
    </w:sdt>
    <w:bookmarkEnd w:id="0" w:displacedByCustomXml="prev"/>
    <w:p w14:paraId="460AAF8F" w14:textId="77777777" w:rsidR="00343426" w:rsidRDefault="00343426">
      <w:pPr>
        <w:rPr>
          <w:rFonts w:ascii="Times New Roman" w:hAnsi="Times New Roman" w:cs="Times New Roman"/>
          <w:b/>
          <w:sz w:val="28"/>
        </w:rPr>
      </w:pPr>
    </w:p>
    <w:p w14:paraId="22FDCC54" w14:textId="77777777" w:rsidR="00343426" w:rsidRDefault="00343426">
      <w:pPr>
        <w:rPr>
          <w:rFonts w:ascii="Times New Roman" w:hAnsi="Times New Roman" w:cs="Times New Roman"/>
          <w:b/>
          <w:sz w:val="28"/>
        </w:rPr>
      </w:pPr>
    </w:p>
    <w:p w14:paraId="7D948203" w14:textId="77777777" w:rsidR="00343426" w:rsidRDefault="00343426">
      <w:pPr>
        <w:rPr>
          <w:rFonts w:ascii="Times New Roman" w:hAnsi="Times New Roman" w:cs="Times New Roman"/>
          <w:b/>
          <w:sz w:val="28"/>
        </w:rPr>
      </w:pPr>
    </w:p>
    <w:p w14:paraId="454CA294" w14:textId="77777777" w:rsidR="00343426" w:rsidRDefault="00343426">
      <w:pPr>
        <w:rPr>
          <w:rFonts w:ascii="Times New Roman" w:hAnsi="Times New Roman" w:cs="Times New Roman"/>
          <w:b/>
          <w:sz w:val="28"/>
        </w:rPr>
      </w:pPr>
    </w:p>
    <w:p w14:paraId="2805DA6A" w14:textId="77777777" w:rsidR="00343426" w:rsidRDefault="00343426">
      <w:pPr>
        <w:rPr>
          <w:rFonts w:ascii="Times New Roman" w:hAnsi="Times New Roman" w:cs="Times New Roman"/>
          <w:b/>
          <w:sz w:val="28"/>
        </w:rPr>
      </w:pPr>
    </w:p>
    <w:p w14:paraId="0398D566" w14:textId="77777777" w:rsidR="00343426" w:rsidRDefault="00343426">
      <w:pPr>
        <w:rPr>
          <w:rFonts w:ascii="Times New Roman" w:hAnsi="Times New Roman" w:cs="Times New Roman"/>
          <w:b/>
          <w:sz w:val="28"/>
        </w:rPr>
      </w:pPr>
    </w:p>
    <w:p w14:paraId="193F6912" w14:textId="77777777" w:rsidR="00343426" w:rsidRDefault="00343426">
      <w:pPr>
        <w:rPr>
          <w:rFonts w:ascii="Times New Roman" w:hAnsi="Times New Roman" w:cs="Times New Roman"/>
          <w:b/>
          <w:sz w:val="28"/>
        </w:rPr>
      </w:pPr>
    </w:p>
    <w:p w14:paraId="30AEA82A" w14:textId="77777777" w:rsidR="00343426" w:rsidRDefault="00343426">
      <w:pPr>
        <w:rPr>
          <w:rFonts w:ascii="Times New Roman" w:hAnsi="Times New Roman" w:cs="Times New Roman"/>
          <w:b/>
          <w:sz w:val="28"/>
        </w:rPr>
      </w:pPr>
    </w:p>
    <w:p w14:paraId="377617D1" w14:textId="77777777" w:rsidR="00343426" w:rsidRDefault="00343426">
      <w:pPr>
        <w:rPr>
          <w:rFonts w:ascii="Times New Roman" w:hAnsi="Times New Roman" w:cs="Times New Roman"/>
          <w:b/>
          <w:sz w:val="28"/>
        </w:rPr>
      </w:pPr>
    </w:p>
    <w:p w14:paraId="487C8E7B" w14:textId="77777777" w:rsidR="00343426" w:rsidRDefault="00343426">
      <w:pPr>
        <w:rPr>
          <w:rFonts w:ascii="Times New Roman" w:hAnsi="Times New Roman" w:cs="Times New Roman"/>
          <w:b/>
          <w:sz w:val="28"/>
        </w:rPr>
      </w:pPr>
    </w:p>
    <w:p w14:paraId="6D72F18D" w14:textId="77777777" w:rsidR="00343426" w:rsidRDefault="00343426">
      <w:pPr>
        <w:rPr>
          <w:rFonts w:ascii="Times New Roman" w:hAnsi="Times New Roman" w:cs="Times New Roman"/>
          <w:b/>
          <w:sz w:val="28"/>
        </w:rPr>
      </w:pPr>
    </w:p>
    <w:p w14:paraId="6DA9AB80" w14:textId="77777777" w:rsidR="00343426" w:rsidRDefault="00343426">
      <w:pPr>
        <w:rPr>
          <w:rFonts w:ascii="Times New Roman" w:hAnsi="Times New Roman" w:cs="Times New Roman"/>
          <w:b/>
          <w:sz w:val="28"/>
        </w:rPr>
      </w:pPr>
    </w:p>
    <w:p w14:paraId="05378A46" w14:textId="77777777" w:rsidR="00343426" w:rsidRDefault="00343426">
      <w:pPr>
        <w:rPr>
          <w:rFonts w:ascii="Times New Roman" w:hAnsi="Times New Roman" w:cs="Times New Roman"/>
          <w:b/>
          <w:sz w:val="28"/>
        </w:rPr>
        <w:sectPr w:rsidR="00343426" w:rsidSect="00343426">
          <w:headerReference w:type="default" r:id="rId9"/>
          <w:footerReference w:type="default" r:id="rId10"/>
          <w:pgSz w:w="12240" w:h="15840"/>
          <w:pgMar w:top="1530" w:right="1440" w:bottom="1440" w:left="1440" w:header="720" w:footer="720" w:gutter="0"/>
          <w:pgBorders w:display="firstPage" w:offsetFrom="page">
            <w:top w:val="single" w:sz="18" w:space="24" w:color="FF0000"/>
            <w:left w:val="single" w:sz="18" w:space="24" w:color="FF0000"/>
            <w:bottom w:val="single" w:sz="18" w:space="24" w:color="FF0000"/>
            <w:right w:val="single" w:sz="18" w:space="24" w:color="FF0000"/>
          </w:pgBorders>
          <w:pgNumType w:start="0"/>
          <w:cols w:space="720"/>
          <w:titlePg/>
          <w:docGrid w:linePitch="360"/>
        </w:sectPr>
      </w:pPr>
    </w:p>
    <w:p w14:paraId="1BB17725" w14:textId="77777777" w:rsidR="00F0155F" w:rsidRDefault="00F0155F">
      <w:pPr>
        <w:rPr>
          <w:rFonts w:ascii="Times New Roman" w:hAnsi="Times New Roman" w:cs="Times New Roman"/>
          <w:b/>
          <w:sz w:val="28"/>
        </w:rPr>
      </w:pPr>
    </w:p>
    <w:p w14:paraId="14330964" w14:textId="220455C5" w:rsidR="00AF27E8" w:rsidRPr="00EB3FDE" w:rsidRDefault="00AF27E8" w:rsidP="00343426">
      <w:pPr>
        <w:pStyle w:val="Titre1"/>
        <w:numPr>
          <w:ilvl w:val="0"/>
          <w:numId w:val="12"/>
        </w:numPr>
        <w:rPr>
          <w:rFonts w:ascii="Times New Roman" w:hAnsi="Times New Roman" w:cs="Times New Roman"/>
          <w:b/>
          <w:bCs/>
        </w:rPr>
      </w:pPr>
      <w:bookmarkStart w:id="1" w:name="_Toc70937399"/>
      <w:r w:rsidRPr="00EB3FDE">
        <w:rPr>
          <w:rFonts w:ascii="Times New Roman" w:hAnsi="Times New Roman" w:cs="Times New Roman"/>
          <w:b/>
          <w:bCs/>
        </w:rPr>
        <w:t>Introduction générale</w:t>
      </w:r>
      <w:bookmarkEnd w:id="1"/>
    </w:p>
    <w:p w14:paraId="04FC00B9" w14:textId="5359D541" w:rsidR="00AF27E8" w:rsidRDefault="00AF27E8" w:rsidP="00AF27E8">
      <w:pPr>
        <w:jc w:val="both"/>
        <w:rPr>
          <w:rFonts w:ascii="Times New Roman" w:hAnsi="Times New Roman" w:cs="Times New Roman"/>
          <w:sz w:val="24"/>
          <w:szCs w:val="24"/>
        </w:rPr>
      </w:pPr>
      <w:r w:rsidRPr="00581D32">
        <w:rPr>
          <w:rFonts w:ascii="Times New Roman" w:hAnsi="Times New Roman" w:cs="Times New Roman"/>
          <w:sz w:val="24"/>
          <w:szCs w:val="24"/>
        </w:rPr>
        <w:t>Dans les années 90, une problématique inquiète de plus en plus les Etats occidentaux au gré de l’industrialisation importante à laquelle ils font face. C’est celle de la pollution atmosphérique et de l’ampleur que cette dernière acquière depuis plusieurs années. Si de nombreuses recherches ont démontré les conséquences néfastes des polluants atmosphériques sur notre santé et sur l’environnement</w:t>
      </w:r>
      <w:r>
        <w:rPr>
          <w:rStyle w:val="Appelnotedebasdep"/>
          <w:rFonts w:ascii="Times New Roman" w:hAnsi="Times New Roman" w:cs="Times New Roman"/>
          <w:sz w:val="24"/>
          <w:szCs w:val="24"/>
        </w:rPr>
        <w:footnoteReference w:id="1"/>
      </w:r>
      <w:r w:rsidRPr="00581D32">
        <w:rPr>
          <w:rFonts w:ascii="Times New Roman" w:hAnsi="Times New Roman" w:cs="Times New Roman"/>
          <w:sz w:val="24"/>
          <w:szCs w:val="24"/>
        </w:rPr>
        <w:t>, les Etats influents du monde, ceux du G20</w:t>
      </w:r>
      <w:r w:rsidR="00323071">
        <w:rPr>
          <w:rFonts w:ascii="Times New Roman" w:hAnsi="Times New Roman" w:cs="Times New Roman"/>
          <w:sz w:val="24"/>
          <w:szCs w:val="24"/>
        </w:rPr>
        <w:t xml:space="preserve"> principalement</w:t>
      </w:r>
      <w:r w:rsidRPr="00581D32">
        <w:rPr>
          <w:rFonts w:ascii="Times New Roman" w:hAnsi="Times New Roman" w:cs="Times New Roman"/>
          <w:sz w:val="24"/>
          <w:szCs w:val="24"/>
        </w:rPr>
        <w:t>, ont pourtant  longtemps peiné à s’accorder sur les mesures à mettre en place pour combattre un tel phénomène tant les intérêts de ces derniers</w:t>
      </w:r>
      <w:r w:rsidR="00F26E46">
        <w:rPr>
          <w:rFonts w:ascii="Times New Roman" w:hAnsi="Times New Roman" w:cs="Times New Roman"/>
          <w:sz w:val="24"/>
          <w:szCs w:val="24"/>
        </w:rPr>
        <w:t xml:space="preserve"> étaient</w:t>
      </w:r>
      <w:r w:rsidRPr="00581D32">
        <w:rPr>
          <w:rFonts w:ascii="Times New Roman" w:hAnsi="Times New Roman" w:cs="Times New Roman"/>
          <w:sz w:val="24"/>
          <w:szCs w:val="24"/>
        </w:rPr>
        <w:t xml:space="preserve"> divergents. En effet, comment attendre de certains pays qui ont bâti leur économie florissante sur l’industrie de revoir leurs politiques d’industrialisation, de consommation et même d’urbanisation car jugées trop polluantes</w:t>
      </w:r>
      <w:r>
        <w:rPr>
          <w:rFonts w:ascii="Times New Roman" w:hAnsi="Times New Roman" w:cs="Times New Roman"/>
          <w:sz w:val="24"/>
          <w:szCs w:val="24"/>
        </w:rPr>
        <w:t>.</w:t>
      </w:r>
      <w:r w:rsidRPr="00581D32">
        <w:rPr>
          <w:rFonts w:ascii="Times New Roman" w:hAnsi="Times New Roman" w:cs="Times New Roman"/>
          <w:color w:val="FF0000"/>
          <w:sz w:val="24"/>
          <w:szCs w:val="24"/>
        </w:rPr>
        <w:t xml:space="preserve"> </w:t>
      </w:r>
      <w:r w:rsidRPr="00581D32">
        <w:rPr>
          <w:rFonts w:ascii="Times New Roman" w:hAnsi="Times New Roman" w:cs="Times New Roman"/>
          <w:sz w:val="24"/>
          <w:szCs w:val="24"/>
        </w:rPr>
        <w:t>Par ailleurs, les pays en développement qui travaillent à mettre leur économie sur les rails ne se sentent pas pour la plupart concernés par cette problématique et craignent que cette dernière pénalise leur croissance industrielle.</w:t>
      </w:r>
    </w:p>
    <w:p w14:paraId="52B45FF2" w14:textId="2ADE4A03" w:rsidR="00AF27E8" w:rsidRDefault="00AF27E8" w:rsidP="00AF27E8">
      <w:pPr>
        <w:jc w:val="both"/>
        <w:rPr>
          <w:rFonts w:ascii="Times New Roman" w:hAnsi="Times New Roman" w:cs="Times New Roman"/>
          <w:sz w:val="24"/>
          <w:szCs w:val="24"/>
        </w:rPr>
      </w:pPr>
      <w:r w:rsidRPr="00E54898">
        <w:rPr>
          <w:rFonts w:ascii="Times New Roman" w:hAnsi="Times New Roman" w:cs="Times New Roman"/>
          <w:sz w:val="24"/>
          <w:szCs w:val="24"/>
        </w:rPr>
        <w:t>Si, au niveau mondial, la ratification du protocole de Kyoto, l’adoption et la concrétisation des objectifs d’un développement respectueux de l’environnement s’avère</w:t>
      </w:r>
      <w:r>
        <w:rPr>
          <w:rFonts w:ascii="Times New Roman" w:hAnsi="Times New Roman" w:cs="Times New Roman"/>
          <w:sz w:val="24"/>
          <w:szCs w:val="24"/>
        </w:rPr>
        <w:t>nt</w:t>
      </w:r>
      <w:r w:rsidRPr="00E54898">
        <w:rPr>
          <w:rFonts w:ascii="Times New Roman" w:hAnsi="Times New Roman" w:cs="Times New Roman"/>
          <w:sz w:val="24"/>
          <w:szCs w:val="24"/>
        </w:rPr>
        <w:t xml:space="preserve"> être une tâ</w:t>
      </w:r>
      <w:r>
        <w:rPr>
          <w:rFonts w:ascii="Times New Roman" w:hAnsi="Times New Roman" w:cs="Times New Roman"/>
          <w:sz w:val="24"/>
          <w:szCs w:val="24"/>
        </w:rPr>
        <w:t>c</w:t>
      </w:r>
      <w:r w:rsidRPr="00E54898">
        <w:rPr>
          <w:rFonts w:ascii="Times New Roman" w:hAnsi="Times New Roman" w:cs="Times New Roman"/>
          <w:sz w:val="24"/>
          <w:szCs w:val="24"/>
        </w:rPr>
        <w:t xml:space="preserve">he ardue, les pays européens </w:t>
      </w:r>
      <w:r>
        <w:rPr>
          <w:rFonts w:ascii="Times New Roman" w:hAnsi="Times New Roman" w:cs="Times New Roman"/>
          <w:sz w:val="24"/>
          <w:szCs w:val="24"/>
        </w:rPr>
        <w:t>ont progressivement mis en place un plan ambitieux de lutte contre le réchauffement climatique. A cet effet, leur politique environnementale s’articule autour de quatre axes fondamentaux que sont le principe de précaution et d’action préventive, le principe de la correction des atteintes à l’environnement et le principe pollueur-payeur. Si le droit européen établit les règlementations sectorielles et les émissions de gaz à effet de serre à ne pas dépasser, les Etats européens, quant à eux, se doivent de respecter la législation européenne en élaborant des politiques nationales de mise en œuvre. Et parmi les plus engagés dans la lutte pour la protection de l’environnement, nous retrouvons l’Allemagne, la France, l’Italie et les Pays Bas</w:t>
      </w:r>
      <w:r>
        <w:rPr>
          <w:rStyle w:val="Appelnotedebasdep"/>
          <w:rFonts w:ascii="Times New Roman" w:hAnsi="Times New Roman" w:cs="Times New Roman"/>
          <w:sz w:val="24"/>
          <w:szCs w:val="24"/>
        </w:rPr>
        <w:footnoteReference w:id="2"/>
      </w:r>
      <w:r>
        <w:rPr>
          <w:rFonts w:ascii="Times New Roman" w:hAnsi="Times New Roman" w:cs="Times New Roman"/>
          <w:sz w:val="24"/>
          <w:szCs w:val="24"/>
        </w:rPr>
        <w:t xml:space="preserve"> qui se distinguent par les investissements les plus importants effectués dans la protection de l’environnement.</w:t>
      </w:r>
    </w:p>
    <w:p w14:paraId="2D5615A8" w14:textId="4954A0A2" w:rsidR="00323071" w:rsidRDefault="005B0DDD" w:rsidP="00AF27E8">
      <w:pPr>
        <w:jc w:val="both"/>
        <w:rPr>
          <w:rFonts w:ascii="Times New Roman" w:hAnsi="Times New Roman" w:cs="Times New Roman"/>
          <w:sz w:val="24"/>
          <w:szCs w:val="24"/>
        </w:rPr>
      </w:pPr>
      <w:r>
        <w:rPr>
          <w:rFonts w:ascii="Times New Roman" w:hAnsi="Times New Roman" w:cs="Times New Roman"/>
          <w:sz w:val="24"/>
          <w:szCs w:val="24"/>
        </w:rPr>
        <w:t xml:space="preserve">L’exemple de la France est particulièrement intéressant par l’abondance des textes de lois qui ont été votées dans le cadre de cette lutte contre la pollution atmosphérique. Du code de l’environnement aux lois relatives </w:t>
      </w:r>
      <w:r w:rsidR="00D72D36">
        <w:rPr>
          <w:rFonts w:ascii="Times New Roman" w:hAnsi="Times New Roman" w:cs="Times New Roman"/>
          <w:sz w:val="24"/>
          <w:szCs w:val="24"/>
        </w:rPr>
        <w:t xml:space="preserve">aux réductions des émissions atmosphériques pour les secteurs polluants </w:t>
      </w:r>
      <w:r w:rsidR="005D2596">
        <w:rPr>
          <w:rFonts w:ascii="Times New Roman" w:hAnsi="Times New Roman" w:cs="Times New Roman"/>
          <w:sz w:val="24"/>
          <w:szCs w:val="24"/>
        </w:rPr>
        <w:t xml:space="preserve">ou à l’instauration d’une taxe sur la consommation des produits énergétiques (TICPE, Taxe intérieur de consommation sur les produits énergétiques), la France s’est lancée dans un parcours ambitieux de lutte contre la pollution où la transition énergétique qui </w:t>
      </w:r>
      <w:r w:rsidR="00C56074">
        <w:rPr>
          <w:rFonts w:ascii="Times New Roman" w:hAnsi="Times New Roman" w:cs="Times New Roman"/>
          <w:sz w:val="24"/>
          <w:szCs w:val="24"/>
        </w:rPr>
        <w:t xml:space="preserve">désigne le </w:t>
      </w:r>
      <w:r w:rsidR="005D2596">
        <w:rPr>
          <w:rFonts w:ascii="Times New Roman" w:hAnsi="Times New Roman" w:cs="Times New Roman"/>
          <w:sz w:val="24"/>
          <w:szCs w:val="24"/>
        </w:rPr>
        <w:t xml:space="preserve">passage d’énergies fossiles à des énergies renouvelables, apparait </w:t>
      </w:r>
      <w:r w:rsidR="00C56074">
        <w:rPr>
          <w:rFonts w:ascii="Times New Roman" w:hAnsi="Times New Roman" w:cs="Times New Roman"/>
          <w:sz w:val="24"/>
          <w:szCs w:val="24"/>
        </w:rPr>
        <w:t xml:space="preserve">comme l’ultime but. Elle semble d’ailleurs donné le ton aux entreprises nationales en procédant même dans </w:t>
      </w:r>
      <w:r w:rsidR="00E2352A">
        <w:rPr>
          <w:rFonts w:ascii="Times New Roman" w:hAnsi="Times New Roman" w:cs="Times New Roman"/>
          <w:sz w:val="24"/>
          <w:szCs w:val="24"/>
        </w:rPr>
        <w:t>s</w:t>
      </w:r>
      <w:r w:rsidR="00C56074">
        <w:rPr>
          <w:rFonts w:ascii="Times New Roman" w:hAnsi="Times New Roman" w:cs="Times New Roman"/>
          <w:sz w:val="24"/>
          <w:szCs w:val="24"/>
        </w:rPr>
        <w:t>es secteurs publics jugés polluants à la transition énergétique. C’est le cas du secteur du transport public</w:t>
      </w:r>
      <w:r w:rsidR="00266579">
        <w:rPr>
          <w:rFonts w:ascii="Times New Roman" w:hAnsi="Times New Roman" w:cs="Times New Roman"/>
          <w:sz w:val="24"/>
          <w:szCs w:val="24"/>
        </w:rPr>
        <w:t xml:space="preserve"> </w:t>
      </w:r>
      <w:r w:rsidR="00C56074">
        <w:rPr>
          <w:rFonts w:ascii="Times New Roman" w:hAnsi="Times New Roman" w:cs="Times New Roman"/>
          <w:sz w:val="24"/>
          <w:szCs w:val="24"/>
        </w:rPr>
        <w:t>notamment où l’Autorité Organisatrice de la Mobilité de la région la plus peuplée de France</w:t>
      </w:r>
      <w:r w:rsidR="00266579">
        <w:rPr>
          <w:rStyle w:val="Appelnotedebasdep"/>
          <w:rFonts w:ascii="Times New Roman" w:hAnsi="Times New Roman" w:cs="Times New Roman"/>
          <w:sz w:val="24"/>
          <w:szCs w:val="24"/>
        </w:rPr>
        <w:footnoteReference w:id="3"/>
      </w:r>
      <w:r w:rsidR="00266579">
        <w:rPr>
          <w:rFonts w:ascii="Times New Roman" w:hAnsi="Times New Roman" w:cs="Times New Roman"/>
          <w:sz w:val="24"/>
          <w:szCs w:val="24"/>
        </w:rPr>
        <w:t xml:space="preserve">, l’Île-de-France, </w:t>
      </w:r>
      <w:r w:rsidR="00C56074">
        <w:rPr>
          <w:rFonts w:ascii="Times New Roman" w:hAnsi="Times New Roman" w:cs="Times New Roman"/>
          <w:sz w:val="24"/>
          <w:szCs w:val="24"/>
        </w:rPr>
        <w:lastRenderedPageBreak/>
        <w:t xml:space="preserve">prévoit le </w:t>
      </w:r>
      <w:r w:rsidR="00582DCA">
        <w:rPr>
          <w:rFonts w:ascii="Times New Roman" w:hAnsi="Times New Roman" w:cs="Times New Roman"/>
          <w:sz w:val="24"/>
          <w:szCs w:val="24"/>
        </w:rPr>
        <w:t xml:space="preserve">remplacement intégral </w:t>
      </w:r>
      <w:r w:rsidR="00C56074">
        <w:rPr>
          <w:rFonts w:ascii="Times New Roman" w:hAnsi="Times New Roman" w:cs="Times New Roman"/>
          <w:sz w:val="24"/>
          <w:szCs w:val="24"/>
        </w:rPr>
        <w:t xml:space="preserve">du parc de bus en des bus électriques d’ici 2025. </w:t>
      </w:r>
      <w:r w:rsidR="00CD5057">
        <w:rPr>
          <w:rFonts w:ascii="Times New Roman" w:hAnsi="Times New Roman" w:cs="Times New Roman"/>
          <w:sz w:val="24"/>
          <w:szCs w:val="24"/>
        </w:rPr>
        <w:t>Face à l’ampleur de ces programmes d’investissement inscrits dans le cadre de la transition énergétique, nous sommes en droit de nous interroger sur les impacts de tel</w:t>
      </w:r>
      <w:r w:rsidR="006F2BFC">
        <w:rPr>
          <w:rFonts w:ascii="Times New Roman" w:hAnsi="Times New Roman" w:cs="Times New Roman"/>
          <w:sz w:val="24"/>
          <w:szCs w:val="24"/>
        </w:rPr>
        <w:t>le</w:t>
      </w:r>
      <w:r w:rsidR="00CD5057">
        <w:rPr>
          <w:rFonts w:ascii="Times New Roman" w:hAnsi="Times New Roman" w:cs="Times New Roman"/>
          <w:sz w:val="24"/>
          <w:szCs w:val="24"/>
        </w:rPr>
        <w:t>s politiques sur la performance économique de ce secteur public. Comment ces politiques publiques en matière de transition énergétique affecte</w:t>
      </w:r>
      <w:r w:rsidR="00C53C2F">
        <w:rPr>
          <w:rFonts w:ascii="Times New Roman" w:hAnsi="Times New Roman" w:cs="Times New Roman"/>
          <w:sz w:val="24"/>
          <w:szCs w:val="24"/>
        </w:rPr>
        <w:t>nt</w:t>
      </w:r>
      <w:r w:rsidR="00CD5057">
        <w:rPr>
          <w:rFonts w:ascii="Times New Roman" w:hAnsi="Times New Roman" w:cs="Times New Roman"/>
          <w:sz w:val="24"/>
          <w:szCs w:val="24"/>
        </w:rPr>
        <w:t>-elles la</w:t>
      </w:r>
      <w:r w:rsidR="00C53C2F">
        <w:rPr>
          <w:rFonts w:ascii="Times New Roman" w:hAnsi="Times New Roman" w:cs="Times New Roman"/>
          <w:sz w:val="24"/>
          <w:szCs w:val="24"/>
        </w:rPr>
        <w:t xml:space="preserve"> rentabilité</w:t>
      </w:r>
      <w:r w:rsidR="00CD5057">
        <w:rPr>
          <w:rFonts w:ascii="Times New Roman" w:hAnsi="Times New Roman" w:cs="Times New Roman"/>
          <w:sz w:val="24"/>
          <w:szCs w:val="24"/>
        </w:rPr>
        <w:t xml:space="preserve"> du secteur du </w:t>
      </w:r>
      <w:r w:rsidR="00BE7832">
        <w:rPr>
          <w:rFonts w:ascii="Times New Roman" w:hAnsi="Times New Roman" w:cs="Times New Roman"/>
          <w:sz w:val="24"/>
          <w:szCs w:val="24"/>
        </w:rPr>
        <w:t>t</w:t>
      </w:r>
      <w:r w:rsidR="00CD5057">
        <w:rPr>
          <w:rFonts w:ascii="Times New Roman" w:hAnsi="Times New Roman" w:cs="Times New Roman"/>
          <w:sz w:val="24"/>
          <w:szCs w:val="24"/>
        </w:rPr>
        <w:t>ransport public dans la Région d’</w:t>
      </w:r>
      <w:r w:rsidR="00645C75">
        <w:rPr>
          <w:rFonts w:ascii="Times New Roman" w:hAnsi="Times New Roman" w:cs="Times New Roman"/>
          <w:sz w:val="24"/>
          <w:szCs w:val="24"/>
        </w:rPr>
        <w:t xml:space="preserve">Île-de-France </w:t>
      </w:r>
      <w:r w:rsidR="00C53C2F">
        <w:rPr>
          <w:rFonts w:ascii="Times New Roman" w:hAnsi="Times New Roman" w:cs="Times New Roman"/>
          <w:sz w:val="24"/>
          <w:szCs w:val="24"/>
        </w:rPr>
        <w:t>dans une logique de soutenabilité du service public</w:t>
      </w:r>
      <w:r w:rsidR="00CD5057">
        <w:rPr>
          <w:rFonts w:ascii="Times New Roman" w:hAnsi="Times New Roman" w:cs="Times New Roman"/>
          <w:sz w:val="24"/>
          <w:szCs w:val="24"/>
        </w:rPr>
        <w:t> ? Ces politiques sont-elles compatibles</w:t>
      </w:r>
      <w:r w:rsidR="006F2BFC">
        <w:rPr>
          <w:rFonts w:ascii="Times New Roman" w:hAnsi="Times New Roman" w:cs="Times New Roman"/>
          <w:sz w:val="24"/>
          <w:szCs w:val="24"/>
        </w:rPr>
        <w:t xml:space="preserve"> avec</w:t>
      </w:r>
      <w:r w:rsidR="00CD5057">
        <w:rPr>
          <w:rFonts w:ascii="Times New Roman" w:hAnsi="Times New Roman" w:cs="Times New Roman"/>
          <w:sz w:val="24"/>
          <w:szCs w:val="24"/>
        </w:rPr>
        <w:t xml:space="preserve"> une logique de pérennité du service public en sachant qu’il est lui-même l’instigateur de ces politiques ? </w:t>
      </w:r>
    </w:p>
    <w:p w14:paraId="096F2BED" w14:textId="60654F09" w:rsidR="00AF27E8" w:rsidRDefault="006F2BFC" w:rsidP="00A67D27">
      <w:pPr>
        <w:jc w:val="both"/>
        <w:rPr>
          <w:rFonts w:ascii="Times New Roman" w:hAnsi="Times New Roman" w:cs="Times New Roman"/>
          <w:sz w:val="24"/>
          <w:szCs w:val="24"/>
        </w:rPr>
      </w:pPr>
      <w:r>
        <w:rPr>
          <w:rFonts w:ascii="Times New Roman" w:hAnsi="Times New Roman" w:cs="Times New Roman"/>
          <w:sz w:val="24"/>
          <w:szCs w:val="24"/>
        </w:rPr>
        <w:t>Ce sont toutes ces questions auxquelles nous apporterons des éléments de réponse dans la suite du travail. Dans un premier temps, nous faisons un tour de la littérature théorique et empirique pou</w:t>
      </w:r>
      <w:r w:rsidR="00432C29">
        <w:rPr>
          <w:rFonts w:ascii="Times New Roman" w:hAnsi="Times New Roman" w:cs="Times New Roman"/>
          <w:sz w:val="24"/>
          <w:szCs w:val="24"/>
        </w:rPr>
        <w:t xml:space="preserve">r comprendre le phénomène que nous voulons étudier et nous éclairer </w:t>
      </w:r>
      <w:r w:rsidR="0038164D">
        <w:rPr>
          <w:rFonts w:ascii="Times New Roman" w:hAnsi="Times New Roman" w:cs="Times New Roman"/>
          <w:sz w:val="24"/>
          <w:szCs w:val="24"/>
        </w:rPr>
        <w:t>sur l</w:t>
      </w:r>
      <w:r w:rsidR="00432C29">
        <w:rPr>
          <w:rFonts w:ascii="Times New Roman" w:hAnsi="Times New Roman" w:cs="Times New Roman"/>
          <w:sz w:val="24"/>
          <w:szCs w:val="24"/>
        </w:rPr>
        <w:t>es résultats trouvés par des études crédibles précéd</w:t>
      </w:r>
      <w:r w:rsidR="0038164D">
        <w:rPr>
          <w:rFonts w:ascii="Times New Roman" w:hAnsi="Times New Roman" w:cs="Times New Roman"/>
          <w:sz w:val="24"/>
          <w:szCs w:val="24"/>
        </w:rPr>
        <w:t>ant</w:t>
      </w:r>
      <w:r w:rsidR="00432C29">
        <w:rPr>
          <w:rFonts w:ascii="Times New Roman" w:hAnsi="Times New Roman" w:cs="Times New Roman"/>
          <w:sz w:val="24"/>
          <w:szCs w:val="24"/>
        </w:rPr>
        <w:t xml:space="preserve"> la nôtre.</w:t>
      </w:r>
      <w:r>
        <w:rPr>
          <w:rFonts w:ascii="Times New Roman" w:hAnsi="Times New Roman" w:cs="Times New Roman"/>
          <w:sz w:val="24"/>
          <w:szCs w:val="24"/>
        </w:rPr>
        <w:t xml:space="preserve"> </w:t>
      </w:r>
      <w:r w:rsidR="00432C29">
        <w:rPr>
          <w:rFonts w:ascii="Times New Roman" w:hAnsi="Times New Roman" w:cs="Times New Roman"/>
          <w:sz w:val="24"/>
          <w:szCs w:val="24"/>
        </w:rPr>
        <w:t xml:space="preserve">Dans un second temps, nous décrivons le cadre dans lequel s’inscrit la transition énergétique dans le secteur du transport en Île-de-France et sa mise en œuvre. Enfin, </w:t>
      </w:r>
      <w:r w:rsidR="001A0A3B">
        <w:rPr>
          <w:rFonts w:ascii="Times New Roman" w:hAnsi="Times New Roman" w:cs="Times New Roman"/>
          <w:sz w:val="24"/>
          <w:szCs w:val="24"/>
        </w:rPr>
        <w:t xml:space="preserve">nous procéderons à la modélisation économétrique du phénomène pour déterminer ainsi l’impact des politiques publiques en matière de transition énergétique sur la rentabilité du secteur du transport en </w:t>
      </w:r>
      <w:r w:rsidR="0047139A">
        <w:rPr>
          <w:rFonts w:ascii="Times New Roman" w:hAnsi="Times New Roman" w:cs="Times New Roman"/>
          <w:sz w:val="24"/>
          <w:szCs w:val="24"/>
        </w:rPr>
        <w:t>Île-de-France</w:t>
      </w:r>
      <w:r w:rsidR="001A0A3B">
        <w:rPr>
          <w:rFonts w:ascii="Times New Roman" w:hAnsi="Times New Roman" w:cs="Times New Roman"/>
          <w:sz w:val="24"/>
          <w:szCs w:val="24"/>
        </w:rPr>
        <w:t xml:space="preserve">. </w:t>
      </w:r>
    </w:p>
    <w:p w14:paraId="2995E6A2" w14:textId="77777777" w:rsidR="001E3708" w:rsidRPr="00A67D27" w:rsidRDefault="001E3708" w:rsidP="00A67D27">
      <w:pPr>
        <w:jc w:val="both"/>
      </w:pPr>
    </w:p>
    <w:p w14:paraId="08F4E20B" w14:textId="5DE64B90" w:rsidR="00AF27E8" w:rsidRPr="00EB3FDE" w:rsidRDefault="00AF27E8" w:rsidP="00E55A18">
      <w:pPr>
        <w:pStyle w:val="Titre1"/>
        <w:numPr>
          <w:ilvl w:val="0"/>
          <w:numId w:val="12"/>
        </w:numPr>
        <w:rPr>
          <w:rFonts w:ascii="Times New Roman" w:hAnsi="Times New Roman" w:cs="Times New Roman"/>
          <w:b/>
          <w:bCs/>
        </w:rPr>
      </w:pPr>
      <w:bookmarkStart w:id="2" w:name="_Toc70937400"/>
      <w:r w:rsidRPr="00EB3FDE">
        <w:rPr>
          <w:rFonts w:ascii="Times New Roman" w:hAnsi="Times New Roman" w:cs="Times New Roman"/>
          <w:b/>
          <w:bCs/>
        </w:rPr>
        <w:t>Revue de littérature théorique</w:t>
      </w:r>
      <w:bookmarkEnd w:id="2"/>
    </w:p>
    <w:p w14:paraId="3590634A" w14:textId="77777777" w:rsidR="00AF27E8" w:rsidRDefault="00AF27E8" w:rsidP="00AF27E8">
      <w:pPr>
        <w:shd w:val="clear" w:color="auto" w:fill="FFFFFF"/>
        <w:spacing w:before="240" w:after="240" w:line="240" w:lineRule="auto"/>
        <w:jc w:val="both"/>
        <w:rPr>
          <w:rFonts w:ascii="Times New Roman" w:eastAsia="Times New Roman" w:hAnsi="Times New Roman" w:cs="Times New Roman"/>
          <w:sz w:val="24"/>
          <w:szCs w:val="24"/>
          <w:lang w:eastAsia="fr-FR"/>
        </w:rPr>
      </w:pPr>
      <w:r w:rsidRPr="00737B7D">
        <w:rPr>
          <w:rFonts w:ascii="Times New Roman" w:eastAsia="Times New Roman" w:hAnsi="Times New Roman" w:cs="Times New Roman"/>
          <w:sz w:val="24"/>
          <w:szCs w:val="24"/>
          <w:lang w:eastAsia="fr-FR"/>
        </w:rPr>
        <w:t xml:space="preserve">D’après l’approche classique des rapports entre enjeux environnementaux et économiques, les pressions écologiques représentent une menace à la pérennité des organisations en constituant des contraintes et des coûts pour ces dernières. En effet, cette approche se base sur </w:t>
      </w:r>
      <w:r>
        <w:rPr>
          <w:rFonts w:ascii="Times New Roman" w:eastAsia="Times New Roman" w:hAnsi="Times New Roman" w:cs="Times New Roman"/>
          <w:sz w:val="24"/>
          <w:szCs w:val="24"/>
          <w:lang w:eastAsia="fr-FR"/>
        </w:rPr>
        <w:t xml:space="preserve">une première analyse qui s’inscrit dans une perspective sociétale </w:t>
      </w:r>
      <w:r w:rsidRPr="00737B7D">
        <w:rPr>
          <w:rFonts w:ascii="Times New Roman" w:eastAsia="Times New Roman" w:hAnsi="Times New Roman" w:cs="Times New Roman"/>
          <w:sz w:val="24"/>
          <w:szCs w:val="24"/>
          <w:lang w:eastAsia="fr-FR"/>
        </w:rPr>
        <w:t xml:space="preserve">selon </w:t>
      </w:r>
      <w:r>
        <w:rPr>
          <w:rFonts w:ascii="Times New Roman" w:eastAsia="Times New Roman" w:hAnsi="Times New Roman" w:cs="Times New Roman"/>
          <w:sz w:val="24"/>
          <w:szCs w:val="24"/>
          <w:lang w:eastAsia="fr-FR"/>
        </w:rPr>
        <w:t xml:space="preserve">laquelle </w:t>
      </w:r>
      <w:r w:rsidRPr="00737B7D">
        <w:rPr>
          <w:rFonts w:ascii="Times New Roman" w:eastAsia="Times New Roman" w:hAnsi="Times New Roman" w:cs="Times New Roman"/>
          <w:sz w:val="24"/>
          <w:szCs w:val="24"/>
          <w:lang w:eastAsia="fr-FR"/>
        </w:rPr>
        <w:t xml:space="preserve">les entreprises sont contraintes de se soumettre à des pressions écologiques et de </w:t>
      </w:r>
      <w:r>
        <w:rPr>
          <w:rFonts w:ascii="Times New Roman" w:eastAsia="Times New Roman" w:hAnsi="Times New Roman" w:cs="Times New Roman"/>
          <w:sz w:val="24"/>
          <w:szCs w:val="24"/>
          <w:lang w:eastAsia="fr-FR"/>
        </w:rPr>
        <w:t xml:space="preserve">réagir positivement </w:t>
      </w:r>
      <w:r w:rsidRPr="00737B7D">
        <w:rPr>
          <w:rFonts w:ascii="Times New Roman" w:eastAsia="Times New Roman" w:hAnsi="Times New Roman" w:cs="Times New Roman"/>
          <w:sz w:val="24"/>
          <w:szCs w:val="24"/>
          <w:lang w:eastAsia="fr-FR"/>
        </w:rPr>
        <w:t xml:space="preserve">à ces dernières justement pour répondre aux attentes de la société et ne pas perdre en crédibilité. Les écarts entre les expectatives de la société et la perception du comportement de ces firmes, souvent considérées comme des « pollueurs », fragilisent la pérennité et la légitimité de ces dernières </w:t>
      </w:r>
      <w:bookmarkStart w:id="3" w:name="_Hlk70882667"/>
      <w:r w:rsidRPr="00737B7D">
        <w:rPr>
          <w:rFonts w:ascii="Times New Roman" w:eastAsia="Times New Roman" w:hAnsi="Times New Roman" w:cs="Times New Roman"/>
          <w:sz w:val="24"/>
          <w:szCs w:val="24"/>
          <w:lang w:eastAsia="fr-FR"/>
        </w:rPr>
        <w:t>(</w:t>
      </w:r>
      <w:proofErr w:type="spellStart"/>
      <w:r w:rsidRPr="00737B7D">
        <w:rPr>
          <w:rFonts w:ascii="Times New Roman" w:eastAsia="Times New Roman" w:hAnsi="Times New Roman" w:cs="Times New Roman"/>
          <w:sz w:val="24"/>
          <w:szCs w:val="24"/>
          <w:lang w:eastAsia="fr-FR"/>
        </w:rPr>
        <w:t>Suchman</w:t>
      </w:r>
      <w:proofErr w:type="spellEnd"/>
      <w:r w:rsidRPr="00737B7D">
        <w:rPr>
          <w:rFonts w:ascii="Times New Roman" w:eastAsia="Times New Roman" w:hAnsi="Times New Roman" w:cs="Times New Roman"/>
          <w:sz w:val="24"/>
          <w:szCs w:val="24"/>
          <w:lang w:eastAsia="fr-FR"/>
        </w:rPr>
        <w:t xml:space="preserve">, 1995). </w:t>
      </w:r>
      <w:bookmarkEnd w:id="3"/>
      <w:r w:rsidRPr="00737B7D">
        <w:rPr>
          <w:rFonts w:ascii="Times New Roman" w:eastAsia="Times New Roman" w:hAnsi="Times New Roman" w:cs="Times New Roman"/>
          <w:sz w:val="24"/>
          <w:szCs w:val="24"/>
          <w:lang w:eastAsia="fr-FR"/>
        </w:rPr>
        <w:t xml:space="preserve">Ainsi, les entreprises doivent pouvoir y faire face, les analyser et les prévenir. Le renforcement des réglementations environnementales peut non seulement ternir la réputation de l’entreprise mais également porter atteinte à ses marges de manœuvre par l’ajout de contraintes supplémentaires, </w:t>
      </w:r>
      <w:r>
        <w:rPr>
          <w:rFonts w:ascii="Times New Roman" w:eastAsia="Times New Roman" w:hAnsi="Times New Roman" w:cs="Times New Roman"/>
          <w:sz w:val="24"/>
          <w:szCs w:val="24"/>
          <w:lang w:eastAsia="fr-FR"/>
        </w:rPr>
        <w:t xml:space="preserve">par </w:t>
      </w:r>
      <w:r w:rsidRPr="00737B7D">
        <w:rPr>
          <w:rFonts w:ascii="Times New Roman" w:eastAsia="Times New Roman" w:hAnsi="Times New Roman" w:cs="Times New Roman"/>
          <w:sz w:val="24"/>
          <w:szCs w:val="24"/>
          <w:lang w:eastAsia="fr-FR"/>
        </w:rPr>
        <w:t xml:space="preserve">des réactions violentes du public, des protestations </w:t>
      </w:r>
      <w:r>
        <w:rPr>
          <w:rFonts w:ascii="Times New Roman" w:eastAsia="Times New Roman" w:hAnsi="Times New Roman" w:cs="Times New Roman"/>
          <w:sz w:val="24"/>
          <w:szCs w:val="24"/>
          <w:lang w:eastAsia="fr-FR"/>
        </w:rPr>
        <w:t xml:space="preserve">ou encore par </w:t>
      </w:r>
      <w:r w:rsidRPr="00737B7D">
        <w:rPr>
          <w:rFonts w:ascii="Times New Roman" w:eastAsia="Times New Roman" w:hAnsi="Times New Roman" w:cs="Times New Roman"/>
          <w:sz w:val="24"/>
          <w:szCs w:val="24"/>
          <w:lang w:eastAsia="fr-FR"/>
        </w:rPr>
        <w:t xml:space="preserve"> des campagnes de boycott des écologistes </w:t>
      </w:r>
      <w:bookmarkStart w:id="4" w:name="_Hlk70882683"/>
      <w:r w:rsidRPr="00737B7D">
        <w:rPr>
          <w:rFonts w:ascii="Times New Roman" w:eastAsia="Times New Roman" w:hAnsi="Times New Roman" w:cs="Times New Roman"/>
          <w:sz w:val="24"/>
          <w:szCs w:val="24"/>
          <w:lang w:eastAsia="fr-FR"/>
        </w:rPr>
        <w:t>(</w:t>
      </w:r>
      <w:proofErr w:type="spellStart"/>
      <w:r w:rsidRPr="00737B7D">
        <w:rPr>
          <w:rFonts w:ascii="Times New Roman" w:eastAsia="Times New Roman" w:hAnsi="Times New Roman" w:cs="Times New Roman"/>
          <w:sz w:val="24"/>
          <w:szCs w:val="24"/>
          <w:lang w:eastAsia="fr-FR"/>
        </w:rPr>
        <w:t>Ackerman</w:t>
      </w:r>
      <w:proofErr w:type="spellEnd"/>
      <w:r w:rsidRPr="00737B7D">
        <w:rPr>
          <w:rFonts w:ascii="Times New Roman" w:eastAsia="Times New Roman" w:hAnsi="Times New Roman" w:cs="Times New Roman"/>
          <w:sz w:val="24"/>
          <w:szCs w:val="24"/>
          <w:lang w:eastAsia="fr-FR"/>
        </w:rPr>
        <w:t xml:space="preserve"> et Bauer, 1976 ; Pasquero, 1979 ; </w:t>
      </w:r>
      <w:proofErr w:type="spellStart"/>
      <w:r w:rsidRPr="00737B7D">
        <w:rPr>
          <w:rFonts w:ascii="Times New Roman" w:eastAsia="Times New Roman" w:hAnsi="Times New Roman" w:cs="Times New Roman"/>
          <w:sz w:val="24"/>
          <w:szCs w:val="24"/>
          <w:lang w:eastAsia="fr-FR"/>
        </w:rPr>
        <w:t>Boiral</w:t>
      </w:r>
      <w:proofErr w:type="spellEnd"/>
      <w:r w:rsidRPr="00737B7D">
        <w:rPr>
          <w:rFonts w:ascii="Times New Roman" w:eastAsia="Times New Roman" w:hAnsi="Times New Roman" w:cs="Times New Roman"/>
          <w:sz w:val="24"/>
          <w:szCs w:val="24"/>
          <w:lang w:eastAsia="fr-FR"/>
        </w:rPr>
        <w:t xml:space="preserve"> et Joly, 1992)</w:t>
      </w:r>
      <w:bookmarkEnd w:id="4"/>
      <w:r w:rsidRPr="00737B7D">
        <w:rPr>
          <w:rFonts w:ascii="Times New Roman" w:eastAsia="Times New Roman" w:hAnsi="Times New Roman" w:cs="Times New Roman"/>
          <w:sz w:val="24"/>
          <w:szCs w:val="24"/>
          <w:lang w:eastAsia="fr-FR"/>
        </w:rPr>
        <w:t xml:space="preserve">. </w:t>
      </w:r>
    </w:p>
    <w:p w14:paraId="7F3DD68F" w14:textId="77777777" w:rsidR="00AF27E8" w:rsidRDefault="00AF27E8" w:rsidP="00AF27E8">
      <w:pPr>
        <w:jc w:val="both"/>
        <w:rPr>
          <w:rFonts w:ascii="Times New Roman" w:hAnsi="Times New Roman" w:cs="Times New Roman"/>
          <w:sz w:val="24"/>
          <w:szCs w:val="24"/>
          <w:shd w:val="clear" w:color="auto" w:fill="FFFFFF"/>
        </w:rPr>
      </w:pPr>
      <w:r w:rsidRPr="00C000C6">
        <w:rPr>
          <w:rFonts w:ascii="Times New Roman" w:hAnsi="Times New Roman" w:cs="Times New Roman"/>
          <w:sz w:val="24"/>
          <w:szCs w:val="24"/>
          <w:shd w:val="clear" w:color="auto" w:fill="FFFFFF"/>
        </w:rPr>
        <w:t>Une deuxième analyse consiste à considérer les nuisances environnementales provoquées par les activités industrielles comme des coûts non supportés par la firme et non intégré</w:t>
      </w:r>
      <w:r>
        <w:rPr>
          <w:rFonts w:ascii="Times New Roman" w:hAnsi="Times New Roman" w:cs="Times New Roman"/>
          <w:sz w:val="24"/>
          <w:szCs w:val="24"/>
          <w:shd w:val="clear" w:color="auto" w:fill="FFFFFF"/>
        </w:rPr>
        <w:t>s</w:t>
      </w:r>
      <w:r w:rsidRPr="00C000C6">
        <w:rPr>
          <w:rFonts w:ascii="Times New Roman" w:hAnsi="Times New Roman" w:cs="Times New Roman"/>
          <w:sz w:val="24"/>
          <w:szCs w:val="24"/>
          <w:shd w:val="clear" w:color="auto" w:fill="FFFFFF"/>
        </w:rPr>
        <w:t xml:space="preserve"> dans le prix des produits de cette dernière tels que les problèmes de santé, l’épuisement de ressources naturelles, la dégradation d’un site touristique etc. Ces coûts sont alors pris en charge par les collectivités et donc externalisés. Cette analyse renvoie à la théorie des externalités et des coûts de dépollution qui avance que</w:t>
      </w:r>
      <w:r>
        <w:rPr>
          <w:rFonts w:ascii="Times New Roman" w:hAnsi="Times New Roman" w:cs="Times New Roman"/>
          <w:sz w:val="24"/>
          <w:szCs w:val="24"/>
          <w:shd w:val="clear" w:color="auto" w:fill="FFFFFF"/>
        </w:rPr>
        <w:t>,</w:t>
      </w:r>
      <w:r w:rsidRPr="00C000C6">
        <w:rPr>
          <w:rFonts w:ascii="Times New Roman" w:hAnsi="Times New Roman" w:cs="Times New Roman"/>
          <w:sz w:val="24"/>
          <w:szCs w:val="24"/>
          <w:shd w:val="clear" w:color="auto" w:fill="FFFFFF"/>
        </w:rPr>
        <w:t xml:space="preserve"> sous la pression des normes environnementales réglementaires, les entreprises seront amenées à internaliser ces coûts en tentant de réduire, à travers leurs activités, leur impact environnemental. Les actions de dépollution se concrétiseront par des dépenses pour l’achat d’équipements environnementaux tels que des épurateurs d’air, des filtres ou encore des méthodes </w:t>
      </w:r>
      <w:r w:rsidRPr="00C000C6">
        <w:rPr>
          <w:rFonts w:ascii="Times New Roman" w:hAnsi="Times New Roman" w:cs="Times New Roman"/>
          <w:sz w:val="24"/>
          <w:szCs w:val="24"/>
          <w:shd w:val="clear" w:color="auto" w:fill="FFFFFF"/>
        </w:rPr>
        <w:lastRenderedPageBreak/>
        <w:t>plus propres et des charges de fonctionnement (maintenance, entretien)</w:t>
      </w:r>
      <w:r>
        <w:rPr>
          <w:rFonts w:ascii="Times New Roman" w:hAnsi="Times New Roman" w:cs="Times New Roman"/>
          <w:sz w:val="24"/>
          <w:szCs w:val="24"/>
          <w:shd w:val="clear" w:color="auto" w:fill="FFFFFF"/>
        </w:rPr>
        <w:t xml:space="preserve"> pouvant mettre en péril la productivité des entreprises</w:t>
      </w:r>
      <w:r w:rsidRPr="00C000C6">
        <w:rPr>
          <w:rFonts w:ascii="Times New Roman" w:hAnsi="Times New Roman" w:cs="Times New Roman"/>
          <w:sz w:val="24"/>
          <w:szCs w:val="24"/>
          <w:shd w:val="clear" w:color="auto" w:fill="FFFFFF"/>
        </w:rPr>
        <w:t xml:space="preserve">. </w:t>
      </w:r>
    </w:p>
    <w:p w14:paraId="025D3380" w14:textId="77777777" w:rsidR="00AF27E8" w:rsidRPr="00FD5687" w:rsidRDefault="00AF27E8" w:rsidP="00AF27E8">
      <w:pPr>
        <w:jc w:val="both"/>
        <w:rPr>
          <w:rFonts w:ascii="Times New Roman" w:hAnsi="Times New Roman" w:cs="Times New Roman"/>
          <w:sz w:val="24"/>
          <w:szCs w:val="24"/>
          <w:shd w:val="clear" w:color="auto" w:fill="FFFFFF"/>
        </w:rPr>
      </w:pPr>
      <w:r w:rsidRPr="00FD5687">
        <w:rPr>
          <w:rFonts w:ascii="Times New Roman" w:hAnsi="Times New Roman" w:cs="Times New Roman"/>
          <w:sz w:val="24"/>
          <w:szCs w:val="24"/>
          <w:shd w:val="clear" w:color="auto" w:fill="FFFFFF"/>
        </w:rPr>
        <w:t xml:space="preserve">En étudiant les relations entre la réduction de la pollution et l’augmentation des coûts par la firme, certains économistes ont tenté de déterminer, ce qu’ils appellent un « niveau optimal » de pollution qui traduit le seuil à partir duquel les coûts marginaux associés à la réduction de l’impact environnemental dépassent les coûts liés aux nuisances faites à l’environnement </w:t>
      </w:r>
      <w:bookmarkStart w:id="5" w:name="_Hlk70882709"/>
      <w:r w:rsidRPr="00FD5687">
        <w:rPr>
          <w:rFonts w:ascii="Times New Roman" w:hAnsi="Times New Roman" w:cs="Times New Roman"/>
          <w:sz w:val="24"/>
          <w:szCs w:val="24"/>
          <w:shd w:val="clear" w:color="auto" w:fill="FFFFFF"/>
        </w:rPr>
        <w:t>(</w:t>
      </w:r>
      <w:proofErr w:type="spellStart"/>
      <w:r w:rsidRPr="00FD5687">
        <w:rPr>
          <w:rFonts w:ascii="Times New Roman" w:hAnsi="Times New Roman" w:cs="Times New Roman"/>
          <w:sz w:val="24"/>
          <w:szCs w:val="24"/>
          <w:shd w:val="clear" w:color="auto" w:fill="FFFFFF"/>
        </w:rPr>
        <w:t>Lipsey</w:t>
      </w:r>
      <w:proofErr w:type="spellEnd"/>
      <w:r w:rsidRPr="00FD5687">
        <w:rPr>
          <w:rFonts w:ascii="Times New Roman" w:hAnsi="Times New Roman" w:cs="Times New Roman"/>
          <w:sz w:val="24"/>
          <w:szCs w:val="24"/>
          <w:shd w:val="clear" w:color="auto" w:fill="FFFFFF"/>
        </w:rPr>
        <w:t xml:space="preserve">, </w:t>
      </w:r>
      <w:proofErr w:type="spellStart"/>
      <w:r w:rsidRPr="00FD5687">
        <w:rPr>
          <w:rFonts w:ascii="Times New Roman" w:hAnsi="Times New Roman" w:cs="Times New Roman"/>
          <w:sz w:val="24"/>
          <w:szCs w:val="24"/>
          <w:shd w:val="clear" w:color="auto" w:fill="FFFFFF"/>
        </w:rPr>
        <w:t>Purvis</w:t>
      </w:r>
      <w:proofErr w:type="spellEnd"/>
      <w:r w:rsidRPr="00FD5687">
        <w:rPr>
          <w:rFonts w:ascii="Times New Roman" w:hAnsi="Times New Roman" w:cs="Times New Roman"/>
          <w:sz w:val="24"/>
          <w:szCs w:val="24"/>
          <w:shd w:val="clear" w:color="auto" w:fill="FFFFFF"/>
        </w:rPr>
        <w:t xml:space="preserve"> et Steiner, 1993 ; Prudhomme, 1980)</w:t>
      </w:r>
      <w:bookmarkEnd w:id="5"/>
      <w:r w:rsidRPr="00FD5687">
        <w:rPr>
          <w:rFonts w:ascii="Times New Roman" w:hAnsi="Times New Roman" w:cs="Times New Roman"/>
          <w:sz w:val="24"/>
          <w:szCs w:val="24"/>
          <w:shd w:val="clear" w:color="auto" w:fill="FFFFFF"/>
        </w:rPr>
        <w:t>. Ce modèle sous-tend donc que les actions en faveur de la dépollution entraineraient ainsi des dépenses supplémentaires pour l’entreprise. Par ailleurs, les externalités négatives suivent une tendance décroissante lorsque les charges po</w:t>
      </w:r>
      <w:r>
        <w:rPr>
          <w:rFonts w:ascii="Times New Roman" w:hAnsi="Times New Roman" w:cs="Times New Roman"/>
          <w:sz w:val="24"/>
          <w:szCs w:val="24"/>
          <w:shd w:val="clear" w:color="auto" w:fill="FFFFFF"/>
        </w:rPr>
        <w:t>ur</w:t>
      </w:r>
      <w:r w:rsidRPr="00FD5687">
        <w:rPr>
          <w:rFonts w:ascii="Times New Roman" w:hAnsi="Times New Roman" w:cs="Times New Roman"/>
          <w:sz w:val="24"/>
          <w:szCs w:val="24"/>
          <w:shd w:val="clear" w:color="auto" w:fill="FFFFFF"/>
        </w:rPr>
        <w:t xml:space="preserve"> la dépollution augmentent. L’existence d’un rejet considéré comme « optimal » apparait ainsi </w:t>
      </w:r>
      <w:r>
        <w:rPr>
          <w:rFonts w:ascii="Times New Roman" w:hAnsi="Times New Roman" w:cs="Times New Roman"/>
          <w:sz w:val="24"/>
          <w:szCs w:val="24"/>
          <w:shd w:val="clear" w:color="auto" w:fill="FFFFFF"/>
        </w:rPr>
        <w:t>pour</w:t>
      </w:r>
      <w:r w:rsidRPr="00FD5687">
        <w:rPr>
          <w:rFonts w:ascii="Times New Roman" w:hAnsi="Times New Roman" w:cs="Times New Roman"/>
          <w:sz w:val="24"/>
          <w:szCs w:val="24"/>
          <w:shd w:val="clear" w:color="auto" w:fill="FFFFFF"/>
        </w:rPr>
        <w:t xml:space="preserve"> contribu</w:t>
      </w:r>
      <w:r>
        <w:rPr>
          <w:rFonts w:ascii="Times New Roman" w:hAnsi="Times New Roman" w:cs="Times New Roman"/>
          <w:sz w:val="24"/>
          <w:szCs w:val="24"/>
          <w:shd w:val="clear" w:color="auto" w:fill="FFFFFF"/>
        </w:rPr>
        <w:t>er</w:t>
      </w:r>
      <w:r w:rsidRPr="00FD5687">
        <w:rPr>
          <w:rFonts w:ascii="Times New Roman" w:hAnsi="Times New Roman" w:cs="Times New Roman"/>
          <w:sz w:val="24"/>
          <w:szCs w:val="24"/>
          <w:shd w:val="clear" w:color="auto" w:fill="FFFFFF"/>
        </w:rPr>
        <w:t xml:space="preserve"> à équilibrer les coûts pris en charge par l’entreprise et les nuisances subies par les collectivités. L’analyse « coût-avantage » tente d’évaluer ces nuisances en fonction du prix que les citoyens sont prêts à offrir pour la protection de l’environnement </w:t>
      </w:r>
      <w:bookmarkStart w:id="6" w:name="_Hlk70882724"/>
      <w:r w:rsidRPr="00FD5687">
        <w:rPr>
          <w:rFonts w:ascii="Times New Roman" w:hAnsi="Times New Roman" w:cs="Times New Roman"/>
          <w:sz w:val="24"/>
          <w:szCs w:val="24"/>
          <w:shd w:val="clear" w:color="auto" w:fill="FFFFFF"/>
        </w:rPr>
        <w:t xml:space="preserve">(Gauthier, 2003). </w:t>
      </w:r>
      <w:bookmarkEnd w:id="6"/>
    </w:p>
    <w:p w14:paraId="4C8D593E" w14:textId="14CC6579" w:rsidR="00AF27E8" w:rsidRDefault="00AF27E8" w:rsidP="00AF27E8">
      <w:pPr>
        <w:jc w:val="both"/>
        <w:rPr>
          <w:rFonts w:ascii="Times New Roman" w:hAnsi="Times New Roman" w:cs="Times New Roman"/>
          <w:sz w:val="24"/>
          <w:szCs w:val="24"/>
        </w:rPr>
      </w:pPr>
      <w:r>
        <w:rPr>
          <w:rFonts w:ascii="Times New Roman" w:hAnsi="Times New Roman" w:cs="Times New Roman"/>
          <w:sz w:val="24"/>
          <w:szCs w:val="24"/>
        </w:rPr>
        <w:t>Cependant, cette hypothèse traditionnelle selon laquelle une réglementation environnementale (RE) en limitant les actions possibles des entreprises contribuent à accroitre les coûts de production de ces dernières est de plus en plus réfutée par les économistes. En effet, en 1991, l’économiste Michael Porter affirme que « </w:t>
      </w:r>
      <w:r w:rsidRPr="0086637E">
        <w:rPr>
          <w:rFonts w:ascii="Times New Roman" w:hAnsi="Times New Roman" w:cs="Times New Roman"/>
          <w:i/>
          <w:iCs/>
          <w:sz w:val="24"/>
          <w:szCs w:val="24"/>
        </w:rPr>
        <w:t>l’adoption d’une réglementation environnementale stricte mais bien pensée peut entrainer non seulement des bénéfices sociaux par la réduction des dommages environnementaux mais également des bénéfices privés pour les firmes qui y sont soumises </w:t>
      </w:r>
      <w:r>
        <w:rPr>
          <w:rFonts w:ascii="Times New Roman" w:hAnsi="Times New Roman" w:cs="Times New Roman"/>
          <w:sz w:val="24"/>
          <w:szCs w:val="24"/>
        </w:rPr>
        <w:t>». Ces bénéfices privés excéderaient le plus souvent les coûts de dépollution auxquels sont soumis les pollueurs dans le cadre de l’application de la réglementation environnementale, accroissant ainsi leurs profits. Ce travail de Porter (1991) qui sera désormais appelé Hypothèse de Porter s’appuie sur l’idée selon laquelle cette réglementation encourage les entreprises à repenser leur mode de production en stimulant l’innovation et en entrainant ainsi des gains de productivités conséquents. Ce</w:t>
      </w:r>
      <w:r w:rsidR="00AB4675">
        <w:rPr>
          <w:rFonts w:ascii="Times New Roman" w:hAnsi="Times New Roman" w:cs="Times New Roman"/>
          <w:sz w:val="24"/>
          <w:szCs w:val="24"/>
        </w:rPr>
        <w:t xml:space="preserve">la </w:t>
      </w:r>
      <w:r>
        <w:rPr>
          <w:rFonts w:ascii="Times New Roman" w:hAnsi="Times New Roman" w:cs="Times New Roman"/>
          <w:sz w:val="24"/>
          <w:szCs w:val="24"/>
        </w:rPr>
        <w:t xml:space="preserve">aboutit par la même occasion à réduire la pollution. </w:t>
      </w:r>
    </w:p>
    <w:p w14:paraId="65A56BA7" w14:textId="77777777" w:rsidR="00AF27E8" w:rsidRDefault="00AF27E8" w:rsidP="00AF27E8">
      <w:pPr>
        <w:jc w:val="both"/>
        <w:rPr>
          <w:rFonts w:ascii="Times New Roman" w:hAnsi="Times New Roman" w:cs="Times New Roman"/>
          <w:sz w:val="24"/>
          <w:szCs w:val="24"/>
        </w:rPr>
      </w:pPr>
      <w:r>
        <w:rPr>
          <w:rFonts w:ascii="Times New Roman" w:hAnsi="Times New Roman" w:cs="Times New Roman"/>
          <w:sz w:val="24"/>
          <w:szCs w:val="24"/>
        </w:rPr>
        <w:t xml:space="preserve">Plus tard, </w:t>
      </w:r>
      <w:bookmarkStart w:id="7" w:name="_Hlk70882741"/>
      <w:r>
        <w:rPr>
          <w:rFonts w:ascii="Times New Roman" w:hAnsi="Times New Roman" w:cs="Times New Roman"/>
          <w:sz w:val="24"/>
          <w:szCs w:val="24"/>
        </w:rPr>
        <w:t xml:space="preserve">Porter et van der Linde (1995) </w:t>
      </w:r>
      <w:bookmarkEnd w:id="7"/>
      <w:r>
        <w:rPr>
          <w:rFonts w:ascii="Times New Roman" w:hAnsi="Times New Roman" w:cs="Times New Roman"/>
          <w:sz w:val="24"/>
          <w:szCs w:val="24"/>
        </w:rPr>
        <w:t xml:space="preserve">avancent qu’une RE stricte peut, à priori, accroître les coûts de dépollution des entreprises contraintes à cette dernière. Cependant, si nous considérons un cadre dynamique, ces coûts additionnels vont inciter les firmes à une remise en question générale de leur processus de production et donc à innover. Par conséquent, ces efforts d’innovation peuvent non seulement contribuer à diminuer les coûts de dépollution mais également à accroître la productivité de la firme. Cet accroissement de la productivité découle soit d’une meilleure affectation des intrants soit d’une augmentation de la valeur du produit offert par une amélioration de sa qualité. Le travail de Porter et van der Linde réaffirme ainsi le bien fondé des RE pour l’augmentation des profits des firmes polluantes. </w:t>
      </w:r>
    </w:p>
    <w:p w14:paraId="161FC521" w14:textId="77777777" w:rsidR="00AF27E8" w:rsidRDefault="00AF27E8" w:rsidP="00AF27E8">
      <w:pPr>
        <w:jc w:val="both"/>
        <w:rPr>
          <w:rFonts w:ascii="Times New Roman" w:hAnsi="Times New Roman" w:cs="Times New Roman"/>
          <w:sz w:val="24"/>
          <w:szCs w:val="24"/>
        </w:rPr>
      </w:pPr>
      <w:r>
        <w:rPr>
          <w:rFonts w:ascii="Times New Roman" w:hAnsi="Times New Roman" w:cs="Times New Roman"/>
          <w:sz w:val="24"/>
          <w:szCs w:val="24"/>
        </w:rPr>
        <w:t xml:space="preserve">Il est toutefois intéressant de préciser que si la RE parvient à augmenter les profits des firmes polluantes, ceci s’explique par l’existence d’opportunités de profits non encore exploitées avant cette dernière. En effet, Porter et van der Linde insinuent ainsi que les firmes ne choisissent pas toujours de façon optimale. Et donc, la réglementation favoriserait l’efficience des firmes en les contraignant soit à rectifier les inefficacités dans l’administration de leurs ressources soit à étudier des opportunités de mise en valeur de sous-produits de la production. Par ailleurs, la RE créerait </w:t>
      </w:r>
      <w:r>
        <w:rPr>
          <w:rFonts w:ascii="Times New Roman" w:hAnsi="Times New Roman" w:cs="Times New Roman"/>
          <w:sz w:val="24"/>
          <w:szCs w:val="24"/>
        </w:rPr>
        <w:lastRenderedPageBreak/>
        <w:t xml:space="preserve">également une pression externe qui parviendrait à surmonter l’inertie organisationnelle des firmes et établirait un climat favorable à l’innovation. </w:t>
      </w:r>
    </w:p>
    <w:p w14:paraId="5BDA4633" w14:textId="77777777" w:rsidR="00AF27E8" w:rsidRDefault="00AF27E8" w:rsidP="00AF27E8">
      <w:pPr>
        <w:jc w:val="both"/>
        <w:rPr>
          <w:rFonts w:ascii="Times New Roman" w:hAnsi="Times New Roman" w:cs="Times New Roman"/>
          <w:sz w:val="24"/>
          <w:szCs w:val="24"/>
        </w:rPr>
      </w:pPr>
      <w:r>
        <w:rPr>
          <w:rFonts w:ascii="Times New Roman" w:hAnsi="Times New Roman" w:cs="Times New Roman"/>
          <w:sz w:val="24"/>
          <w:szCs w:val="24"/>
        </w:rPr>
        <w:t xml:space="preserve">Porter suppose également que les technologies les moins polluantes sont les plus productives, d’où l’idée que les firmes ont énormément à gagner avec l’application de la RE, c’est une stratégie gagnant-gagnant (diminution de la pollution pour la société). Ainsi, la RE peut s’engager à déformer la production des firmes à un niveau socialement efficient rendant ainsi les technologies improductives et polluantes moins attractives. L’introduction de la RE encouragerait ainsi les firmes à passer à des nouvelles technologies plus clean non dommageable pour l’environnement et qui éventuellement contribueraient à accroître leur productivité </w:t>
      </w:r>
      <w:bookmarkStart w:id="8" w:name="_Hlk70882762"/>
      <w:r>
        <w:rPr>
          <w:rFonts w:ascii="Times New Roman" w:hAnsi="Times New Roman" w:cs="Times New Roman"/>
          <w:sz w:val="24"/>
          <w:szCs w:val="24"/>
        </w:rPr>
        <w:t>(Mohr 2002).</w:t>
      </w:r>
      <w:bookmarkEnd w:id="8"/>
    </w:p>
    <w:p w14:paraId="5FC3E9BE" w14:textId="77777777" w:rsidR="00AF27E8" w:rsidRDefault="00AF27E8" w:rsidP="00AF27E8">
      <w:pPr>
        <w:jc w:val="both"/>
        <w:rPr>
          <w:rFonts w:ascii="Times New Roman" w:hAnsi="Times New Roman" w:cs="Times New Roman"/>
          <w:sz w:val="24"/>
          <w:szCs w:val="24"/>
        </w:rPr>
      </w:pPr>
      <w:r>
        <w:rPr>
          <w:rFonts w:ascii="Times New Roman" w:hAnsi="Times New Roman" w:cs="Times New Roman"/>
          <w:sz w:val="24"/>
          <w:szCs w:val="24"/>
        </w:rPr>
        <w:t xml:space="preserve">Cependant, </w:t>
      </w:r>
      <w:bookmarkStart w:id="9" w:name="_Hlk70882776"/>
      <w:r>
        <w:rPr>
          <w:rFonts w:ascii="Times New Roman" w:hAnsi="Times New Roman" w:cs="Times New Roman"/>
          <w:sz w:val="24"/>
          <w:szCs w:val="24"/>
        </w:rPr>
        <w:t xml:space="preserve">Palmer, Oates et </w:t>
      </w:r>
      <w:proofErr w:type="spellStart"/>
      <w:r>
        <w:rPr>
          <w:rFonts w:ascii="Times New Roman" w:hAnsi="Times New Roman" w:cs="Times New Roman"/>
          <w:sz w:val="24"/>
          <w:szCs w:val="24"/>
        </w:rPr>
        <w:t>Portney</w:t>
      </w:r>
      <w:proofErr w:type="spellEnd"/>
      <w:r>
        <w:rPr>
          <w:rFonts w:ascii="Times New Roman" w:hAnsi="Times New Roman" w:cs="Times New Roman"/>
          <w:sz w:val="24"/>
          <w:szCs w:val="24"/>
        </w:rPr>
        <w:t xml:space="preserve"> (1995) </w:t>
      </w:r>
      <w:bookmarkEnd w:id="9"/>
      <w:r>
        <w:rPr>
          <w:rFonts w:ascii="Times New Roman" w:hAnsi="Times New Roman" w:cs="Times New Roman"/>
          <w:sz w:val="24"/>
          <w:szCs w:val="24"/>
        </w:rPr>
        <w:t xml:space="preserve">identifieront ce qu’ils considèrent être l’une des plus grandes faiblesses de l’hypothèse de Porter. Ils accusent cette dernière de s’écarter de l’hypothèse classique de maximisation des profits qui suppose que l’objectif des firmes est d’optimiser ces derniers sous contraintes technologiques. La RE ne viendrait donc qu’ajouter des contraintes additionnels au programme des firmes soit en imposant l’emploi de technologies moins polluantes soit en exigeant une affectation moins productive d’une partie des facteurs de production. Par conséquent, la RE limite l’ensemble des choix possibles et disponibles à la firme et entraine parallèlement une diminution de son profit. Si Palmer, Oates et </w:t>
      </w:r>
      <w:proofErr w:type="spellStart"/>
      <w:r>
        <w:rPr>
          <w:rFonts w:ascii="Times New Roman" w:hAnsi="Times New Roman" w:cs="Times New Roman"/>
          <w:sz w:val="24"/>
          <w:szCs w:val="24"/>
        </w:rPr>
        <w:t>Portney</w:t>
      </w:r>
      <w:proofErr w:type="spellEnd"/>
      <w:r>
        <w:rPr>
          <w:rFonts w:ascii="Times New Roman" w:hAnsi="Times New Roman" w:cs="Times New Roman"/>
          <w:sz w:val="24"/>
          <w:szCs w:val="24"/>
        </w:rPr>
        <w:t xml:space="preserve"> admettent l’existence de cas où la RE, en portant les firmes à employer des innovations rentables, contribue à augmenter leurs profits, ils insistent sur le caractère exceptionnel de ces cas. En effet, la nature hasardeuse des activités de R&amp;D rend improbable la dotation de technologies qui pourraient s’avérer rentables ex post. Mais cela ne suppose pas que la décision d’investissement ex ante dans ces technologies ait été rentable en se basant uniquement sur la rentabilité escomptée.</w:t>
      </w:r>
    </w:p>
    <w:p w14:paraId="79EB0858" w14:textId="77777777" w:rsidR="00AF27E8" w:rsidRDefault="00AF27E8" w:rsidP="00AF27E8">
      <w:pPr>
        <w:jc w:val="both"/>
        <w:rPr>
          <w:rFonts w:ascii="Times New Roman" w:hAnsi="Times New Roman" w:cs="Times New Roman"/>
          <w:sz w:val="24"/>
          <w:szCs w:val="24"/>
        </w:rPr>
      </w:pPr>
      <w:r>
        <w:rPr>
          <w:rFonts w:ascii="Times New Roman" w:hAnsi="Times New Roman" w:cs="Times New Roman"/>
          <w:sz w:val="24"/>
          <w:szCs w:val="24"/>
        </w:rPr>
        <w:t xml:space="preserve">Par ailleurs, retracer les histoires à succès comme l’ont fait Porter et van der Linde ne peut en aucun cas constituer une justification d’une théorie générale d’augmentation rentable de la productivité à la suite d’une RE. Palmer, Oates et </w:t>
      </w:r>
      <w:proofErr w:type="spellStart"/>
      <w:r>
        <w:rPr>
          <w:rFonts w:ascii="Times New Roman" w:hAnsi="Times New Roman" w:cs="Times New Roman"/>
          <w:sz w:val="24"/>
          <w:szCs w:val="24"/>
        </w:rPr>
        <w:t>Portney</w:t>
      </w:r>
      <w:proofErr w:type="spellEnd"/>
      <w:r>
        <w:rPr>
          <w:rFonts w:ascii="Times New Roman" w:hAnsi="Times New Roman" w:cs="Times New Roman"/>
          <w:sz w:val="24"/>
          <w:szCs w:val="24"/>
        </w:rPr>
        <w:t xml:space="preserve"> mettent l’accent sur le fait que nous pourrions tout aussi rencontrer des cas où les coûts des firmes ont augmenté et leurs profits ont diminué ou même des cas de faillite avec l’adoption d’une RE. De plus, une autre critique adressée à l’hypothèse de Porter se réfère à la qualité des pouvoirs publics à rectifier la défaillance occasionnée par la non considération des opportunités de profits par les firmes, leurs  conditions de marché et leurs opportunités de profits étant mieux maitrisées par elles que par le gouvernement. En outre, la rentabilité des investissements environnementaux des firmes dépendrait énormément de leur secteur d’activité. Ces investissements sont bien évidemment plus rentables dans les secteurs des services environnementaux qu’ils ne le sont dans les services plus polluants.</w:t>
      </w:r>
    </w:p>
    <w:p w14:paraId="48AC0E81" w14:textId="77777777" w:rsidR="00AF27E8" w:rsidRDefault="00AF27E8" w:rsidP="00AF27E8">
      <w:pPr>
        <w:jc w:val="both"/>
        <w:rPr>
          <w:rFonts w:ascii="Times New Roman" w:hAnsi="Times New Roman" w:cs="Times New Roman"/>
          <w:sz w:val="24"/>
          <w:szCs w:val="24"/>
        </w:rPr>
      </w:pPr>
      <w:r>
        <w:rPr>
          <w:rFonts w:ascii="Times New Roman" w:hAnsi="Times New Roman" w:cs="Times New Roman"/>
          <w:sz w:val="24"/>
          <w:szCs w:val="24"/>
        </w:rPr>
        <w:t xml:space="preserve">Après avoir passé en revue l’ensemble des théories les plus pertinentes de la littérature économique sur l’impact des réglementations environnementales sur les firmes, nous allons à présent exposer les études empiriques les plus importantes qui ont analysé cet impact. Certaines d’entre elles ont entrepris de vérifier l’hypothèse de Porter présentent des résultats assez différents les unes des autres. </w:t>
      </w:r>
    </w:p>
    <w:p w14:paraId="0BB5527E" w14:textId="2E307F34" w:rsidR="00AF27E8" w:rsidRDefault="00AF27E8" w:rsidP="00AF27E8">
      <w:pPr>
        <w:jc w:val="both"/>
        <w:rPr>
          <w:rFonts w:ascii="Times New Roman" w:hAnsi="Times New Roman" w:cs="Times New Roman"/>
          <w:sz w:val="24"/>
          <w:szCs w:val="24"/>
        </w:rPr>
      </w:pPr>
    </w:p>
    <w:p w14:paraId="646F7261" w14:textId="77777777" w:rsidR="00FF7B4B" w:rsidRDefault="00FF7B4B" w:rsidP="00AF27E8">
      <w:pPr>
        <w:jc w:val="both"/>
        <w:rPr>
          <w:rFonts w:ascii="Times New Roman" w:hAnsi="Times New Roman" w:cs="Times New Roman"/>
          <w:sz w:val="24"/>
          <w:szCs w:val="24"/>
        </w:rPr>
      </w:pPr>
    </w:p>
    <w:p w14:paraId="462A6744" w14:textId="6B003A0A" w:rsidR="00AF27E8" w:rsidRPr="00EB3FDE" w:rsidRDefault="00AF27E8" w:rsidP="00E55A18">
      <w:pPr>
        <w:pStyle w:val="Titre1"/>
        <w:numPr>
          <w:ilvl w:val="0"/>
          <w:numId w:val="12"/>
        </w:numPr>
        <w:rPr>
          <w:rFonts w:ascii="Times New Roman" w:hAnsi="Times New Roman" w:cs="Times New Roman"/>
          <w:b/>
          <w:bCs/>
        </w:rPr>
      </w:pPr>
      <w:bookmarkStart w:id="10" w:name="_Toc70937401"/>
      <w:r w:rsidRPr="00EB3FDE">
        <w:rPr>
          <w:rFonts w:ascii="Times New Roman" w:hAnsi="Times New Roman" w:cs="Times New Roman"/>
          <w:b/>
          <w:bCs/>
        </w:rPr>
        <w:lastRenderedPageBreak/>
        <w:t>Revue de littérature empirique</w:t>
      </w:r>
      <w:bookmarkEnd w:id="10"/>
    </w:p>
    <w:p w14:paraId="63C87E15" w14:textId="77777777" w:rsidR="00AF27E8" w:rsidRDefault="00AF27E8" w:rsidP="00AF27E8">
      <w:pPr>
        <w:jc w:val="both"/>
        <w:rPr>
          <w:rFonts w:ascii="Times New Roman" w:hAnsi="Times New Roman" w:cs="Times New Roman"/>
          <w:sz w:val="24"/>
          <w:szCs w:val="24"/>
        </w:rPr>
      </w:pPr>
      <w:r w:rsidRPr="0016291B">
        <w:rPr>
          <w:rFonts w:ascii="Times New Roman" w:hAnsi="Times New Roman" w:cs="Times New Roman"/>
          <w:sz w:val="24"/>
          <w:szCs w:val="24"/>
        </w:rPr>
        <w:t xml:space="preserve">Nous allons à présent </w:t>
      </w:r>
      <w:r>
        <w:rPr>
          <w:rFonts w:ascii="Times New Roman" w:hAnsi="Times New Roman" w:cs="Times New Roman"/>
          <w:sz w:val="24"/>
          <w:szCs w:val="24"/>
        </w:rPr>
        <w:t xml:space="preserve">exposer les études empiriques qui testent l’hypothèse de Porter en étudiant l’impact des RE sur l’évolution de la productivité dans les secteurs polluants. Néanmoins, nous trouvons important d’ajouter que l’analyse de l’impact des RE sur la productivité est antérieure au travail de Porter. Ces études antérieures à l’Hypothèse de Porter tentaient de déterminer à quel point la décélération de la croissance de la productivité enregistrée à partir des années 70 dans plusieurs pays pouvait être justifiée par le développement des politiques environnementales. </w:t>
      </w:r>
      <w:bookmarkStart w:id="11" w:name="_Hlk70882860"/>
      <w:proofErr w:type="spellStart"/>
      <w:r>
        <w:rPr>
          <w:rFonts w:ascii="Times New Roman" w:hAnsi="Times New Roman" w:cs="Times New Roman"/>
          <w:sz w:val="24"/>
          <w:szCs w:val="24"/>
        </w:rPr>
        <w:t>Christainsen</w:t>
      </w:r>
      <w:proofErr w:type="spellEnd"/>
      <w:r>
        <w:rPr>
          <w:rFonts w:ascii="Times New Roman" w:hAnsi="Times New Roman" w:cs="Times New Roman"/>
          <w:sz w:val="24"/>
          <w:szCs w:val="24"/>
        </w:rPr>
        <w:t xml:space="preserve"> et </w:t>
      </w:r>
      <w:proofErr w:type="spellStart"/>
      <w:r>
        <w:rPr>
          <w:rFonts w:ascii="Times New Roman" w:hAnsi="Times New Roman" w:cs="Times New Roman"/>
          <w:sz w:val="24"/>
          <w:szCs w:val="24"/>
        </w:rPr>
        <w:t>Havenan</w:t>
      </w:r>
      <w:proofErr w:type="spellEnd"/>
      <w:r>
        <w:rPr>
          <w:rFonts w:ascii="Times New Roman" w:hAnsi="Times New Roman" w:cs="Times New Roman"/>
          <w:sz w:val="24"/>
          <w:szCs w:val="24"/>
        </w:rPr>
        <w:t xml:space="preserve"> (1981</w:t>
      </w:r>
      <w:bookmarkEnd w:id="11"/>
      <w:r>
        <w:rPr>
          <w:rFonts w:ascii="Times New Roman" w:hAnsi="Times New Roman" w:cs="Times New Roman"/>
          <w:sz w:val="24"/>
          <w:szCs w:val="24"/>
        </w:rPr>
        <w:t xml:space="preserve">) ont passé en revue toutes ces recherches plus anciennes et toutes parviennent à la conclusion que la RE représente un  facteur significatif à l’origine de la diminution des taux de croissance de productivité. Elles avancent également que l’importance de la RE varie en fonction des secteurs et par conséquent ceux les plus réglementés ont été les plus négativement touchés. Pour autant,  l’étude la plus préjudiciable au travail de Porter est celle publiée en 1983 dans le Journal of </w:t>
      </w:r>
      <w:proofErr w:type="spellStart"/>
      <w:r>
        <w:rPr>
          <w:rFonts w:ascii="Times New Roman" w:hAnsi="Times New Roman" w:cs="Times New Roman"/>
          <w:sz w:val="24"/>
          <w:szCs w:val="24"/>
        </w:rPr>
        <w:t>Political</w:t>
      </w:r>
      <w:proofErr w:type="spellEnd"/>
      <w:r>
        <w:rPr>
          <w:rFonts w:ascii="Times New Roman" w:hAnsi="Times New Roman" w:cs="Times New Roman"/>
          <w:sz w:val="24"/>
          <w:szCs w:val="24"/>
        </w:rPr>
        <w:t xml:space="preserve"> Economy par </w:t>
      </w:r>
      <w:bookmarkStart w:id="12" w:name="_Hlk70882890"/>
      <w:proofErr w:type="spellStart"/>
      <w:r>
        <w:rPr>
          <w:rFonts w:ascii="Times New Roman" w:hAnsi="Times New Roman" w:cs="Times New Roman"/>
          <w:sz w:val="24"/>
          <w:szCs w:val="24"/>
        </w:rPr>
        <w:t>Gollop</w:t>
      </w:r>
      <w:proofErr w:type="spellEnd"/>
      <w:r>
        <w:rPr>
          <w:rFonts w:ascii="Times New Roman" w:hAnsi="Times New Roman" w:cs="Times New Roman"/>
          <w:sz w:val="24"/>
          <w:szCs w:val="24"/>
        </w:rPr>
        <w:t xml:space="preserve"> et Roberts</w:t>
      </w:r>
      <w:bookmarkEnd w:id="12"/>
      <w:r>
        <w:rPr>
          <w:rFonts w:ascii="Times New Roman" w:hAnsi="Times New Roman" w:cs="Times New Roman"/>
          <w:sz w:val="24"/>
          <w:szCs w:val="24"/>
        </w:rPr>
        <w:t xml:space="preserve">. Cette dernière démontre que la RE est la cause d’une diminution de 0,59 point de pourcentage de la croissance de la productivité des centrales thermiques aux Etats-Unis. Ils seront suivis en 1995 par </w:t>
      </w:r>
      <w:bookmarkStart w:id="13" w:name="_Hlk70882910"/>
      <w:r w:rsidRPr="00234814">
        <w:rPr>
          <w:rFonts w:ascii="Times New Roman" w:hAnsi="Times New Roman" w:cs="Times New Roman"/>
          <w:sz w:val="24"/>
          <w:szCs w:val="24"/>
        </w:rPr>
        <w:t xml:space="preserve">Dufour, </w:t>
      </w:r>
      <w:proofErr w:type="spellStart"/>
      <w:r w:rsidRPr="00234814">
        <w:rPr>
          <w:rFonts w:ascii="Times New Roman" w:hAnsi="Times New Roman" w:cs="Times New Roman"/>
          <w:sz w:val="24"/>
          <w:szCs w:val="24"/>
        </w:rPr>
        <w:t>Lanoie</w:t>
      </w:r>
      <w:proofErr w:type="spellEnd"/>
      <w:r w:rsidRPr="00234814">
        <w:rPr>
          <w:rFonts w:ascii="Times New Roman" w:hAnsi="Times New Roman" w:cs="Times New Roman"/>
          <w:sz w:val="24"/>
          <w:szCs w:val="24"/>
        </w:rPr>
        <w:t xml:space="preserve"> et </w:t>
      </w:r>
      <w:proofErr w:type="spellStart"/>
      <w:r w:rsidRPr="00234814">
        <w:rPr>
          <w:rFonts w:ascii="Times New Roman" w:hAnsi="Times New Roman" w:cs="Times New Roman"/>
          <w:sz w:val="24"/>
          <w:szCs w:val="24"/>
        </w:rPr>
        <w:t>Patry</w:t>
      </w:r>
      <w:proofErr w:type="spellEnd"/>
      <w:r>
        <w:rPr>
          <w:rFonts w:ascii="Times New Roman" w:hAnsi="Times New Roman" w:cs="Times New Roman"/>
          <w:sz w:val="24"/>
          <w:szCs w:val="24"/>
        </w:rPr>
        <w:t xml:space="preserve"> </w:t>
      </w:r>
      <w:bookmarkEnd w:id="13"/>
      <w:r>
        <w:rPr>
          <w:rFonts w:ascii="Times New Roman" w:hAnsi="Times New Roman" w:cs="Times New Roman"/>
          <w:sz w:val="24"/>
          <w:szCs w:val="24"/>
        </w:rPr>
        <w:t xml:space="preserve">qui ont effectué une recherche </w:t>
      </w:r>
      <w:r w:rsidRPr="00234814">
        <w:rPr>
          <w:rFonts w:ascii="Times New Roman" w:hAnsi="Times New Roman" w:cs="Times New Roman"/>
          <w:sz w:val="24"/>
          <w:szCs w:val="24"/>
        </w:rPr>
        <w:t xml:space="preserve">portant sur le secteur manufacturier québécois, pour la période allant de 1985 à 1988, </w:t>
      </w:r>
      <w:r>
        <w:rPr>
          <w:rFonts w:ascii="Times New Roman" w:hAnsi="Times New Roman" w:cs="Times New Roman"/>
          <w:sz w:val="24"/>
          <w:szCs w:val="24"/>
        </w:rPr>
        <w:t xml:space="preserve">révélant </w:t>
      </w:r>
      <w:r w:rsidRPr="00234814">
        <w:rPr>
          <w:rFonts w:ascii="Times New Roman" w:hAnsi="Times New Roman" w:cs="Times New Roman"/>
          <w:sz w:val="24"/>
          <w:szCs w:val="24"/>
        </w:rPr>
        <w:t>que le coût d’achat d’équipements de réduction de pollution impacte négativement la croissance de la productivité</w:t>
      </w:r>
      <w:r>
        <w:rPr>
          <w:rFonts w:ascii="Times New Roman" w:hAnsi="Times New Roman" w:cs="Times New Roman"/>
          <w:sz w:val="24"/>
          <w:szCs w:val="24"/>
        </w:rPr>
        <w:t xml:space="preserve">. </w:t>
      </w:r>
    </w:p>
    <w:p w14:paraId="1D99D86D" w14:textId="77777777" w:rsidR="00AF27E8" w:rsidRDefault="00AF27E8" w:rsidP="00AF27E8">
      <w:pPr>
        <w:jc w:val="both"/>
        <w:rPr>
          <w:rFonts w:ascii="Times New Roman" w:hAnsi="Times New Roman" w:cs="Times New Roman"/>
          <w:sz w:val="24"/>
          <w:szCs w:val="24"/>
        </w:rPr>
      </w:pPr>
      <w:r w:rsidRPr="00F95C3C">
        <w:rPr>
          <w:rFonts w:ascii="Times New Roman" w:hAnsi="Times New Roman" w:cs="Times New Roman"/>
          <w:sz w:val="24"/>
          <w:szCs w:val="24"/>
        </w:rPr>
        <w:t>Pour vérifier la validité de l’hypothèse de Porter, d’autres études</w:t>
      </w:r>
      <w:r>
        <w:rPr>
          <w:rFonts w:ascii="Times New Roman" w:hAnsi="Times New Roman" w:cs="Times New Roman"/>
          <w:sz w:val="24"/>
          <w:szCs w:val="24"/>
        </w:rPr>
        <w:t xml:space="preserve"> </w:t>
      </w:r>
      <w:bookmarkStart w:id="14" w:name="_Hlk70882933"/>
      <w:r>
        <w:rPr>
          <w:rFonts w:ascii="Times New Roman" w:hAnsi="Times New Roman" w:cs="Times New Roman"/>
          <w:sz w:val="24"/>
          <w:szCs w:val="24"/>
        </w:rPr>
        <w:t>(Jaffe et Palmer, 1997)</w:t>
      </w:r>
      <w:r w:rsidRPr="00F95C3C">
        <w:rPr>
          <w:rFonts w:ascii="Times New Roman" w:hAnsi="Times New Roman" w:cs="Times New Roman"/>
          <w:sz w:val="24"/>
          <w:szCs w:val="24"/>
        </w:rPr>
        <w:t xml:space="preserve"> </w:t>
      </w:r>
      <w:bookmarkEnd w:id="14"/>
      <w:r w:rsidRPr="00F95C3C">
        <w:rPr>
          <w:rFonts w:ascii="Times New Roman" w:hAnsi="Times New Roman" w:cs="Times New Roman"/>
          <w:sz w:val="24"/>
          <w:szCs w:val="24"/>
        </w:rPr>
        <w:t xml:space="preserve">ont adopté des approches </w:t>
      </w:r>
      <w:r>
        <w:rPr>
          <w:rFonts w:ascii="Times New Roman" w:hAnsi="Times New Roman" w:cs="Times New Roman"/>
          <w:sz w:val="24"/>
          <w:szCs w:val="24"/>
        </w:rPr>
        <w:t xml:space="preserve">différentes en analysant l’impact de la RE sur les activités de R&amp;D. Cependant, même si les résultats présentent un lien positif entre la RE et les R&amp;D, les dépenses environnementales ne présentent aucune influence significative sur le nombre de brevets déposés, ce qui représente une mesure de productivité des activités R&amp;D. Au regard des résultats de ces études, une incertitude demeure quant à l’explication de la croissance des activités des R&amp;D. Sont-elles dues à une réaction à la Porter qui réfère aux changements dans le processus de production suite à la RE ou désignent-elles uniquement une reconversion de l’investissement prévu au départ pour générer des gains de productivité vers des activités de R&amp;D improductives pour la firme, justement pour se conformer à la RE. Cela rejoint les résultats d’une étude menée par </w:t>
      </w:r>
      <w:bookmarkStart w:id="15" w:name="_Hlk70883011"/>
      <w:r>
        <w:rPr>
          <w:rFonts w:ascii="Times New Roman" w:hAnsi="Times New Roman" w:cs="Times New Roman"/>
          <w:sz w:val="24"/>
          <w:szCs w:val="24"/>
        </w:rPr>
        <w:t xml:space="preserve">Gray et </w:t>
      </w:r>
      <w:proofErr w:type="spellStart"/>
      <w:r>
        <w:rPr>
          <w:rFonts w:ascii="Times New Roman" w:hAnsi="Times New Roman" w:cs="Times New Roman"/>
          <w:sz w:val="24"/>
          <w:szCs w:val="24"/>
        </w:rPr>
        <w:t>Shadbegian</w:t>
      </w:r>
      <w:proofErr w:type="spellEnd"/>
      <w:r>
        <w:rPr>
          <w:rFonts w:ascii="Times New Roman" w:hAnsi="Times New Roman" w:cs="Times New Roman"/>
          <w:sz w:val="24"/>
          <w:szCs w:val="24"/>
        </w:rPr>
        <w:t xml:space="preserve"> en 1998 </w:t>
      </w:r>
      <w:bookmarkEnd w:id="15"/>
      <w:r>
        <w:rPr>
          <w:rFonts w:ascii="Times New Roman" w:hAnsi="Times New Roman" w:cs="Times New Roman"/>
          <w:sz w:val="24"/>
          <w:szCs w:val="24"/>
        </w:rPr>
        <w:t>sur l’industrie des pâtes et papiers aux Etats-Unis. Cette étude qui a pour but d’étudier l’impact des RE sur les décisions d’investissement met en exergue non seulement une substitution entre les investissements de dépollution et les investissements productifs mais également le fait que les firmes dont les coûts de dépollution sont les plus importants, acquièrent moins de capital productif.</w:t>
      </w:r>
    </w:p>
    <w:p w14:paraId="32109D8C" w14:textId="77777777" w:rsidR="00AF27E8" w:rsidRDefault="00AF27E8" w:rsidP="00AF27E8">
      <w:pPr>
        <w:jc w:val="both"/>
        <w:rPr>
          <w:rFonts w:ascii="Times New Roman" w:hAnsi="Times New Roman" w:cs="Times New Roman"/>
          <w:sz w:val="24"/>
          <w:szCs w:val="24"/>
        </w:rPr>
      </w:pPr>
      <w:r>
        <w:rPr>
          <w:rFonts w:ascii="Times New Roman" w:hAnsi="Times New Roman" w:cs="Times New Roman"/>
          <w:sz w:val="24"/>
          <w:szCs w:val="24"/>
        </w:rPr>
        <w:t>Nous allons à présent nous intéresser aux recherches qui vont dans le même sens que l’hypothèse de Porter. En 1998, e</w:t>
      </w:r>
      <w:r w:rsidRPr="00234814">
        <w:rPr>
          <w:rFonts w:ascii="Times New Roman" w:hAnsi="Times New Roman" w:cs="Times New Roman"/>
          <w:sz w:val="24"/>
          <w:szCs w:val="24"/>
        </w:rPr>
        <w:t>n comparant des raffineries soumises à plus de réglementations environnementales que d’autres aux Etats-Unis</w:t>
      </w:r>
      <w:r>
        <w:rPr>
          <w:rFonts w:ascii="Times New Roman" w:hAnsi="Times New Roman" w:cs="Times New Roman"/>
          <w:sz w:val="24"/>
          <w:szCs w:val="24"/>
        </w:rPr>
        <w:t xml:space="preserve"> sur la période 1979-1992</w:t>
      </w:r>
      <w:r w:rsidRPr="00234814">
        <w:rPr>
          <w:rFonts w:ascii="Times New Roman" w:hAnsi="Times New Roman" w:cs="Times New Roman"/>
          <w:sz w:val="24"/>
          <w:szCs w:val="24"/>
        </w:rPr>
        <w:t xml:space="preserve">, </w:t>
      </w:r>
      <w:bookmarkStart w:id="16" w:name="_Hlk70883028"/>
      <w:r>
        <w:rPr>
          <w:rFonts w:ascii="Times New Roman" w:hAnsi="Times New Roman" w:cs="Times New Roman"/>
          <w:sz w:val="24"/>
          <w:szCs w:val="24"/>
        </w:rPr>
        <w:t xml:space="preserve">Berman et </w:t>
      </w:r>
      <w:proofErr w:type="spellStart"/>
      <w:r>
        <w:rPr>
          <w:rFonts w:ascii="Times New Roman" w:hAnsi="Times New Roman" w:cs="Times New Roman"/>
          <w:sz w:val="24"/>
          <w:szCs w:val="24"/>
        </w:rPr>
        <w:t>Bui</w:t>
      </w:r>
      <w:proofErr w:type="spellEnd"/>
      <w:r w:rsidRPr="00234814">
        <w:rPr>
          <w:rFonts w:ascii="Times New Roman" w:hAnsi="Times New Roman" w:cs="Times New Roman"/>
          <w:sz w:val="24"/>
          <w:szCs w:val="24"/>
        </w:rPr>
        <w:t xml:space="preserve"> </w:t>
      </w:r>
      <w:bookmarkEnd w:id="16"/>
      <w:r w:rsidRPr="00234814">
        <w:rPr>
          <w:rFonts w:ascii="Times New Roman" w:hAnsi="Times New Roman" w:cs="Times New Roman"/>
          <w:sz w:val="24"/>
          <w:szCs w:val="24"/>
        </w:rPr>
        <w:t xml:space="preserve">sont parvenus à la conclusion que celles qui ont </w:t>
      </w:r>
      <w:r>
        <w:rPr>
          <w:rFonts w:ascii="Times New Roman" w:hAnsi="Times New Roman" w:cs="Times New Roman"/>
          <w:sz w:val="24"/>
          <w:szCs w:val="24"/>
        </w:rPr>
        <w:t xml:space="preserve">eu à </w:t>
      </w:r>
      <w:r w:rsidRPr="00234814">
        <w:rPr>
          <w:rFonts w:ascii="Times New Roman" w:hAnsi="Times New Roman" w:cs="Times New Roman"/>
          <w:sz w:val="24"/>
          <w:szCs w:val="24"/>
        </w:rPr>
        <w:t>fai</w:t>
      </w:r>
      <w:r>
        <w:rPr>
          <w:rFonts w:ascii="Times New Roman" w:hAnsi="Times New Roman" w:cs="Times New Roman"/>
          <w:sz w:val="24"/>
          <w:szCs w:val="24"/>
        </w:rPr>
        <w:t>re</w:t>
      </w:r>
      <w:r w:rsidRPr="00234814">
        <w:rPr>
          <w:rFonts w:ascii="Times New Roman" w:hAnsi="Times New Roman" w:cs="Times New Roman"/>
          <w:sz w:val="24"/>
          <w:szCs w:val="24"/>
        </w:rPr>
        <w:t xml:space="preserve"> face à plus de contraintes </w:t>
      </w:r>
      <w:r>
        <w:rPr>
          <w:rFonts w:ascii="Times New Roman" w:hAnsi="Times New Roman" w:cs="Times New Roman"/>
          <w:sz w:val="24"/>
          <w:szCs w:val="24"/>
        </w:rPr>
        <w:t xml:space="preserve">environnementales </w:t>
      </w:r>
      <w:r w:rsidRPr="00234814">
        <w:rPr>
          <w:rFonts w:ascii="Times New Roman" w:hAnsi="Times New Roman" w:cs="Times New Roman"/>
          <w:sz w:val="24"/>
          <w:szCs w:val="24"/>
        </w:rPr>
        <w:t>ont enregistré une hausse de productivité plus importante</w:t>
      </w:r>
      <w:r>
        <w:rPr>
          <w:rFonts w:ascii="Times New Roman" w:hAnsi="Times New Roman" w:cs="Times New Roman"/>
          <w:sz w:val="24"/>
          <w:szCs w:val="24"/>
        </w:rPr>
        <w:t xml:space="preserve"> que les autres, soumises à des RE moins strictes. Cette étude qui analyse l’impact des réglementations ambitionnant la réduction des émissions atmosphériques polluantes par les raffineries de Los Angeles, assujetties à des RE locales très rigoureuses, atteste un lien positif entre l’importance des RE et les coûts de la </w:t>
      </w:r>
      <w:r>
        <w:rPr>
          <w:rFonts w:ascii="Times New Roman" w:hAnsi="Times New Roman" w:cs="Times New Roman"/>
          <w:sz w:val="24"/>
          <w:szCs w:val="24"/>
        </w:rPr>
        <w:lastRenderedPageBreak/>
        <w:t xml:space="preserve">dépollution. Il s’agit dans cette recherche de comparer l’évolution de la productivité et des investissements en capital de dépollution. Sans corroborer l’hypothèse de Porter, les résultats de cette étude menée par Berman et </w:t>
      </w:r>
      <w:proofErr w:type="spellStart"/>
      <w:r>
        <w:rPr>
          <w:rFonts w:ascii="Times New Roman" w:hAnsi="Times New Roman" w:cs="Times New Roman"/>
          <w:sz w:val="24"/>
          <w:szCs w:val="24"/>
        </w:rPr>
        <w:t>Bui</w:t>
      </w:r>
      <w:proofErr w:type="spellEnd"/>
      <w:r>
        <w:rPr>
          <w:rFonts w:ascii="Times New Roman" w:hAnsi="Times New Roman" w:cs="Times New Roman"/>
          <w:sz w:val="24"/>
          <w:szCs w:val="24"/>
        </w:rPr>
        <w:t xml:space="preserve"> indiquent que les dépenses d’investissement pour la dépollution peuvent s’avérer productives. </w:t>
      </w:r>
    </w:p>
    <w:p w14:paraId="4278D66E" w14:textId="49DC5243" w:rsidR="00AF27E8" w:rsidRPr="00DF1773" w:rsidRDefault="00AF27E8" w:rsidP="00AF27E8">
      <w:pPr>
        <w:jc w:val="both"/>
        <w:rPr>
          <w:color w:val="FF0000"/>
        </w:rPr>
      </w:pPr>
      <w:r w:rsidRPr="00234814">
        <w:rPr>
          <w:rFonts w:ascii="Times New Roman" w:hAnsi="Times New Roman" w:cs="Times New Roman"/>
          <w:sz w:val="24"/>
          <w:szCs w:val="24"/>
        </w:rPr>
        <w:t xml:space="preserve">Dans une étude portant sur 5 secteurs industriels polluants aux Etats-Unis, </w:t>
      </w:r>
      <w:bookmarkStart w:id="17" w:name="_Hlk70883052"/>
      <w:r>
        <w:rPr>
          <w:rFonts w:ascii="Times New Roman" w:hAnsi="Times New Roman" w:cs="Times New Roman"/>
          <w:sz w:val="24"/>
          <w:szCs w:val="24"/>
        </w:rPr>
        <w:t>Barb</w:t>
      </w:r>
      <w:r w:rsidR="00ED0FB0">
        <w:rPr>
          <w:rFonts w:ascii="Times New Roman" w:hAnsi="Times New Roman" w:cs="Times New Roman"/>
          <w:sz w:val="24"/>
          <w:szCs w:val="24"/>
        </w:rPr>
        <w:t>e</w:t>
      </w:r>
      <w:r>
        <w:rPr>
          <w:rFonts w:ascii="Times New Roman" w:hAnsi="Times New Roman" w:cs="Times New Roman"/>
          <w:sz w:val="24"/>
          <w:szCs w:val="24"/>
        </w:rPr>
        <w:t xml:space="preserve">ra et Mc </w:t>
      </w:r>
      <w:proofErr w:type="spellStart"/>
      <w:r>
        <w:rPr>
          <w:rFonts w:ascii="Times New Roman" w:hAnsi="Times New Roman" w:cs="Times New Roman"/>
          <w:sz w:val="24"/>
          <w:szCs w:val="24"/>
        </w:rPr>
        <w:t>Connel</w:t>
      </w:r>
      <w:proofErr w:type="spellEnd"/>
      <w:r>
        <w:rPr>
          <w:rFonts w:ascii="Times New Roman" w:hAnsi="Times New Roman" w:cs="Times New Roman"/>
          <w:sz w:val="24"/>
          <w:szCs w:val="24"/>
        </w:rPr>
        <w:t xml:space="preserve"> (1990) </w:t>
      </w:r>
      <w:bookmarkEnd w:id="17"/>
      <w:r w:rsidRPr="00234814">
        <w:rPr>
          <w:rFonts w:ascii="Times New Roman" w:hAnsi="Times New Roman" w:cs="Times New Roman"/>
          <w:sz w:val="24"/>
          <w:szCs w:val="24"/>
        </w:rPr>
        <w:t>ont mis en évidence la diminution de la croissance de la productivité de 0,184 à 0,077 points de pourcentage suite à des réglementations environnementales</w:t>
      </w:r>
      <w:r>
        <w:rPr>
          <w:rFonts w:ascii="Times New Roman" w:hAnsi="Times New Roman" w:cs="Times New Roman"/>
          <w:sz w:val="24"/>
          <w:szCs w:val="24"/>
        </w:rPr>
        <w:t xml:space="preserve">. Ils examinent l’impact de la RE sur la croissance de la productivité de ces firmes en le décomposant en deux effets, effet direct et effet indirect. L’effet direct désigne l’obligation faite par la RE à la firme d’acquérir de nouveaux équipements tandis que l’effet indirect renvoie à l’impact de ces derniers sur la productivité du processus de production. Les auteurs soulignent que très souvent les deux effets sont négatifs et même si l’effet indirect s’avère être positif, il ne parvient pas à atténuer l’effet direct négatif. Néanmoins, l’industrie chimique pendant la période 60-70 constitue une exception à cette observation présentant un effet indirect de -0,034 atténué par un effet direct de +0,040, ce qui apparait valider l’effet total négatif de la RE sur la croissance de la productivité. </w:t>
      </w:r>
    </w:p>
    <w:p w14:paraId="30C71A3F" w14:textId="2714C87C" w:rsidR="00AF27E8" w:rsidRDefault="00AF27E8" w:rsidP="00AF27E8">
      <w:pPr>
        <w:jc w:val="both"/>
        <w:rPr>
          <w:rFonts w:ascii="Times New Roman" w:hAnsi="Times New Roman" w:cs="Times New Roman"/>
          <w:sz w:val="24"/>
          <w:szCs w:val="24"/>
        </w:rPr>
      </w:pPr>
      <w:bookmarkStart w:id="18" w:name="_Hlk70883073"/>
      <w:proofErr w:type="spellStart"/>
      <w:r w:rsidRPr="00234814">
        <w:rPr>
          <w:rFonts w:ascii="Times New Roman" w:hAnsi="Times New Roman" w:cs="Times New Roman"/>
          <w:sz w:val="24"/>
          <w:szCs w:val="24"/>
        </w:rPr>
        <w:t>Majumdar</w:t>
      </w:r>
      <w:proofErr w:type="spellEnd"/>
      <w:r w:rsidRPr="00234814">
        <w:rPr>
          <w:rFonts w:ascii="Times New Roman" w:hAnsi="Times New Roman" w:cs="Times New Roman"/>
          <w:sz w:val="24"/>
          <w:szCs w:val="24"/>
        </w:rPr>
        <w:t xml:space="preserve"> et Marcus (1998) </w:t>
      </w:r>
      <w:bookmarkEnd w:id="18"/>
      <w:r w:rsidRPr="00234814">
        <w:rPr>
          <w:rFonts w:ascii="Times New Roman" w:hAnsi="Times New Roman" w:cs="Times New Roman"/>
          <w:sz w:val="24"/>
          <w:szCs w:val="24"/>
        </w:rPr>
        <w:t>ont</w:t>
      </w:r>
      <w:r>
        <w:rPr>
          <w:rFonts w:ascii="Times New Roman" w:hAnsi="Times New Roman" w:cs="Times New Roman"/>
          <w:sz w:val="24"/>
          <w:szCs w:val="24"/>
        </w:rPr>
        <w:t>, quant à eux,</w:t>
      </w:r>
      <w:r w:rsidRPr="00234814">
        <w:rPr>
          <w:rFonts w:ascii="Times New Roman" w:hAnsi="Times New Roman" w:cs="Times New Roman"/>
          <w:sz w:val="24"/>
          <w:szCs w:val="24"/>
        </w:rPr>
        <w:t xml:space="preserve"> étudié l’impact des réglementations environnementales </w:t>
      </w:r>
      <w:r>
        <w:rPr>
          <w:rFonts w:ascii="Times New Roman" w:hAnsi="Times New Roman" w:cs="Times New Roman"/>
          <w:sz w:val="24"/>
          <w:szCs w:val="24"/>
        </w:rPr>
        <w:t xml:space="preserve">dont l’objectif est la réduction des émissions atmosphériques polluantes </w:t>
      </w:r>
      <w:r w:rsidRPr="00234814">
        <w:rPr>
          <w:rFonts w:ascii="Times New Roman" w:hAnsi="Times New Roman" w:cs="Times New Roman"/>
          <w:sz w:val="24"/>
          <w:szCs w:val="24"/>
        </w:rPr>
        <w:t>sur la productivité de 150 producteurs d’électricité aux Etats</w:t>
      </w:r>
      <w:r>
        <w:rPr>
          <w:rFonts w:ascii="Times New Roman" w:hAnsi="Times New Roman" w:cs="Times New Roman"/>
          <w:sz w:val="24"/>
          <w:szCs w:val="24"/>
        </w:rPr>
        <w:t>-</w:t>
      </w:r>
      <w:r w:rsidRPr="00234814">
        <w:rPr>
          <w:rFonts w:ascii="Times New Roman" w:hAnsi="Times New Roman" w:cs="Times New Roman"/>
          <w:sz w:val="24"/>
          <w:szCs w:val="24"/>
        </w:rPr>
        <w:t xml:space="preserve">Unis en 1990. </w:t>
      </w:r>
      <w:r>
        <w:rPr>
          <w:rFonts w:ascii="Times New Roman" w:hAnsi="Times New Roman" w:cs="Times New Roman"/>
          <w:sz w:val="24"/>
          <w:szCs w:val="24"/>
        </w:rPr>
        <w:t xml:space="preserve">A cette époque, les réglementations environnementales sont segmentées suivant la nature des polluants (eau, air, déchets) et leur </w:t>
      </w:r>
      <w:r w:rsidRPr="00234814">
        <w:rPr>
          <w:rFonts w:ascii="Times New Roman" w:hAnsi="Times New Roman" w:cs="Times New Roman"/>
          <w:sz w:val="24"/>
          <w:szCs w:val="24"/>
        </w:rPr>
        <w:t>impact a été mesur</w:t>
      </w:r>
      <w:r>
        <w:rPr>
          <w:rFonts w:ascii="Times New Roman" w:hAnsi="Times New Roman" w:cs="Times New Roman"/>
          <w:sz w:val="24"/>
          <w:szCs w:val="24"/>
        </w:rPr>
        <w:t>é</w:t>
      </w:r>
      <w:r w:rsidRPr="00234814">
        <w:rPr>
          <w:rFonts w:ascii="Times New Roman" w:hAnsi="Times New Roman" w:cs="Times New Roman"/>
          <w:sz w:val="24"/>
          <w:szCs w:val="24"/>
        </w:rPr>
        <w:t xml:space="preserve"> par les dépenses environnementales </w:t>
      </w:r>
      <w:r>
        <w:rPr>
          <w:rFonts w:ascii="Times New Roman" w:hAnsi="Times New Roman" w:cs="Times New Roman"/>
          <w:sz w:val="24"/>
          <w:szCs w:val="24"/>
        </w:rPr>
        <w:t>de l’entreprise selon la catégorie de polluants ou de nuisances (bruit</w:t>
      </w:r>
      <w:r w:rsidR="00A67D27">
        <w:rPr>
          <w:rFonts w:ascii="Times New Roman" w:hAnsi="Times New Roman" w:cs="Times New Roman"/>
          <w:sz w:val="24"/>
          <w:szCs w:val="24"/>
        </w:rPr>
        <w:t xml:space="preserve">). </w:t>
      </w:r>
      <w:r>
        <w:rPr>
          <w:rFonts w:ascii="Times New Roman" w:hAnsi="Times New Roman" w:cs="Times New Roman"/>
          <w:sz w:val="24"/>
          <w:szCs w:val="24"/>
        </w:rPr>
        <w:t>I</w:t>
      </w:r>
      <w:r w:rsidRPr="00234814">
        <w:rPr>
          <w:rFonts w:ascii="Times New Roman" w:hAnsi="Times New Roman" w:cs="Times New Roman"/>
          <w:sz w:val="24"/>
          <w:szCs w:val="24"/>
        </w:rPr>
        <w:t xml:space="preserve">ls ont ainsi abouti aux résultats suivants, à savoir que les dépenses environnementales </w:t>
      </w:r>
      <w:r>
        <w:rPr>
          <w:rFonts w:ascii="Times New Roman" w:hAnsi="Times New Roman" w:cs="Times New Roman"/>
          <w:sz w:val="24"/>
          <w:szCs w:val="24"/>
        </w:rPr>
        <w:t xml:space="preserve">pour la lutte </w:t>
      </w:r>
      <w:r w:rsidRPr="00234814">
        <w:rPr>
          <w:rFonts w:ascii="Times New Roman" w:hAnsi="Times New Roman" w:cs="Times New Roman"/>
          <w:sz w:val="24"/>
          <w:szCs w:val="24"/>
        </w:rPr>
        <w:t>contre la pollution de l’air et de l’eau affectent négativement la productivité de ces compagnies tandis que celles concernant la gestion des déchets l’influencent positivement</w:t>
      </w:r>
      <w:r>
        <w:rPr>
          <w:rFonts w:ascii="Times New Roman" w:hAnsi="Times New Roman" w:cs="Times New Roman"/>
          <w:sz w:val="24"/>
          <w:szCs w:val="24"/>
        </w:rPr>
        <w:t xml:space="preserve">. Les auteurs justifient ces résultats par des différences dans le type de réglementations environnementales appliquées. Effectivement, la RE sur les rejets dans l’eau et l’atmosphère renvoie à une norme technologique tandis que celle sur les déchets impose des objectifs environnementaux mais accorde plus de libertés aux firmes sur la façon d’y arriver. C’est donc cette dernière catégorie de RE qui est donc à même de générer des innovations. Ces résultats semblent confirmer l’hypothèse de Porter en soutenant l’importance de la prise en compte du type de RE. En effet,  selon Porter, les RE de nature incitative sont plus à même d’avoir un effet positif sur la productivité. Ce type de RE encourage les firmes à innover, à rassembler des informations, à réviser leur processus de production et à distinguer les décisions d’investissements inefficaces et improductives. Ces études empiriques supposent donc une différence entre les « bons » et les « mauvais » types de RE. </w:t>
      </w:r>
    </w:p>
    <w:p w14:paraId="6146A605" w14:textId="56FB5981" w:rsidR="00AF27E8" w:rsidRDefault="00AF27E8" w:rsidP="00AF27E8">
      <w:pPr>
        <w:jc w:val="both"/>
        <w:rPr>
          <w:rFonts w:ascii="Times New Roman" w:hAnsi="Times New Roman" w:cs="Times New Roman"/>
          <w:sz w:val="24"/>
          <w:szCs w:val="24"/>
        </w:rPr>
      </w:pPr>
      <w:r>
        <w:rPr>
          <w:rFonts w:ascii="Times New Roman" w:hAnsi="Times New Roman" w:cs="Times New Roman"/>
          <w:sz w:val="24"/>
          <w:szCs w:val="24"/>
        </w:rPr>
        <w:t xml:space="preserve">Des études plus récentes ont également procédé à </w:t>
      </w:r>
      <w:r w:rsidR="005E2C09">
        <w:rPr>
          <w:rFonts w:ascii="Times New Roman" w:hAnsi="Times New Roman" w:cs="Times New Roman"/>
          <w:sz w:val="24"/>
          <w:szCs w:val="24"/>
        </w:rPr>
        <w:t xml:space="preserve">l’analyse de </w:t>
      </w:r>
      <w:r>
        <w:rPr>
          <w:rFonts w:ascii="Times New Roman" w:hAnsi="Times New Roman" w:cs="Times New Roman"/>
          <w:sz w:val="24"/>
          <w:szCs w:val="24"/>
        </w:rPr>
        <w:t xml:space="preserve">l’impact des réglementations environnementales sur les firmes. En ce sens, </w:t>
      </w:r>
      <w:r w:rsidRPr="00CE6FFC">
        <w:rPr>
          <w:rFonts w:ascii="Times New Roman" w:hAnsi="Times New Roman" w:cs="Times New Roman"/>
          <w:sz w:val="24"/>
          <w:szCs w:val="24"/>
        </w:rPr>
        <w:t>l’Enquête sur les coûts et les dépenses de réduction de la pollution</w:t>
      </w:r>
      <w:r>
        <w:rPr>
          <w:rFonts w:ascii="Times New Roman" w:hAnsi="Times New Roman" w:cs="Times New Roman"/>
          <w:sz w:val="24"/>
          <w:szCs w:val="24"/>
        </w:rPr>
        <w:t xml:space="preserve"> </w:t>
      </w:r>
      <w:r w:rsidRPr="00CE6FFC">
        <w:rPr>
          <w:rFonts w:ascii="Times New Roman" w:hAnsi="Times New Roman" w:cs="Times New Roman"/>
          <w:sz w:val="24"/>
          <w:szCs w:val="24"/>
        </w:rPr>
        <w:t xml:space="preserve">(« Pollution </w:t>
      </w:r>
      <w:proofErr w:type="spellStart"/>
      <w:r w:rsidRPr="00CE6FFC">
        <w:rPr>
          <w:rFonts w:ascii="Times New Roman" w:hAnsi="Times New Roman" w:cs="Times New Roman"/>
          <w:sz w:val="24"/>
          <w:szCs w:val="24"/>
        </w:rPr>
        <w:t>Abatement</w:t>
      </w:r>
      <w:proofErr w:type="spellEnd"/>
      <w:r w:rsidRPr="00CE6FFC">
        <w:rPr>
          <w:rFonts w:ascii="Times New Roman" w:hAnsi="Times New Roman" w:cs="Times New Roman"/>
          <w:sz w:val="24"/>
          <w:szCs w:val="24"/>
        </w:rPr>
        <w:t xml:space="preserve"> </w:t>
      </w:r>
      <w:proofErr w:type="spellStart"/>
      <w:r w:rsidRPr="00CE6FFC">
        <w:rPr>
          <w:rFonts w:ascii="Times New Roman" w:hAnsi="Times New Roman" w:cs="Times New Roman"/>
          <w:sz w:val="24"/>
          <w:szCs w:val="24"/>
        </w:rPr>
        <w:t>Costs</w:t>
      </w:r>
      <w:proofErr w:type="spellEnd"/>
      <w:r w:rsidRPr="00CE6FFC">
        <w:rPr>
          <w:rFonts w:ascii="Times New Roman" w:hAnsi="Times New Roman" w:cs="Times New Roman"/>
          <w:sz w:val="24"/>
          <w:szCs w:val="24"/>
        </w:rPr>
        <w:t xml:space="preserve"> and </w:t>
      </w:r>
      <w:proofErr w:type="spellStart"/>
      <w:r w:rsidRPr="00CE6FFC">
        <w:rPr>
          <w:rFonts w:ascii="Times New Roman" w:hAnsi="Times New Roman" w:cs="Times New Roman"/>
          <w:sz w:val="24"/>
          <w:szCs w:val="24"/>
        </w:rPr>
        <w:t>Expenditures</w:t>
      </w:r>
      <w:proofErr w:type="spellEnd"/>
      <w:r w:rsidRPr="00CE6FFC">
        <w:rPr>
          <w:rFonts w:ascii="Times New Roman" w:hAnsi="Times New Roman" w:cs="Times New Roman"/>
          <w:sz w:val="24"/>
          <w:szCs w:val="24"/>
        </w:rPr>
        <w:t xml:space="preserve"> </w:t>
      </w:r>
      <w:r w:rsidR="00A67D27" w:rsidRPr="00CE6FFC">
        <w:rPr>
          <w:rFonts w:ascii="Times New Roman" w:hAnsi="Times New Roman" w:cs="Times New Roman"/>
          <w:sz w:val="24"/>
          <w:szCs w:val="24"/>
        </w:rPr>
        <w:t>Survey</w:t>
      </w:r>
      <w:r w:rsidR="00A67D27">
        <w:rPr>
          <w:rFonts w:ascii="Times New Roman" w:hAnsi="Times New Roman" w:cs="Times New Roman"/>
          <w:sz w:val="24"/>
          <w:szCs w:val="24"/>
        </w:rPr>
        <w:t>,</w:t>
      </w:r>
      <w:r w:rsidRPr="00CE6FFC">
        <w:rPr>
          <w:rFonts w:ascii="Times New Roman" w:hAnsi="Times New Roman" w:cs="Times New Roman"/>
          <w:sz w:val="24"/>
          <w:szCs w:val="24"/>
        </w:rPr>
        <w:t xml:space="preserve"> PACE)</w:t>
      </w:r>
      <w:r>
        <w:rPr>
          <w:rFonts w:ascii="Times New Roman" w:hAnsi="Times New Roman" w:cs="Times New Roman"/>
          <w:sz w:val="24"/>
          <w:szCs w:val="24"/>
        </w:rPr>
        <w:t xml:space="preserve"> aux Etats-Unis</w:t>
      </w:r>
      <w:r w:rsidRPr="00CE6FFC">
        <w:rPr>
          <w:rFonts w:ascii="Times New Roman" w:hAnsi="Times New Roman" w:cs="Times New Roman"/>
          <w:sz w:val="24"/>
          <w:szCs w:val="24"/>
        </w:rPr>
        <w:t xml:space="preserve"> </w:t>
      </w:r>
      <w:r>
        <w:rPr>
          <w:rFonts w:ascii="Times New Roman" w:hAnsi="Times New Roman" w:cs="Times New Roman"/>
          <w:sz w:val="24"/>
          <w:szCs w:val="24"/>
        </w:rPr>
        <w:t xml:space="preserve">est à l’origine de nombreuses </w:t>
      </w:r>
      <w:r w:rsidRPr="00CE6FFC">
        <w:rPr>
          <w:rFonts w:ascii="Times New Roman" w:hAnsi="Times New Roman" w:cs="Times New Roman"/>
          <w:sz w:val="24"/>
          <w:szCs w:val="24"/>
        </w:rPr>
        <w:t>études empiriques</w:t>
      </w:r>
      <w:r>
        <w:rPr>
          <w:rFonts w:ascii="Times New Roman" w:hAnsi="Times New Roman" w:cs="Times New Roman"/>
          <w:sz w:val="24"/>
          <w:szCs w:val="24"/>
        </w:rPr>
        <w:t>.</w:t>
      </w:r>
      <w:r w:rsidRPr="00CE6FFC">
        <w:rPr>
          <w:rFonts w:ascii="Times New Roman" w:hAnsi="Times New Roman" w:cs="Times New Roman"/>
          <w:sz w:val="24"/>
          <w:szCs w:val="24"/>
        </w:rPr>
        <w:t xml:space="preserve"> </w:t>
      </w:r>
      <w:r>
        <w:rPr>
          <w:rFonts w:ascii="Times New Roman" w:hAnsi="Times New Roman" w:cs="Times New Roman"/>
          <w:sz w:val="24"/>
          <w:szCs w:val="24"/>
        </w:rPr>
        <w:t xml:space="preserve">Dans cette enquête, certaines </w:t>
      </w:r>
      <w:r w:rsidRPr="00CE6FFC">
        <w:rPr>
          <w:rFonts w:ascii="Times New Roman" w:hAnsi="Times New Roman" w:cs="Times New Roman"/>
          <w:sz w:val="24"/>
          <w:szCs w:val="24"/>
        </w:rPr>
        <w:t xml:space="preserve">données traduisent la rigueur de la réglementation environnementale et </w:t>
      </w:r>
      <w:r>
        <w:rPr>
          <w:rFonts w:ascii="Times New Roman" w:hAnsi="Times New Roman" w:cs="Times New Roman"/>
          <w:sz w:val="24"/>
          <w:szCs w:val="24"/>
        </w:rPr>
        <w:t xml:space="preserve">d’autres renvoient au </w:t>
      </w:r>
      <w:r w:rsidRPr="00CE6FFC">
        <w:rPr>
          <w:rFonts w:ascii="Times New Roman" w:hAnsi="Times New Roman" w:cs="Times New Roman"/>
          <w:sz w:val="24"/>
          <w:szCs w:val="24"/>
        </w:rPr>
        <w:t xml:space="preserve">capital investi pour l’acquisition de la technologie de réduction de la pollution. En utilisant les données de cette enquête, </w:t>
      </w:r>
      <w:bookmarkStart w:id="19" w:name="_Hlk70883102"/>
      <w:r w:rsidRPr="00CE6FFC">
        <w:rPr>
          <w:rFonts w:ascii="Times New Roman" w:hAnsi="Times New Roman" w:cs="Times New Roman"/>
          <w:sz w:val="24"/>
          <w:szCs w:val="24"/>
        </w:rPr>
        <w:t xml:space="preserve">Gray et </w:t>
      </w:r>
      <w:proofErr w:type="spellStart"/>
      <w:r w:rsidRPr="00CE6FFC">
        <w:rPr>
          <w:rFonts w:ascii="Times New Roman" w:hAnsi="Times New Roman" w:cs="Times New Roman"/>
          <w:sz w:val="24"/>
          <w:szCs w:val="24"/>
        </w:rPr>
        <w:t>Shadbegian</w:t>
      </w:r>
      <w:proofErr w:type="spellEnd"/>
      <w:r w:rsidRPr="00CE6FFC">
        <w:rPr>
          <w:rFonts w:ascii="Times New Roman" w:hAnsi="Times New Roman" w:cs="Times New Roman"/>
          <w:sz w:val="24"/>
          <w:szCs w:val="24"/>
        </w:rPr>
        <w:t xml:space="preserve"> (2003) </w:t>
      </w:r>
      <w:bookmarkEnd w:id="19"/>
      <w:r w:rsidRPr="00CE6FFC">
        <w:rPr>
          <w:rFonts w:ascii="Times New Roman" w:hAnsi="Times New Roman" w:cs="Times New Roman"/>
          <w:sz w:val="24"/>
          <w:szCs w:val="24"/>
        </w:rPr>
        <w:t xml:space="preserve">ont trouvé que les dépenses de réduction de la pollution ont </w:t>
      </w:r>
      <w:r w:rsidRPr="00CE6FFC">
        <w:rPr>
          <w:rFonts w:ascii="Times New Roman" w:hAnsi="Times New Roman" w:cs="Times New Roman"/>
          <w:sz w:val="24"/>
          <w:szCs w:val="24"/>
        </w:rPr>
        <w:lastRenderedPageBreak/>
        <w:t xml:space="preserve">des effets négatifs sur la productivité des usines des pâtes et papiers, des aciéries et des raffineries de pétrole. </w:t>
      </w:r>
      <w:r>
        <w:rPr>
          <w:rFonts w:ascii="Times New Roman" w:hAnsi="Times New Roman" w:cs="Times New Roman"/>
          <w:sz w:val="24"/>
          <w:szCs w:val="24"/>
        </w:rPr>
        <w:t xml:space="preserve">Une autre étude de </w:t>
      </w:r>
      <w:bookmarkStart w:id="20" w:name="_Hlk70883118"/>
      <w:proofErr w:type="spellStart"/>
      <w:r>
        <w:rPr>
          <w:rFonts w:ascii="Times New Roman" w:hAnsi="Times New Roman" w:cs="Times New Roman"/>
          <w:sz w:val="24"/>
          <w:szCs w:val="24"/>
        </w:rPr>
        <w:t>Shadbegian</w:t>
      </w:r>
      <w:proofErr w:type="spellEnd"/>
      <w:r>
        <w:rPr>
          <w:rFonts w:ascii="Times New Roman" w:hAnsi="Times New Roman" w:cs="Times New Roman"/>
          <w:sz w:val="24"/>
          <w:szCs w:val="24"/>
        </w:rPr>
        <w:t xml:space="preserve"> et Gray (2005), </w:t>
      </w:r>
      <w:bookmarkEnd w:id="20"/>
      <w:r>
        <w:rPr>
          <w:rFonts w:ascii="Times New Roman" w:hAnsi="Times New Roman" w:cs="Times New Roman"/>
          <w:sz w:val="24"/>
          <w:szCs w:val="24"/>
        </w:rPr>
        <w:t xml:space="preserve">avec les mêmes données que celles de la précédente, démontre des impacts négatifs de ce que les auteurs identifient comme étant un stock de capital pour la réduction de la pollution sur la productivité totale des usines des secteurs du pétrole et de l’acier. Néanmoins, pour les usines de papier, ce stock de capital est associé à des impacts positifs sur la productivité </w:t>
      </w:r>
      <w:r w:rsidR="00A67D27">
        <w:rPr>
          <w:rFonts w:ascii="Times New Roman" w:hAnsi="Times New Roman" w:cs="Times New Roman"/>
          <w:sz w:val="24"/>
          <w:szCs w:val="24"/>
        </w:rPr>
        <w:t>totale</w:t>
      </w:r>
      <w:r>
        <w:rPr>
          <w:rFonts w:ascii="Times New Roman" w:hAnsi="Times New Roman" w:cs="Times New Roman"/>
          <w:sz w:val="24"/>
          <w:szCs w:val="24"/>
        </w:rPr>
        <w:t xml:space="preserve">. </w:t>
      </w:r>
    </w:p>
    <w:p w14:paraId="6E5C046D" w14:textId="77777777" w:rsidR="00AF27E8" w:rsidRDefault="00AF27E8" w:rsidP="00AF27E8">
      <w:pPr>
        <w:pStyle w:val="texte"/>
        <w:shd w:val="clear" w:color="auto" w:fill="FFFFFF"/>
        <w:spacing w:before="240" w:beforeAutospacing="0" w:after="240" w:afterAutospacing="0"/>
        <w:jc w:val="both"/>
      </w:pPr>
      <w:bookmarkStart w:id="21" w:name="_Hlk70883133"/>
      <w:r>
        <w:t>E</w:t>
      </w:r>
      <w:r w:rsidRPr="00DA00C1">
        <w:t xml:space="preserve">n 2013, </w:t>
      </w:r>
      <w:proofErr w:type="spellStart"/>
      <w:r w:rsidRPr="00DA00C1">
        <w:t>Rexhäuser</w:t>
      </w:r>
      <w:proofErr w:type="spellEnd"/>
      <w:r w:rsidRPr="00DA00C1">
        <w:t xml:space="preserve"> et </w:t>
      </w:r>
      <w:proofErr w:type="spellStart"/>
      <w:r w:rsidRPr="00DA00C1">
        <w:t>Rammer</w:t>
      </w:r>
      <w:proofErr w:type="spellEnd"/>
      <w:r w:rsidRPr="00DA00C1">
        <w:t xml:space="preserve"> </w:t>
      </w:r>
      <w:bookmarkEnd w:id="21"/>
      <w:r w:rsidRPr="00DA00C1">
        <w:t>étudient les impacts des différents types d’innovations environnemental</w:t>
      </w:r>
      <w:r>
        <w:t>es</w:t>
      </w:r>
      <w:r w:rsidRPr="00DA00C1">
        <w:t xml:space="preserve"> sur le profit des firmes</w:t>
      </w:r>
      <w:r>
        <w:t xml:space="preserve"> en utilisant les données de ces dernières issues de la partie allemande de l’Enquête sur l’innovation communautaire (CIS 2008)</w:t>
      </w:r>
      <w:r w:rsidRPr="00DA00C1">
        <w:t xml:space="preserve">.  En distinguant les innovations </w:t>
      </w:r>
      <w:r>
        <w:t xml:space="preserve">environnementales </w:t>
      </w:r>
      <w:r w:rsidRPr="00DA00C1">
        <w:t xml:space="preserve">causées par la réglementation de celles qui sont volontaires,  </w:t>
      </w:r>
      <w:r>
        <w:t xml:space="preserve">ils sont parvenus à identifier les innovations qui n’engendrent pas de rendements positifs pour la rentabilité. Les innovations qui sont à même de contribuer à l’augmentation de l’efficacité des ressources d’une firme en termes de consommation de matériaux ou d’énergie, impactent positivement la rentabilité des firmes. C’est le cas des innovations causées par la réglementation et des innovations volontaires même si cet impact positif est plus soutenu pour les innovations induites par la réglementation. Les auteurs démontrent ainsi que l’hypothèse de Porter n’est pas globalement vérifiée et sa validation ne tient que pour certaines catégories d’innovations. </w:t>
      </w:r>
    </w:p>
    <w:p w14:paraId="5B22B80A" w14:textId="77777777" w:rsidR="00AF27E8" w:rsidRDefault="00AF27E8" w:rsidP="00AF27E8">
      <w:pPr>
        <w:jc w:val="both"/>
        <w:rPr>
          <w:rFonts w:ascii="Times New Roman" w:hAnsi="Times New Roman" w:cs="Times New Roman"/>
          <w:sz w:val="24"/>
          <w:szCs w:val="24"/>
        </w:rPr>
      </w:pPr>
      <w:r w:rsidRPr="005630EE">
        <w:rPr>
          <w:rFonts w:ascii="Times New Roman" w:hAnsi="Times New Roman" w:cs="Times New Roman"/>
          <w:sz w:val="24"/>
          <w:szCs w:val="24"/>
        </w:rPr>
        <w:t xml:space="preserve">D’autres auteurs ont entrepris de tester empiriquement l’hypothèse de Porter. </w:t>
      </w:r>
      <w:bookmarkStart w:id="22" w:name="_Hlk70883155"/>
      <w:proofErr w:type="spellStart"/>
      <w:r w:rsidRPr="005630EE">
        <w:rPr>
          <w:rFonts w:ascii="Times New Roman" w:hAnsi="Times New Roman" w:cs="Times New Roman"/>
          <w:sz w:val="24"/>
          <w:szCs w:val="24"/>
        </w:rPr>
        <w:t>Broberg</w:t>
      </w:r>
      <w:proofErr w:type="spellEnd"/>
      <w:r w:rsidRPr="005630EE">
        <w:rPr>
          <w:rFonts w:ascii="Times New Roman" w:hAnsi="Times New Roman" w:cs="Times New Roman"/>
          <w:sz w:val="24"/>
          <w:szCs w:val="24"/>
        </w:rPr>
        <w:t xml:space="preserve"> et al (2013) </w:t>
      </w:r>
      <w:bookmarkEnd w:id="22"/>
      <w:r w:rsidRPr="005630EE">
        <w:rPr>
          <w:rFonts w:ascii="Times New Roman" w:hAnsi="Times New Roman" w:cs="Times New Roman"/>
          <w:sz w:val="24"/>
          <w:szCs w:val="24"/>
        </w:rPr>
        <w:t xml:space="preserve">ont questionné cette hypothèse en ayant recours aux données sur les investissements destinés à la protection de l’environnement des industries manufacturières suédoises comme variable proxy </w:t>
      </w:r>
      <w:r>
        <w:rPr>
          <w:rFonts w:ascii="Times New Roman" w:hAnsi="Times New Roman" w:cs="Times New Roman"/>
          <w:sz w:val="24"/>
          <w:szCs w:val="24"/>
        </w:rPr>
        <w:t xml:space="preserve">pour capter la rigueur de la réglementation environnementale. Ces données leur ont permis de distinguer dans les investissements pour la protection de l’environnement, ceux dont l’objectif est la prévention de la pollution de ceux qui visent à la contrôler. Les auteurs soulignent l’importance de cette distinction en rappelant un point essentiel de l’analyse de Porter, à savoir que ce sont les investissements pour la prévention de la pollution qui ont des effets dynamiques positifs sur la performance des firmes. En cherchant à évaluer les effets des politiques environnementales sur la productivité des firmes, les auteurs ont construit un modèle de frontière de production stochastique où l’inefficacité de l’entreprise désigne une fonction des investissements dans la protection de l’environnement. Ils sont arrivés à la conclusion à partir des résultats obtenus que les réglementations environnementales ne conduisent pas à une perte d’efficacité pour les firmes et ceci même pour les secteurs très sévèrement réglementés comme l’industrie du papier. </w:t>
      </w:r>
    </w:p>
    <w:p w14:paraId="5DFB4DF1" w14:textId="77777777" w:rsidR="00AF27E8" w:rsidRDefault="00AF27E8" w:rsidP="00AF27E8">
      <w:pPr>
        <w:jc w:val="both"/>
        <w:rPr>
          <w:rFonts w:ascii="Times New Roman" w:hAnsi="Times New Roman" w:cs="Times New Roman"/>
          <w:sz w:val="24"/>
          <w:szCs w:val="24"/>
        </w:rPr>
      </w:pPr>
      <w:r>
        <w:rPr>
          <w:rFonts w:ascii="Times New Roman" w:hAnsi="Times New Roman" w:cs="Times New Roman"/>
          <w:sz w:val="24"/>
          <w:szCs w:val="24"/>
        </w:rPr>
        <w:t xml:space="preserve">Toutes ces études empiriques comprennent cependant une limite importante qui renvoie à la difficulté de déterminer l’amplitude de la RE. Cette dernière est souvent évaluée de manière indirecte à partir des dépenses d’investissements en dépollution. Pourtant, à ce sujet, Porter insistait déjà en 1991 sur le fait que même si les firmes sont amenées à effectuer des investissements suite à la RE, ces derniers ne sont pas forcément considérés comme des dépenses de dépollution. Et ce sont ces dépenses qui contribueraient, selon lui, à une amélioration de la productivité de ces firmes. Se contenter de scruter le lien entre capital de dépollution et productivité ne suffit pas pour valider l’hypothèse de Porter. D’autres limites toutes aussi importantes peuvent être identifiées telles que la non prise en compte des améliorations de la qualité de la production par les mesures de productivité ; le caractère dynamique de l’impact de la RE, cette dernière </w:t>
      </w:r>
      <w:r>
        <w:rPr>
          <w:rFonts w:ascii="Times New Roman" w:hAnsi="Times New Roman" w:cs="Times New Roman"/>
          <w:sz w:val="24"/>
          <w:szCs w:val="24"/>
        </w:rPr>
        <w:lastRenderedPageBreak/>
        <w:t xml:space="preserve">entraine des coûts qui ne seraient éponger par les profits bien plus tard ; et les indices de productivité employés n’intègrent pas cet aspect « qualitatif » de diminution de la pollution, alors que cette dernière devrait être considéré (et déterminée) comme une amélioration de l’efficacité du processus de production. Ces mesures de la productivité conduisent donc très souvent à sous-estimer la productivité des firmes  qui ont enclenché la dépollution. </w:t>
      </w:r>
    </w:p>
    <w:p w14:paraId="0A60E855" w14:textId="76BDB0EF" w:rsidR="00AF27E8" w:rsidRDefault="00AF27E8" w:rsidP="00AF27E8">
      <w:pPr>
        <w:jc w:val="both"/>
        <w:rPr>
          <w:rFonts w:ascii="Times New Roman" w:hAnsi="Times New Roman" w:cs="Times New Roman"/>
          <w:sz w:val="24"/>
          <w:szCs w:val="24"/>
        </w:rPr>
      </w:pPr>
      <w:r>
        <w:rPr>
          <w:rFonts w:ascii="Times New Roman" w:hAnsi="Times New Roman" w:cs="Times New Roman"/>
          <w:sz w:val="24"/>
          <w:szCs w:val="24"/>
        </w:rPr>
        <w:t xml:space="preserve">Au travers de ces études empiriques, nous avons compris la nécessité de bien cerner les réglementations environnementales en vigueur dans le secteur considéré pour parvenir à déterminer la variable que nous emploierons comme l’amplitude de la RE. Dans la section suivante, nous présenterons le cadre des réglementations françaises de lutte contre la pollution atmosphérique. </w:t>
      </w:r>
    </w:p>
    <w:p w14:paraId="6639CA17" w14:textId="77777777" w:rsidR="001E3708" w:rsidRDefault="001E3708" w:rsidP="00AF27E8">
      <w:pPr>
        <w:jc w:val="both"/>
        <w:rPr>
          <w:rFonts w:ascii="Times New Roman" w:hAnsi="Times New Roman" w:cs="Times New Roman"/>
          <w:sz w:val="24"/>
          <w:szCs w:val="24"/>
        </w:rPr>
      </w:pPr>
    </w:p>
    <w:p w14:paraId="42BDC804" w14:textId="60137773" w:rsidR="00AF27E8" w:rsidRPr="00EB3FDE" w:rsidRDefault="00AF27E8" w:rsidP="00E55A18">
      <w:pPr>
        <w:pStyle w:val="Titre1"/>
        <w:numPr>
          <w:ilvl w:val="0"/>
          <w:numId w:val="12"/>
        </w:numPr>
        <w:rPr>
          <w:rFonts w:ascii="Times New Roman" w:hAnsi="Times New Roman" w:cs="Times New Roman"/>
          <w:b/>
          <w:bCs/>
        </w:rPr>
      </w:pPr>
      <w:bookmarkStart w:id="23" w:name="_Toc70937402"/>
      <w:r w:rsidRPr="00EB3FDE">
        <w:rPr>
          <w:rFonts w:ascii="Times New Roman" w:hAnsi="Times New Roman" w:cs="Times New Roman"/>
          <w:b/>
          <w:bCs/>
        </w:rPr>
        <w:t>Cadre des réglementations environnementales françaises</w:t>
      </w:r>
      <w:bookmarkEnd w:id="23"/>
    </w:p>
    <w:p w14:paraId="05AF11B5" w14:textId="77777777" w:rsidR="00AF27E8" w:rsidRPr="005D356F" w:rsidRDefault="00AF27E8" w:rsidP="00AF27E8">
      <w:pPr>
        <w:jc w:val="both"/>
        <w:rPr>
          <w:rFonts w:ascii="Times New Roman" w:hAnsi="Times New Roman" w:cs="Times New Roman"/>
          <w:sz w:val="28"/>
          <w:szCs w:val="28"/>
        </w:rPr>
      </w:pPr>
      <w:r w:rsidRPr="003B7914">
        <w:rPr>
          <w:rFonts w:ascii="Times New Roman" w:hAnsi="Times New Roman" w:cs="Times New Roman"/>
          <w:sz w:val="24"/>
          <w:szCs w:val="24"/>
        </w:rPr>
        <w:t>Au niveau européen, la gestion de la qualité de l’air est définie au travers des politiques environnementales et sanitaires de l’Union Européenne en rapport direct avec l’Organisation Mondiale de la santé (OMS).</w:t>
      </w:r>
      <w:r>
        <w:rPr>
          <w:rFonts w:ascii="Times New Roman" w:hAnsi="Times New Roman" w:cs="Times New Roman"/>
          <w:sz w:val="24"/>
          <w:szCs w:val="24"/>
        </w:rPr>
        <w:t xml:space="preserve"> Le droit européen établit les plafonds nationaux et les valeurs limites à ne pas dépasser mais aussi les réglementations sectorielles concernant les émissions industrielles, la qualité des carburants et les émissions des véhicules). Ces derniers s’inscrivent donc dans une dynamique de réduction de la pollution de l’air en ciblant la diminution de la concentration de certains polluants. Ainsi, les directives (2004/107 et 2008/50/CE) définissent les normes sanitaires à adopter par les pays membres de l’UE telles que la surveillance de la qualité de l’air, le respect des normes sanitaires établies, la mise en œuvre de plans d’action dans les zones où les dépassements des normes sanitaires ont été enregistrés et la sensibilisation des populations sur la qualité de l’air.</w:t>
      </w:r>
    </w:p>
    <w:p w14:paraId="2846EE79" w14:textId="39B1F0DF" w:rsidR="00AF27E8" w:rsidRDefault="00AF27E8" w:rsidP="00AF27E8">
      <w:pPr>
        <w:jc w:val="both"/>
        <w:rPr>
          <w:rFonts w:ascii="Times New Roman" w:hAnsi="Times New Roman" w:cs="Times New Roman"/>
          <w:sz w:val="24"/>
          <w:szCs w:val="24"/>
        </w:rPr>
      </w:pPr>
      <w:r w:rsidRPr="00A61B1A">
        <w:rPr>
          <w:rFonts w:ascii="Times New Roman" w:hAnsi="Times New Roman" w:cs="Times New Roman"/>
          <w:sz w:val="24"/>
          <w:szCs w:val="24"/>
        </w:rPr>
        <w:t xml:space="preserve">Les Etats européens </w:t>
      </w:r>
      <w:r>
        <w:rPr>
          <w:rFonts w:ascii="Times New Roman" w:hAnsi="Times New Roman" w:cs="Times New Roman"/>
          <w:sz w:val="24"/>
          <w:szCs w:val="24"/>
        </w:rPr>
        <w:t xml:space="preserve">se </w:t>
      </w:r>
      <w:r w:rsidRPr="00A61B1A">
        <w:rPr>
          <w:rFonts w:ascii="Times New Roman" w:hAnsi="Times New Roman" w:cs="Times New Roman"/>
          <w:sz w:val="24"/>
          <w:szCs w:val="24"/>
        </w:rPr>
        <w:t xml:space="preserve">sont également </w:t>
      </w:r>
      <w:r>
        <w:rPr>
          <w:rFonts w:ascii="Times New Roman" w:hAnsi="Times New Roman" w:cs="Times New Roman"/>
          <w:sz w:val="24"/>
          <w:szCs w:val="24"/>
        </w:rPr>
        <w:t xml:space="preserve">engagés à </w:t>
      </w:r>
      <w:r w:rsidRPr="00A61B1A">
        <w:rPr>
          <w:rFonts w:ascii="Times New Roman" w:hAnsi="Times New Roman" w:cs="Times New Roman"/>
          <w:sz w:val="24"/>
          <w:szCs w:val="24"/>
        </w:rPr>
        <w:t xml:space="preserve">respecter </w:t>
      </w:r>
      <w:r>
        <w:rPr>
          <w:rFonts w:ascii="Times New Roman" w:hAnsi="Times New Roman" w:cs="Times New Roman"/>
          <w:sz w:val="24"/>
          <w:szCs w:val="24"/>
        </w:rPr>
        <w:t>l</w:t>
      </w:r>
      <w:r w:rsidRPr="00A61B1A">
        <w:rPr>
          <w:rFonts w:ascii="Times New Roman" w:hAnsi="Times New Roman" w:cs="Times New Roman"/>
          <w:sz w:val="24"/>
          <w:szCs w:val="24"/>
        </w:rPr>
        <w:t>es accords internationaux de lutte contre la pollution de l’air. C’est le cas</w:t>
      </w:r>
      <w:r>
        <w:rPr>
          <w:rFonts w:ascii="Times New Roman" w:hAnsi="Times New Roman" w:cs="Times New Roman"/>
          <w:sz w:val="24"/>
          <w:szCs w:val="24"/>
        </w:rPr>
        <w:t xml:space="preserve"> par exemple</w:t>
      </w:r>
      <w:r w:rsidRPr="00A61B1A">
        <w:rPr>
          <w:rFonts w:ascii="Times New Roman" w:hAnsi="Times New Roman" w:cs="Times New Roman"/>
          <w:sz w:val="24"/>
          <w:szCs w:val="24"/>
        </w:rPr>
        <w:t xml:space="preserve"> du protocole de Göteborg</w:t>
      </w:r>
      <w:r>
        <w:rPr>
          <w:rFonts w:ascii="Times New Roman" w:hAnsi="Times New Roman" w:cs="Times New Roman"/>
          <w:sz w:val="24"/>
          <w:szCs w:val="24"/>
        </w:rPr>
        <w:t xml:space="preserve"> (adopté le 1</w:t>
      </w:r>
      <w:r w:rsidRPr="00A93CC8">
        <w:rPr>
          <w:rFonts w:ascii="Times New Roman" w:hAnsi="Times New Roman" w:cs="Times New Roman"/>
          <w:sz w:val="24"/>
          <w:szCs w:val="24"/>
          <w:vertAlign w:val="superscript"/>
        </w:rPr>
        <w:t>er</w:t>
      </w:r>
      <w:r>
        <w:rPr>
          <w:rFonts w:ascii="Times New Roman" w:hAnsi="Times New Roman" w:cs="Times New Roman"/>
          <w:sz w:val="24"/>
          <w:szCs w:val="24"/>
        </w:rPr>
        <w:t xml:space="preserve"> décembre 1999)</w:t>
      </w:r>
      <w:r w:rsidRPr="00A61B1A">
        <w:rPr>
          <w:rFonts w:ascii="Times New Roman" w:hAnsi="Times New Roman" w:cs="Times New Roman"/>
          <w:sz w:val="24"/>
          <w:szCs w:val="24"/>
        </w:rPr>
        <w:t xml:space="preserve"> créé par la Commission Economique pour l’Europe et les Nations Unies (CEE-NU) qui </w:t>
      </w:r>
      <w:r>
        <w:rPr>
          <w:rFonts w:ascii="Times New Roman" w:hAnsi="Times New Roman" w:cs="Times New Roman"/>
          <w:sz w:val="24"/>
          <w:szCs w:val="24"/>
        </w:rPr>
        <w:t xml:space="preserve">invite ses signataires (26 pays membres de l’UE dont la France) à respecter les plafonds d’émissions afin de minimiser les effets de la pollution atmosphérique sur l’environnement et la santé. Ce protocole </w:t>
      </w:r>
      <w:r w:rsidR="00A67D27">
        <w:rPr>
          <w:rFonts w:ascii="Times New Roman" w:hAnsi="Times New Roman" w:cs="Times New Roman"/>
          <w:sz w:val="24"/>
          <w:szCs w:val="24"/>
        </w:rPr>
        <w:t>complète</w:t>
      </w:r>
      <w:r>
        <w:rPr>
          <w:rFonts w:ascii="Times New Roman" w:hAnsi="Times New Roman" w:cs="Times New Roman"/>
          <w:sz w:val="24"/>
          <w:szCs w:val="24"/>
        </w:rPr>
        <w:t xml:space="preserve"> deux précédents protocoles qui avaient été adoptés toujours dans ce même cadre-là. Il s’agit du protocole de Sofia (31 octobre 1988) qui visent à lutter contre les émissions d’oxyde d’azote et leurs transfrontaliers et le protocole de Genève (18 novembre 1991) dont l’objectif est la lutte contre les composés organiques volatils (COV) et leurs flux transfrontaliers. Le protocole de </w:t>
      </w:r>
      <w:r w:rsidRPr="00A61B1A">
        <w:rPr>
          <w:rFonts w:ascii="Times New Roman" w:hAnsi="Times New Roman" w:cs="Times New Roman"/>
          <w:sz w:val="24"/>
          <w:szCs w:val="24"/>
        </w:rPr>
        <w:t>Göteborg</w:t>
      </w:r>
      <w:r>
        <w:rPr>
          <w:rFonts w:ascii="Times New Roman" w:hAnsi="Times New Roman" w:cs="Times New Roman"/>
          <w:sz w:val="24"/>
          <w:szCs w:val="24"/>
        </w:rPr>
        <w:t xml:space="preserve"> engageait ses signataires à réduire de 40% les émissions de quatre polluants (dioxyde de </w:t>
      </w:r>
      <w:r w:rsidR="00A67D27">
        <w:rPr>
          <w:rFonts w:ascii="Times New Roman" w:hAnsi="Times New Roman" w:cs="Times New Roman"/>
          <w:sz w:val="24"/>
          <w:szCs w:val="24"/>
        </w:rPr>
        <w:t>soufre,</w:t>
      </w:r>
      <w:r>
        <w:rPr>
          <w:rFonts w:ascii="Times New Roman" w:hAnsi="Times New Roman" w:cs="Times New Roman"/>
          <w:sz w:val="24"/>
          <w:szCs w:val="24"/>
        </w:rPr>
        <w:t xml:space="preserve"> oxyde d’azote, COV et ammoniac) avant 2010. Ce protocole a été ensuite révisé en 2012 pour à nouveau fixer la réduction de certains polluants mais cette fois ci à l’horizon 2020 par rapport aux émissions de 2005. </w:t>
      </w:r>
    </w:p>
    <w:p w14:paraId="443767C1" w14:textId="77777777" w:rsidR="00AF27E8" w:rsidRDefault="00AF27E8" w:rsidP="00AF27E8">
      <w:pPr>
        <w:jc w:val="both"/>
        <w:rPr>
          <w:rFonts w:ascii="Times New Roman" w:hAnsi="Times New Roman" w:cs="Times New Roman"/>
          <w:sz w:val="24"/>
          <w:szCs w:val="24"/>
        </w:rPr>
      </w:pPr>
      <w:r>
        <w:rPr>
          <w:rFonts w:ascii="Times New Roman" w:hAnsi="Times New Roman" w:cs="Times New Roman"/>
          <w:sz w:val="24"/>
          <w:szCs w:val="24"/>
        </w:rPr>
        <w:t xml:space="preserve">Ce protocole de </w:t>
      </w:r>
      <w:r w:rsidRPr="00A61B1A">
        <w:rPr>
          <w:rFonts w:ascii="Times New Roman" w:hAnsi="Times New Roman" w:cs="Times New Roman"/>
          <w:sz w:val="24"/>
          <w:szCs w:val="24"/>
        </w:rPr>
        <w:t>Göteborg</w:t>
      </w:r>
      <w:r>
        <w:rPr>
          <w:rFonts w:ascii="Times New Roman" w:hAnsi="Times New Roman" w:cs="Times New Roman"/>
          <w:sz w:val="24"/>
          <w:szCs w:val="24"/>
        </w:rPr>
        <w:t xml:space="preserve"> est par ailleurs intégré dans la directive (EU) 2016/2284 du 16 décembre 2016 qui définit des objectifs de réduction des polluants par rapport aux émissions de 2005 d’ici 2020 et 2030. Ils se concrétisent par « l’obligation d’adopter un système d’inventaires nationaux </w:t>
      </w:r>
      <w:r>
        <w:rPr>
          <w:rFonts w:ascii="Times New Roman" w:hAnsi="Times New Roman" w:cs="Times New Roman"/>
          <w:sz w:val="24"/>
          <w:szCs w:val="24"/>
        </w:rPr>
        <w:lastRenderedPageBreak/>
        <w:t>d’émissions de polluants atmosphériques et un plan d’action national de réduction de ces émissions ». D’un autre côté, ces directives viennent renforcer l’adoption d’autres décisions de l’UE inscrites dans la lutte contre la pollution atmosphérique. C’est le cas notamment des décisions 1386/2013 concernant le programme d’action général de l’Union européenne pour l’environnement fixant les objectifs environnementaux à atteindre jusqu’en 2020. Ces derniers renvoient à la réduction des émissions des gaz à effet de serre de 20% (par rapport au niveau de 1990), à l’augmentation du pourcentage des énergies renouvelables dans la consommation d’énergie de l’UE à 20% et à l’amélioration de l’efficacité énergétique de 20%. Il est tout aussi important de souligner que les règlements de réduction de polluants concernent ceux issus des transports en légiférant sur la qualité des carburants et combustibles ou les émanations provenant des moteurs ; des activités industrielles, de certains appareils domestiques (chauffage par exemple) et de l’utilisation de certains produits, les solvants notamment.</w:t>
      </w:r>
    </w:p>
    <w:p w14:paraId="1C94421D" w14:textId="77777777" w:rsidR="00AF27E8" w:rsidRDefault="00AF27E8" w:rsidP="00AF27E8">
      <w:pPr>
        <w:jc w:val="both"/>
        <w:rPr>
          <w:rFonts w:ascii="Times New Roman" w:hAnsi="Times New Roman" w:cs="Times New Roman"/>
          <w:sz w:val="24"/>
          <w:szCs w:val="24"/>
        </w:rPr>
      </w:pPr>
      <w:r>
        <w:rPr>
          <w:rFonts w:ascii="Times New Roman" w:hAnsi="Times New Roman" w:cs="Times New Roman"/>
          <w:sz w:val="24"/>
          <w:szCs w:val="24"/>
        </w:rPr>
        <w:t xml:space="preserve">Au niveau national, l’Etat français élabore et applique les politiques nationales de surveillance de qualité de l’air et de réduction des émanations polluantes en accord avec les directives européennes et les protocoles internationaux signés. Il promulgue également les lois qui doivent être respectés par les citoyens et celles qui serviront de boussole aux administrations publiques eu égard à leur principe de fonctionnement et à l’offre de services publics. C’est ainsi que dès le début des années 2000, des lois sont votées en faveur de la lutte contre la pollution atmosphérique et le réchauffement climatique qu’il engendre. Il s’agit entre autres de la Loi 2001-153 « tendant à conférer à la lutte contre l’effet de serre et à la prévention des risques liés au réchauffement climatique la qualité de priorité nationale ». </w:t>
      </w:r>
    </w:p>
    <w:p w14:paraId="7EB914B1" w14:textId="77777777" w:rsidR="00AF27E8" w:rsidRDefault="00AF27E8" w:rsidP="00AF27E8">
      <w:pPr>
        <w:jc w:val="both"/>
        <w:rPr>
          <w:rFonts w:ascii="Times New Roman" w:hAnsi="Times New Roman" w:cs="Times New Roman"/>
          <w:sz w:val="24"/>
          <w:szCs w:val="24"/>
        </w:rPr>
      </w:pPr>
      <w:r>
        <w:rPr>
          <w:rFonts w:ascii="Times New Roman" w:hAnsi="Times New Roman" w:cs="Times New Roman"/>
          <w:sz w:val="24"/>
          <w:szCs w:val="24"/>
        </w:rPr>
        <w:t>Au niveau local</w:t>
      </w:r>
      <w:r w:rsidRPr="0027104F">
        <w:rPr>
          <w:rFonts w:ascii="Times New Roman" w:hAnsi="Times New Roman" w:cs="Times New Roman"/>
          <w:sz w:val="24"/>
          <w:szCs w:val="24"/>
        </w:rPr>
        <w:t xml:space="preserve">, les collectivités territoriales (Régions, départements, groupements intercommunaux, communes) doivent intégrer </w:t>
      </w:r>
      <w:r>
        <w:rPr>
          <w:rFonts w:ascii="Times New Roman" w:hAnsi="Times New Roman" w:cs="Times New Roman"/>
          <w:sz w:val="24"/>
          <w:szCs w:val="24"/>
        </w:rPr>
        <w:t>c</w:t>
      </w:r>
      <w:r w:rsidRPr="0027104F">
        <w:rPr>
          <w:rFonts w:ascii="Times New Roman" w:hAnsi="Times New Roman" w:cs="Times New Roman"/>
          <w:sz w:val="24"/>
          <w:szCs w:val="24"/>
        </w:rPr>
        <w:t>es objectifs de qualité de l’ai</w:t>
      </w:r>
      <w:r>
        <w:rPr>
          <w:rFonts w:ascii="Times New Roman" w:hAnsi="Times New Roman" w:cs="Times New Roman"/>
          <w:sz w:val="24"/>
          <w:szCs w:val="24"/>
        </w:rPr>
        <w:t>r</w:t>
      </w:r>
      <w:r w:rsidRPr="0027104F">
        <w:rPr>
          <w:rFonts w:ascii="Times New Roman" w:hAnsi="Times New Roman" w:cs="Times New Roman"/>
          <w:sz w:val="24"/>
          <w:szCs w:val="24"/>
        </w:rPr>
        <w:t xml:space="preserve"> dans leurs documents de planification (Plans locaux d’urbanisme, PLU) et dans le</w:t>
      </w:r>
      <w:r>
        <w:rPr>
          <w:rFonts w:ascii="Times New Roman" w:hAnsi="Times New Roman" w:cs="Times New Roman"/>
          <w:sz w:val="24"/>
          <w:szCs w:val="24"/>
        </w:rPr>
        <w:t>ur</w:t>
      </w:r>
      <w:r w:rsidRPr="0027104F">
        <w:rPr>
          <w:rFonts w:ascii="Times New Roman" w:hAnsi="Times New Roman" w:cs="Times New Roman"/>
          <w:sz w:val="24"/>
          <w:szCs w:val="24"/>
        </w:rPr>
        <w:t>s plans de déplacements urbains (PDU) pour les agglomérations de plus de 100 000 habitants. De plus, ces documents, PDU et PLU doivent être compatibles</w:t>
      </w:r>
      <w:r>
        <w:rPr>
          <w:rFonts w:ascii="Times New Roman" w:hAnsi="Times New Roman" w:cs="Times New Roman"/>
          <w:sz w:val="24"/>
          <w:szCs w:val="24"/>
        </w:rPr>
        <w:t xml:space="preserve"> et</w:t>
      </w:r>
      <w:r w:rsidRPr="0027104F">
        <w:rPr>
          <w:rFonts w:ascii="Times New Roman" w:hAnsi="Times New Roman" w:cs="Times New Roman"/>
          <w:sz w:val="24"/>
          <w:szCs w:val="24"/>
        </w:rPr>
        <w:t xml:space="preserve"> </w:t>
      </w:r>
      <w:r>
        <w:rPr>
          <w:rFonts w:ascii="Times New Roman" w:hAnsi="Times New Roman" w:cs="Times New Roman"/>
          <w:sz w:val="24"/>
          <w:szCs w:val="24"/>
        </w:rPr>
        <w:t xml:space="preserve">prendre </w:t>
      </w:r>
      <w:r w:rsidRPr="0027104F">
        <w:rPr>
          <w:rFonts w:ascii="Times New Roman" w:hAnsi="Times New Roman" w:cs="Times New Roman"/>
          <w:sz w:val="24"/>
          <w:szCs w:val="24"/>
        </w:rPr>
        <w:t>en compte les objectifs du Plan de protection de l’atmosphère (PPA). Ces collectivités sont alors tenues d’évaluer les émissions des polluants lors de l’élaboration ou de la révision du PPA (article 66 de la Loi relative à la transition énergétique pour la croissance verte</w:t>
      </w:r>
      <w:r>
        <w:rPr>
          <w:rFonts w:ascii="Times New Roman" w:hAnsi="Times New Roman" w:cs="Times New Roman"/>
          <w:sz w:val="24"/>
          <w:szCs w:val="24"/>
        </w:rPr>
        <w:t>, LTECV</w:t>
      </w:r>
      <w:r w:rsidRPr="0027104F">
        <w:rPr>
          <w:rFonts w:ascii="Times New Roman" w:hAnsi="Times New Roman" w:cs="Times New Roman"/>
          <w:sz w:val="24"/>
          <w:szCs w:val="24"/>
        </w:rPr>
        <w:t xml:space="preserve">). Et en collaboration avec les établissements publics, elles ont pour obligation de procéder à l’évaluation et à l’amélioration de la qualité de l’air (organisation des transports, schéma régional climat air énergie, plan climat air énergie territorial …). </w:t>
      </w:r>
      <w:r>
        <w:rPr>
          <w:rFonts w:ascii="Times New Roman" w:hAnsi="Times New Roman" w:cs="Times New Roman"/>
          <w:sz w:val="24"/>
          <w:szCs w:val="24"/>
        </w:rPr>
        <w:t xml:space="preserve"> Ces obligations se retrouvent dans les schémas régionaux de cohérence écologique mis en œuvre dans le cadre du Grenelle de l’environnement ayant pour missions la réduction des émissions de gaz à effet de serre et l’amélioration de l’efficience énergétique (Loi no 2009-967 relative à la mise en place du Grenelle de l’environnement). </w:t>
      </w:r>
    </w:p>
    <w:p w14:paraId="1D5BD96B" w14:textId="536D3606" w:rsidR="00AF27E8" w:rsidRPr="00535270" w:rsidRDefault="00AF27E8" w:rsidP="00AF27E8">
      <w:pPr>
        <w:jc w:val="both"/>
        <w:rPr>
          <w:rFonts w:ascii="Times New Roman" w:hAnsi="Times New Roman" w:cs="Times New Roman"/>
          <w:sz w:val="24"/>
          <w:szCs w:val="24"/>
        </w:rPr>
      </w:pPr>
      <w:r>
        <w:rPr>
          <w:rFonts w:ascii="Times New Roman" w:hAnsi="Times New Roman" w:cs="Times New Roman"/>
          <w:sz w:val="24"/>
          <w:szCs w:val="24"/>
        </w:rPr>
        <w:t xml:space="preserve">En matière d’organisation des transports, ces collectivités sont </w:t>
      </w:r>
      <w:r w:rsidR="00A67D27">
        <w:rPr>
          <w:rFonts w:ascii="Times New Roman" w:hAnsi="Times New Roman" w:cs="Times New Roman"/>
          <w:sz w:val="24"/>
          <w:szCs w:val="24"/>
        </w:rPr>
        <w:t>chargées</w:t>
      </w:r>
      <w:r>
        <w:rPr>
          <w:rFonts w:ascii="Times New Roman" w:hAnsi="Times New Roman" w:cs="Times New Roman"/>
          <w:sz w:val="24"/>
          <w:szCs w:val="24"/>
        </w:rPr>
        <w:t xml:space="preserve"> de développer des transports moins polluants en favorisant les flottes de véhicules propres avec une part minimale de 20% du renouvellement par des véhicules à faibles émissions de polluants atmosphériques </w:t>
      </w:r>
      <w:r w:rsidRPr="0027104F">
        <w:rPr>
          <w:rFonts w:ascii="Times New Roman" w:hAnsi="Times New Roman" w:cs="Times New Roman"/>
          <w:sz w:val="24"/>
          <w:szCs w:val="24"/>
        </w:rPr>
        <w:t xml:space="preserve">(article </w:t>
      </w:r>
      <w:r>
        <w:rPr>
          <w:rFonts w:ascii="Times New Roman" w:hAnsi="Times New Roman" w:cs="Times New Roman"/>
          <w:sz w:val="24"/>
          <w:szCs w:val="24"/>
        </w:rPr>
        <w:t>37</w:t>
      </w:r>
      <w:r w:rsidRPr="0027104F">
        <w:rPr>
          <w:rFonts w:ascii="Times New Roman" w:hAnsi="Times New Roman" w:cs="Times New Roman"/>
          <w:sz w:val="24"/>
          <w:szCs w:val="24"/>
        </w:rPr>
        <w:t xml:space="preserve"> de</w:t>
      </w:r>
      <w:r>
        <w:rPr>
          <w:rFonts w:ascii="Times New Roman" w:hAnsi="Times New Roman" w:cs="Times New Roman"/>
          <w:sz w:val="24"/>
          <w:szCs w:val="24"/>
        </w:rPr>
        <w:t xml:space="preserve"> LTECV</w:t>
      </w:r>
      <w:r w:rsidRPr="0027104F">
        <w:rPr>
          <w:rFonts w:ascii="Times New Roman" w:hAnsi="Times New Roman" w:cs="Times New Roman"/>
          <w:sz w:val="24"/>
          <w:szCs w:val="24"/>
        </w:rPr>
        <w:t>)</w:t>
      </w:r>
      <w:r>
        <w:rPr>
          <w:rFonts w:ascii="Times New Roman" w:hAnsi="Times New Roman" w:cs="Times New Roman"/>
          <w:sz w:val="24"/>
          <w:szCs w:val="24"/>
        </w:rPr>
        <w:t xml:space="preserve">. Quant au transport public, elles sont chargées de l’acquisition de bus et autocars à faibles émissions, ce qui est obligatoire sur tout le territoire depuis 2020 selon l’article 37 LTECV. </w:t>
      </w:r>
      <w:r w:rsidRPr="0027104F">
        <w:rPr>
          <w:rFonts w:ascii="Times New Roman" w:hAnsi="Times New Roman" w:cs="Times New Roman"/>
          <w:sz w:val="24"/>
          <w:szCs w:val="24"/>
        </w:rPr>
        <w:lastRenderedPageBreak/>
        <w:t>Elles agissent ainsi en faveur de la lutte contr</w:t>
      </w:r>
      <w:r w:rsidR="00F53C8A">
        <w:rPr>
          <w:rFonts w:ascii="Times New Roman" w:hAnsi="Times New Roman" w:cs="Times New Roman"/>
          <w:sz w:val="24"/>
          <w:szCs w:val="24"/>
        </w:rPr>
        <w:t>e</w:t>
      </w:r>
      <w:r w:rsidRPr="0027104F">
        <w:rPr>
          <w:rFonts w:ascii="Times New Roman" w:hAnsi="Times New Roman" w:cs="Times New Roman"/>
          <w:sz w:val="24"/>
          <w:szCs w:val="24"/>
        </w:rPr>
        <w:t xml:space="preserve"> la pollution de l’air à titre de police administrative générale et spéciale. </w:t>
      </w:r>
    </w:p>
    <w:p w14:paraId="7B68D924" w14:textId="6FF26145" w:rsidR="00AF27E8" w:rsidRDefault="00AF27E8" w:rsidP="00A67D27">
      <w:pPr>
        <w:jc w:val="both"/>
        <w:rPr>
          <w:rFonts w:ascii="Times New Roman" w:hAnsi="Times New Roman" w:cs="Times New Roman"/>
          <w:sz w:val="24"/>
          <w:szCs w:val="24"/>
        </w:rPr>
      </w:pPr>
      <w:r>
        <w:rPr>
          <w:rFonts w:ascii="Times New Roman" w:hAnsi="Times New Roman" w:cs="Times New Roman"/>
          <w:sz w:val="24"/>
          <w:szCs w:val="24"/>
        </w:rPr>
        <w:t>Nous verrons prochainement quels acteurs mettent en œuvre la transition énergétique dans le secteur des transports publics en Ile-de-France et quels sont les principaux leviers de cette transition. Il est alors intéressant de comprendre le secteur des transports publics, d’identifier les principaux acteurs impliqués e</w:t>
      </w:r>
      <w:r w:rsidR="00A67D27">
        <w:rPr>
          <w:rFonts w:ascii="Times New Roman" w:hAnsi="Times New Roman" w:cs="Times New Roman"/>
          <w:sz w:val="24"/>
          <w:szCs w:val="24"/>
        </w:rPr>
        <w:t xml:space="preserve">t les relations qui les lient. </w:t>
      </w:r>
    </w:p>
    <w:p w14:paraId="408A8210" w14:textId="77777777" w:rsidR="001E3708" w:rsidRDefault="001E3708" w:rsidP="00A67D27">
      <w:pPr>
        <w:jc w:val="both"/>
        <w:rPr>
          <w:rFonts w:ascii="Times New Roman" w:hAnsi="Times New Roman" w:cs="Times New Roman"/>
          <w:sz w:val="24"/>
          <w:szCs w:val="24"/>
        </w:rPr>
      </w:pPr>
    </w:p>
    <w:p w14:paraId="005F2441" w14:textId="5CA40793" w:rsidR="00AF27E8" w:rsidRPr="001F752D" w:rsidRDefault="00AF27E8" w:rsidP="00E55A18">
      <w:pPr>
        <w:pStyle w:val="Titre1"/>
        <w:numPr>
          <w:ilvl w:val="0"/>
          <w:numId w:val="12"/>
        </w:numPr>
        <w:rPr>
          <w:rFonts w:ascii="Times New Roman" w:hAnsi="Times New Roman" w:cs="Times New Roman"/>
          <w:b/>
          <w:bCs/>
        </w:rPr>
      </w:pPr>
      <w:bookmarkStart w:id="24" w:name="_Toc70937403"/>
      <w:r w:rsidRPr="001F752D">
        <w:rPr>
          <w:rFonts w:ascii="Times New Roman" w:hAnsi="Times New Roman" w:cs="Times New Roman"/>
          <w:b/>
          <w:bCs/>
        </w:rPr>
        <w:t>Cadre de réalisation des services publics de transport</w:t>
      </w:r>
      <w:bookmarkEnd w:id="24"/>
    </w:p>
    <w:p w14:paraId="5CFE93EC" w14:textId="77777777" w:rsidR="00AF27E8" w:rsidRDefault="00AF27E8" w:rsidP="00AF27E8">
      <w:pPr>
        <w:jc w:val="both"/>
        <w:rPr>
          <w:rFonts w:ascii="Times New Roman" w:hAnsi="Times New Roman" w:cs="Times New Roman"/>
          <w:sz w:val="24"/>
          <w:szCs w:val="24"/>
        </w:rPr>
      </w:pPr>
      <w:r w:rsidRPr="00F55B90">
        <w:rPr>
          <w:rFonts w:ascii="Times New Roman" w:hAnsi="Times New Roman" w:cs="Times New Roman"/>
          <w:sz w:val="24"/>
          <w:szCs w:val="24"/>
        </w:rPr>
        <w:t>Île-de-France Mobilités</w:t>
      </w:r>
      <w:r>
        <w:rPr>
          <w:rFonts w:ascii="Times New Roman" w:hAnsi="Times New Roman" w:cs="Times New Roman"/>
          <w:sz w:val="24"/>
          <w:szCs w:val="24"/>
        </w:rPr>
        <w:t xml:space="preserve"> (IDFM)</w:t>
      </w:r>
      <w:r w:rsidRPr="00F55B90">
        <w:rPr>
          <w:rFonts w:ascii="Times New Roman" w:hAnsi="Times New Roman" w:cs="Times New Roman"/>
          <w:sz w:val="24"/>
          <w:szCs w:val="24"/>
        </w:rPr>
        <w:t>, anciennement Syndicat des transports d’Ile-de-France (STIF), est l’Autorité Organisatrice de la Mobilité (AOM)</w:t>
      </w:r>
      <w:r>
        <w:rPr>
          <w:rFonts w:ascii="Times New Roman" w:hAnsi="Times New Roman" w:cs="Times New Roman"/>
          <w:sz w:val="24"/>
          <w:szCs w:val="24"/>
        </w:rPr>
        <w:t>, compétente sur tous les modes de transport,</w:t>
      </w:r>
      <w:r w:rsidRPr="00F55B90">
        <w:rPr>
          <w:rFonts w:ascii="Times New Roman" w:hAnsi="Times New Roman" w:cs="Times New Roman"/>
          <w:sz w:val="24"/>
          <w:szCs w:val="24"/>
        </w:rPr>
        <w:t xml:space="preserve"> de la Région d’Ile-de-France.</w:t>
      </w:r>
      <w:r>
        <w:rPr>
          <w:rFonts w:ascii="Times New Roman" w:hAnsi="Times New Roman" w:cs="Times New Roman"/>
          <w:sz w:val="24"/>
          <w:szCs w:val="24"/>
        </w:rPr>
        <w:t xml:space="preserve"> Cette autorité organisatrice a été créée en 1959 sous l’appellation de Syndicat des transports parisiens (STP) et jusqu’en 2005 est dirigée par l’Etat. Ce dernier détenait la majorité des parts des sièges au Conseil et la présidence de cette AOM. Après sa décentralisation en 2005, l’Etat cède sa place au Conseil régional </w:t>
      </w:r>
      <w:r w:rsidRPr="003A31FB">
        <w:rPr>
          <w:rFonts w:ascii="Times New Roman" w:hAnsi="Times New Roman" w:cs="Times New Roman"/>
          <w:sz w:val="24"/>
          <w:szCs w:val="24"/>
        </w:rPr>
        <w:t>(le 13 décembre 2000, loi SRU)</w:t>
      </w:r>
      <w:r>
        <w:rPr>
          <w:rFonts w:ascii="Times New Roman" w:hAnsi="Times New Roman" w:cs="Times New Roman"/>
          <w:sz w:val="24"/>
          <w:szCs w:val="24"/>
        </w:rPr>
        <w:t xml:space="preserve"> et deux nouveaux représentants intègrent le conseil de cette AOM, un représentant des milieux économiques désigné par la Chambre régionale de commerce et de l’industrie (CRCI) et un représentant des Etablissements public de coopération intercommunale (EPCI) en Île-de-France.</w:t>
      </w:r>
    </w:p>
    <w:p w14:paraId="2D7DBB6C" w14:textId="5946356B" w:rsidR="00AF27E8" w:rsidRPr="00F55B90" w:rsidRDefault="00AF27E8" w:rsidP="00AF27E8">
      <w:pPr>
        <w:jc w:val="both"/>
        <w:rPr>
          <w:rFonts w:ascii="Times New Roman" w:hAnsi="Times New Roman" w:cs="Times New Roman"/>
          <w:sz w:val="24"/>
          <w:szCs w:val="24"/>
        </w:rPr>
      </w:pPr>
      <w:r>
        <w:rPr>
          <w:rFonts w:ascii="Times New Roman" w:hAnsi="Times New Roman" w:cs="Times New Roman"/>
          <w:sz w:val="24"/>
          <w:szCs w:val="24"/>
        </w:rPr>
        <w:t xml:space="preserve">Île-de-France Mobilités </w:t>
      </w:r>
      <w:r w:rsidRPr="00F55B90">
        <w:rPr>
          <w:rFonts w:ascii="Times New Roman" w:hAnsi="Times New Roman" w:cs="Times New Roman"/>
          <w:sz w:val="24"/>
          <w:szCs w:val="24"/>
        </w:rPr>
        <w:t>est un établissement public local sui generis à caractère administratif dont la mission principale est d’organiser, de financer</w:t>
      </w:r>
      <w:r>
        <w:rPr>
          <w:rFonts w:ascii="Times New Roman" w:hAnsi="Times New Roman" w:cs="Times New Roman"/>
          <w:sz w:val="24"/>
          <w:szCs w:val="24"/>
        </w:rPr>
        <w:t xml:space="preserve"> en assurant un équilibre financier durable </w:t>
      </w:r>
      <w:r w:rsidRPr="00F55B90">
        <w:rPr>
          <w:rFonts w:ascii="Times New Roman" w:hAnsi="Times New Roman" w:cs="Times New Roman"/>
          <w:sz w:val="24"/>
          <w:szCs w:val="24"/>
        </w:rPr>
        <w:t xml:space="preserve"> et </w:t>
      </w:r>
      <w:r>
        <w:rPr>
          <w:rFonts w:ascii="Times New Roman" w:hAnsi="Times New Roman" w:cs="Times New Roman"/>
          <w:sz w:val="24"/>
          <w:szCs w:val="24"/>
        </w:rPr>
        <w:t xml:space="preserve">de </w:t>
      </w:r>
      <w:r w:rsidRPr="00F55B90">
        <w:rPr>
          <w:rFonts w:ascii="Times New Roman" w:hAnsi="Times New Roman" w:cs="Times New Roman"/>
          <w:sz w:val="24"/>
          <w:szCs w:val="24"/>
        </w:rPr>
        <w:t>coordonner le transport public des voyageurs en Île-de-France. Cet établissement est dirigé par un Conseil</w:t>
      </w:r>
      <w:r>
        <w:rPr>
          <w:rFonts w:ascii="Times New Roman" w:hAnsi="Times New Roman" w:cs="Times New Roman"/>
          <w:sz w:val="24"/>
          <w:szCs w:val="24"/>
        </w:rPr>
        <w:t xml:space="preserve"> d’administration</w:t>
      </w:r>
      <w:r w:rsidRPr="00F55B90">
        <w:rPr>
          <w:rFonts w:ascii="Times New Roman" w:hAnsi="Times New Roman" w:cs="Times New Roman"/>
          <w:sz w:val="24"/>
          <w:szCs w:val="24"/>
        </w:rPr>
        <w:t xml:space="preserve"> </w:t>
      </w:r>
      <w:r>
        <w:rPr>
          <w:rFonts w:ascii="Times New Roman" w:hAnsi="Times New Roman" w:cs="Times New Roman"/>
          <w:sz w:val="24"/>
          <w:szCs w:val="24"/>
        </w:rPr>
        <w:t>de 29 membres</w:t>
      </w:r>
      <w:r w:rsidRPr="00F55B90">
        <w:rPr>
          <w:rFonts w:ascii="Times New Roman" w:hAnsi="Times New Roman" w:cs="Times New Roman"/>
          <w:sz w:val="24"/>
          <w:szCs w:val="24"/>
        </w:rPr>
        <w:t xml:space="preserve"> qui regroupe des élus locaux </w:t>
      </w:r>
      <w:r w:rsidR="00A67D27" w:rsidRPr="00F55B90">
        <w:rPr>
          <w:rFonts w:ascii="Times New Roman" w:hAnsi="Times New Roman" w:cs="Times New Roman"/>
          <w:sz w:val="24"/>
          <w:szCs w:val="24"/>
        </w:rPr>
        <w:t>(</w:t>
      </w:r>
      <w:r w:rsidR="00A67D27">
        <w:rPr>
          <w:rFonts w:ascii="Times New Roman" w:hAnsi="Times New Roman" w:cs="Times New Roman"/>
          <w:sz w:val="24"/>
          <w:szCs w:val="24"/>
        </w:rPr>
        <w:t>8</w:t>
      </w:r>
      <w:r>
        <w:rPr>
          <w:rFonts w:ascii="Times New Roman" w:hAnsi="Times New Roman" w:cs="Times New Roman"/>
          <w:sz w:val="24"/>
          <w:szCs w:val="24"/>
        </w:rPr>
        <w:t xml:space="preserve"> </w:t>
      </w:r>
      <w:r w:rsidRPr="00F55B90">
        <w:rPr>
          <w:rFonts w:ascii="Times New Roman" w:hAnsi="Times New Roman" w:cs="Times New Roman"/>
          <w:sz w:val="24"/>
          <w:szCs w:val="24"/>
        </w:rPr>
        <w:t xml:space="preserve">Départements, Région et Ville de Paris). Il incombe </w:t>
      </w:r>
      <w:r>
        <w:rPr>
          <w:rFonts w:ascii="Times New Roman" w:hAnsi="Times New Roman" w:cs="Times New Roman"/>
          <w:sz w:val="24"/>
          <w:szCs w:val="24"/>
        </w:rPr>
        <w:t xml:space="preserve">au Conseil </w:t>
      </w:r>
      <w:r w:rsidRPr="00F55B90">
        <w:rPr>
          <w:rFonts w:ascii="Times New Roman" w:hAnsi="Times New Roman" w:cs="Times New Roman"/>
          <w:sz w:val="24"/>
          <w:szCs w:val="24"/>
        </w:rPr>
        <w:t xml:space="preserve">de voter les mesures nécessaires au bon fonctionnement et à la modernisation progressive du réseau de transport d’Ile de </w:t>
      </w:r>
      <w:r>
        <w:rPr>
          <w:rFonts w:ascii="Times New Roman" w:hAnsi="Times New Roman" w:cs="Times New Roman"/>
          <w:sz w:val="24"/>
          <w:szCs w:val="24"/>
        </w:rPr>
        <w:t xml:space="preserve">France, </w:t>
      </w:r>
      <w:r w:rsidRPr="00F55B90">
        <w:rPr>
          <w:rFonts w:ascii="Times New Roman" w:hAnsi="Times New Roman" w:cs="Times New Roman"/>
          <w:sz w:val="24"/>
          <w:szCs w:val="24"/>
        </w:rPr>
        <w:t>notamment le renouvellement des trains ou des rames de métro, la mise en place progressive d’une flotte de bus propres, la mise à disposition des gares.</w:t>
      </w:r>
    </w:p>
    <w:p w14:paraId="4B8BFBAB" w14:textId="77777777" w:rsidR="00AF27E8" w:rsidRPr="00F55B90" w:rsidRDefault="00AF27E8" w:rsidP="00AF27E8">
      <w:pPr>
        <w:jc w:val="both"/>
        <w:rPr>
          <w:rFonts w:ascii="Times New Roman" w:hAnsi="Times New Roman" w:cs="Times New Roman"/>
          <w:sz w:val="24"/>
          <w:szCs w:val="24"/>
        </w:rPr>
      </w:pPr>
      <w:r w:rsidRPr="00F55B90">
        <w:rPr>
          <w:rFonts w:ascii="Times New Roman" w:hAnsi="Times New Roman" w:cs="Times New Roman"/>
          <w:sz w:val="24"/>
          <w:szCs w:val="24"/>
        </w:rPr>
        <w:t xml:space="preserve">Par ailleurs,  pour répondre aux besoins de transports en forte croissance des franciliens, ces élus locaux sont tenus d’anticiper et d’adapter l’offre de transport public aux exigences des voyageurs. De plus, ils sont chargés de définir les conditions générales d’exploitations du réseau, de créer les titres de transports (Ticket t+, Navigo Liberté +, forfait Navigo, forfait </w:t>
      </w:r>
      <w:proofErr w:type="spellStart"/>
      <w:r w:rsidRPr="00F55B90">
        <w:rPr>
          <w:rFonts w:ascii="Times New Roman" w:hAnsi="Times New Roman" w:cs="Times New Roman"/>
          <w:sz w:val="24"/>
          <w:szCs w:val="24"/>
        </w:rPr>
        <w:t>Imagin’R</w:t>
      </w:r>
      <w:proofErr w:type="spellEnd"/>
      <w:r w:rsidRPr="00F55B90">
        <w:rPr>
          <w:rFonts w:ascii="Times New Roman" w:hAnsi="Times New Roman" w:cs="Times New Roman"/>
          <w:sz w:val="24"/>
          <w:szCs w:val="24"/>
        </w:rPr>
        <w:t>, forfait Senior, forfait Junior etc.)  et d’en fixer les tarifs. Ils définissent également les principes des grands investissements publics, particulièrement les programmes d’investissements en infrastructures établis dans le cadre de contrat de projets Etat Région (CPER). En assurant le contrôle de la maitrise d’ouvrage de ces projets, il veille au respect au respect du calendrier et des coû</w:t>
      </w:r>
      <w:r>
        <w:rPr>
          <w:rFonts w:ascii="Times New Roman" w:hAnsi="Times New Roman" w:cs="Times New Roman"/>
          <w:sz w:val="24"/>
          <w:szCs w:val="24"/>
        </w:rPr>
        <w:t>t</w:t>
      </w:r>
      <w:r w:rsidRPr="00F55B90">
        <w:rPr>
          <w:rFonts w:ascii="Times New Roman" w:hAnsi="Times New Roman" w:cs="Times New Roman"/>
          <w:sz w:val="24"/>
          <w:szCs w:val="24"/>
        </w:rPr>
        <w:t>s et décide</w:t>
      </w:r>
      <w:r>
        <w:rPr>
          <w:rFonts w:ascii="Times New Roman" w:hAnsi="Times New Roman" w:cs="Times New Roman"/>
          <w:sz w:val="24"/>
          <w:szCs w:val="24"/>
        </w:rPr>
        <w:t xml:space="preserve"> </w:t>
      </w:r>
      <w:r w:rsidRPr="00F55B90">
        <w:rPr>
          <w:rFonts w:ascii="Times New Roman" w:hAnsi="Times New Roman" w:cs="Times New Roman"/>
          <w:sz w:val="24"/>
          <w:szCs w:val="24"/>
        </w:rPr>
        <w:t>des conditions de leur réalisation. Ces projets font référence au prolongement et à la création de nouvelles lignes de tramways, de RER, de métro, de bus etc. </w:t>
      </w:r>
    </w:p>
    <w:p w14:paraId="5442BC5E" w14:textId="77777777" w:rsidR="00AF27E8" w:rsidRDefault="00AF27E8" w:rsidP="00AF27E8">
      <w:pPr>
        <w:jc w:val="both"/>
        <w:rPr>
          <w:rFonts w:ascii="Times New Roman" w:hAnsi="Times New Roman" w:cs="Times New Roman"/>
          <w:sz w:val="24"/>
          <w:szCs w:val="24"/>
        </w:rPr>
      </w:pPr>
      <w:r w:rsidRPr="00F55B90">
        <w:rPr>
          <w:rFonts w:ascii="Times New Roman" w:hAnsi="Times New Roman" w:cs="Times New Roman"/>
          <w:sz w:val="24"/>
          <w:szCs w:val="24"/>
        </w:rPr>
        <w:t>Le réseau de transport public d’Ile-de-France est l’un des plus denses au monde. Il est constitué de 1500 lignes de bus, 14 lignes de métro, 9 lignes de tramways et 13 lignes de trains et de RER. Pour assurer l’offre de transport sur l’ensemble de ces lignes, Île-de-France Mobilités confie leur exploitation à des opérateurs</w:t>
      </w:r>
      <w:r>
        <w:rPr>
          <w:rFonts w:ascii="Times New Roman" w:hAnsi="Times New Roman" w:cs="Times New Roman"/>
          <w:sz w:val="24"/>
          <w:szCs w:val="24"/>
        </w:rPr>
        <w:t xml:space="preserve"> </w:t>
      </w:r>
      <w:r w:rsidRPr="00F55B90">
        <w:rPr>
          <w:rFonts w:ascii="Times New Roman" w:hAnsi="Times New Roman" w:cs="Times New Roman"/>
          <w:sz w:val="24"/>
          <w:szCs w:val="24"/>
        </w:rPr>
        <w:t xml:space="preserve">de transport qui jouissent de droits exclusifs pour une période </w:t>
      </w:r>
      <w:r w:rsidRPr="00F55B90">
        <w:rPr>
          <w:rFonts w:ascii="Times New Roman" w:hAnsi="Times New Roman" w:cs="Times New Roman"/>
          <w:sz w:val="24"/>
          <w:szCs w:val="24"/>
        </w:rPr>
        <w:lastRenderedPageBreak/>
        <w:t>importante. Tout ceci s’effectue dans le cadre de contrats</w:t>
      </w:r>
      <w:r>
        <w:rPr>
          <w:rFonts w:ascii="Times New Roman" w:hAnsi="Times New Roman" w:cs="Times New Roman"/>
          <w:sz w:val="24"/>
          <w:szCs w:val="24"/>
        </w:rPr>
        <w:t xml:space="preserve"> quadriennaux</w:t>
      </w:r>
      <w:r w:rsidRPr="00F55B90">
        <w:rPr>
          <w:rFonts w:ascii="Times New Roman" w:hAnsi="Times New Roman" w:cs="Times New Roman"/>
          <w:sz w:val="24"/>
          <w:szCs w:val="24"/>
        </w:rPr>
        <w:t xml:space="preserve"> signés de gré à gré avec ces opérateurs, précisant les prestations qui leur sont exigées et les financements </w:t>
      </w:r>
      <w:r>
        <w:rPr>
          <w:rFonts w:ascii="Times New Roman" w:hAnsi="Times New Roman" w:cs="Times New Roman"/>
          <w:sz w:val="24"/>
          <w:szCs w:val="24"/>
        </w:rPr>
        <w:t xml:space="preserve">reçus </w:t>
      </w:r>
      <w:r w:rsidRPr="00F55B90">
        <w:rPr>
          <w:rFonts w:ascii="Times New Roman" w:hAnsi="Times New Roman" w:cs="Times New Roman"/>
          <w:sz w:val="24"/>
          <w:szCs w:val="24"/>
        </w:rPr>
        <w:t xml:space="preserve">en retour. </w:t>
      </w:r>
      <w:r>
        <w:rPr>
          <w:rFonts w:ascii="Times New Roman" w:hAnsi="Times New Roman" w:cs="Times New Roman"/>
          <w:sz w:val="24"/>
          <w:szCs w:val="24"/>
        </w:rPr>
        <w:t xml:space="preserve">Ces contrats ont par la suite intégré un système d’intéressement attribuant des malus et des bonus en fonction des objectifs atteints. </w:t>
      </w:r>
    </w:p>
    <w:p w14:paraId="23AFF5B5" w14:textId="388ADE4B" w:rsidR="00AF27E8" w:rsidRPr="00A67D27" w:rsidRDefault="00AF27E8" w:rsidP="00AF27E8">
      <w:pPr>
        <w:jc w:val="both"/>
        <w:rPr>
          <w:rFonts w:ascii="Times New Roman" w:hAnsi="Times New Roman" w:cs="Times New Roman"/>
          <w:sz w:val="24"/>
          <w:szCs w:val="24"/>
        </w:rPr>
      </w:pPr>
      <w:r>
        <w:rPr>
          <w:rFonts w:ascii="Times New Roman" w:hAnsi="Times New Roman" w:cs="Times New Roman"/>
          <w:sz w:val="24"/>
          <w:szCs w:val="24"/>
        </w:rPr>
        <w:t>L’exploitation du réseau incombe majoritairement à deux opérateurs publics nationaux, la Régie Autonome des transports parisiens (RATP) et la Société nationale des chemins de fers français (SNCF, de nos jours, SNCF Mobilités). En outre, l’exploitation des lignes d’autobus régulières non assurées par la RATP, particulièrement en moyenne et en grande couronne, est confiée à environ 70 opérateurs formant l’Organisation professionnelle des transports d’Ile-de-France (</w:t>
      </w:r>
      <w:proofErr w:type="spellStart"/>
      <w:r>
        <w:rPr>
          <w:rFonts w:ascii="Times New Roman" w:hAnsi="Times New Roman" w:cs="Times New Roman"/>
          <w:sz w:val="24"/>
          <w:szCs w:val="24"/>
        </w:rPr>
        <w:t>Optile</w:t>
      </w:r>
      <w:proofErr w:type="spellEnd"/>
      <w:r>
        <w:rPr>
          <w:rFonts w:ascii="Times New Roman" w:hAnsi="Times New Roman" w:cs="Times New Roman"/>
          <w:sz w:val="24"/>
          <w:szCs w:val="24"/>
        </w:rPr>
        <w:t xml:space="preserve">). Ces entreprises sont également </w:t>
      </w:r>
      <w:r w:rsidR="00A67D27">
        <w:rPr>
          <w:rFonts w:ascii="Times New Roman" w:hAnsi="Times New Roman" w:cs="Times New Roman"/>
          <w:sz w:val="24"/>
          <w:szCs w:val="24"/>
        </w:rPr>
        <w:t>tenues</w:t>
      </w:r>
      <w:r>
        <w:rPr>
          <w:rFonts w:ascii="Times New Roman" w:hAnsi="Times New Roman" w:cs="Times New Roman"/>
          <w:sz w:val="24"/>
          <w:szCs w:val="24"/>
        </w:rPr>
        <w:t xml:space="preserve"> de respecter les niveaux de qualité de service fixés (ponctualité, accessibilité, information, sécurité, propreté) par Île-de-France Mobilités. Si ces entreprises sont responsables de transporter les voyageurs en respectant le niveau de qualité de service exigé, elles doivent aussi assurer l’entretien des infrastructures et du matériel, garantir la sécurité des passagers, offrir différents services en gares (vente des titres de transport, information des voyageurs…), réaliser les travaux de maintenance et de modernisation des </w:t>
      </w:r>
      <w:r w:rsidR="00A67D27">
        <w:rPr>
          <w:rFonts w:ascii="Times New Roman" w:hAnsi="Times New Roman" w:cs="Times New Roman"/>
          <w:sz w:val="24"/>
          <w:szCs w:val="24"/>
        </w:rPr>
        <w:t>lignes qui leur sont affectées.</w:t>
      </w:r>
    </w:p>
    <w:p w14:paraId="3071DCEC" w14:textId="77777777" w:rsidR="00AF27E8" w:rsidRPr="001F752D" w:rsidRDefault="00AF27E8" w:rsidP="00343426">
      <w:pPr>
        <w:pStyle w:val="Titre2"/>
        <w:numPr>
          <w:ilvl w:val="0"/>
          <w:numId w:val="13"/>
        </w:numPr>
        <w:rPr>
          <w:rFonts w:ascii="Times New Roman" w:hAnsi="Times New Roman" w:cs="Times New Roman"/>
          <w:b/>
          <w:bCs/>
        </w:rPr>
      </w:pPr>
      <w:bookmarkStart w:id="25" w:name="_Toc70937404"/>
      <w:r w:rsidRPr="001F752D">
        <w:rPr>
          <w:rFonts w:ascii="Times New Roman" w:hAnsi="Times New Roman" w:cs="Times New Roman"/>
          <w:b/>
          <w:bCs/>
        </w:rPr>
        <w:t>Mise en œuvre de la transition énergétique dans le secteur des transports publics en Île-de-France</w:t>
      </w:r>
      <w:bookmarkEnd w:id="25"/>
    </w:p>
    <w:p w14:paraId="1B351E1B" w14:textId="6B791C29" w:rsidR="00AF27E8" w:rsidRDefault="00AF27E8" w:rsidP="00AF27E8">
      <w:pPr>
        <w:jc w:val="both"/>
        <w:rPr>
          <w:rFonts w:ascii="Times New Roman" w:hAnsi="Times New Roman" w:cs="Times New Roman"/>
          <w:sz w:val="24"/>
          <w:szCs w:val="24"/>
        </w:rPr>
      </w:pPr>
      <w:r>
        <w:rPr>
          <w:rFonts w:ascii="Times New Roman" w:hAnsi="Times New Roman" w:cs="Times New Roman"/>
          <w:sz w:val="24"/>
          <w:szCs w:val="24"/>
        </w:rPr>
        <w:t>En tant qu’autorité organisatrice des transports en Île-de-France, u</w:t>
      </w:r>
      <w:r w:rsidRPr="00D1557F">
        <w:rPr>
          <w:rFonts w:ascii="Times New Roman" w:hAnsi="Times New Roman" w:cs="Times New Roman"/>
          <w:sz w:val="24"/>
          <w:szCs w:val="24"/>
        </w:rPr>
        <w:t>ne autre attribution tout aussi importante d’Île-de-France</w:t>
      </w:r>
      <w:r>
        <w:rPr>
          <w:rFonts w:ascii="Times New Roman" w:hAnsi="Times New Roman" w:cs="Times New Roman"/>
          <w:sz w:val="24"/>
          <w:szCs w:val="24"/>
        </w:rPr>
        <w:t xml:space="preserve"> </w:t>
      </w:r>
      <w:r w:rsidRPr="00D1557F">
        <w:rPr>
          <w:rFonts w:ascii="Times New Roman" w:hAnsi="Times New Roman" w:cs="Times New Roman"/>
          <w:sz w:val="24"/>
          <w:szCs w:val="24"/>
        </w:rPr>
        <w:t>Mobilités est la planification de la mobilité</w:t>
      </w:r>
      <w:r>
        <w:rPr>
          <w:rFonts w:ascii="Times New Roman" w:hAnsi="Times New Roman" w:cs="Times New Roman"/>
          <w:sz w:val="24"/>
          <w:szCs w:val="24"/>
        </w:rPr>
        <w:t xml:space="preserve"> </w:t>
      </w:r>
      <w:r w:rsidRPr="00D57EBF">
        <w:rPr>
          <w:rFonts w:ascii="Times New Roman" w:hAnsi="Times New Roman" w:cs="Times New Roman"/>
          <w:sz w:val="24"/>
          <w:szCs w:val="24"/>
        </w:rPr>
        <w:t>(« La loi libertés et responsabilités locales »</w:t>
      </w:r>
      <w:r w:rsidR="007D5D91">
        <w:rPr>
          <w:rFonts w:ascii="Times New Roman" w:hAnsi="Times New Roman" w:cs="Times New Roman"/>
          <w:sz w:val="24"/>
          <w:szCs w:val="24"/>
        </w:rPr>
        <w:t xml:space="preserve"> </w:t>
      </w:r>
      <w:r w:rsidRPr="002B280E">
        <w:rPr>
          <w:rFonts w:ascii="Times New Roman" w:hAnsi="Times New Roman" w:cs="Times New Roman"/>
          <w:sz w:val="24"/>
          <w:szCs w:val="24"/>
        </w:rPr>
        <w:t>de 2004</w:t>
      </w:r>
      <w:r w:rsidRPr="00D57EBF">
        <w:rPr>
          <w:rFonts w:ascii="Times New Roman" w:hAnsi="Times New Roman" w:cs="Times New Roman"/>
          <w:sz w:val="24"/>
          <w:szCs w:val="24"/>
        </w:rPr>
        <w:t>).</w:t>
      </w:r>
      <w:r w:rsidRPr="00D1557F">
        <w:rPr>
          <w:rFonts w:ascii="Times New Roman" w:hAnsi="Times New Roman" w:cs="Times New Roman"/>
          <w:sz w:val="24"/>
          <w:szCs w:val="24"/>
        </w:rPr>
        <w:t xml:space="preserve"> </w:t>
      </w:r>
      <w:r>
        <w:rPr>
          <w:rFonts w:ascii="Times New Roman" w:hAnsi="Times New Roman" w:cs="Times New Roman"/>
          <w:sz w:val="24"/>
          <w:szCs w:val="24"/>
        </w:rPr>
        <w:t>Dans cette optique, elle a pour obligation de fournir les solutions de déplacements les plus respectueux de l’environnement tout en contribuant à l’amélioration de la qualité de l’air de la Région en faveur de la santé de tous les franciliens. L’organisation de la mobilité se retrouve dans un document stratégique nommé le Plan de déplacements urbains de la région d’Île-de-France (PDUIF).</w:t>
      </w:r>
    </w:p>
    <w:p w14:paraId="5FD0B983" w14:textId="05E878AC" w:rsidR="00AF27E8" w:rsidRDefault="00AF27E8" w:rsidP="00AF27E8">
      <w:pPr>
        <w:jc w:val="both"/>
        <w:rPr>
          <w:rFonts w:ascii="Times New Roman" w:hAnsi="Times New Roman" w:cs="Times New Roman"/>
          <w:sz w:val="24"/>
          <w:szCs w:val="24"/>
        </w:rPr>
      </w:pPr>
      <w:r>
        <w:rPr>
          <w:rFonts w:ascii="Times New Roman" w:hAnsi="Times New Roman" w:cs="Times New Roman"/>
          <w:sz w:val="24"/>
          <w:szCs w:val="24"/>
        </w:rPr>
        <w:t xml:space="preserve">Le PDUIF établit ainsi les objectifs et le cadre de la politique de déplacements des personnes et des biens pour tous les modes de transport pour parvenir à un équilibre durable entre les besoins de mobilité des individus et des biens d’un côté, et la préservation de l’environnement, de la qualité de la vie et de la santé. Le PDUIF s’impose donc à IDFM comme une priorité stratégique face aux enjeux de mobilité en ce qui a trait à l’équité sociale et territoriale afin d’aboutir à une amélioration de la mobilité sur tout le territoire francilien. A cet effet, l’évaluation du premier plan de </w:t>
      </w:r>
      <w:r w:rsidRPr="001F4F43">
        <w:rPr>
          <w:rFonts w:ascii="Times New Roman" w:hAnsi="Times New Roman" w:cs="Times New Roman"/>
          <w:sz w:val="24"/>
          <w:szCs w:val="24"/>
        </w:rPr>
        <w:t xml:space="preserve">déplacement urbain </w:t>
      </w:r>
      <w:r>
        <w:rPr>
          <w:rFonts w:ascii="Times New Roman" w:hAnsi="Times New Roman" w:cs="Times New Roman"/>
          <w:sz w:val="24"/>
          <w:szCs w:val="24"/>
        </w:rPr>
        <w:t>d’Île-de-France adoptée en 2000 a été menée par IDFM en 2006 et 2007 en collaboration avec les principaux acteurs impliqués dans les politiques de déplacements en Île-de-France. Ce PDUIF (2000-2005), élaboré par l’Etat et regroupant un ensemble d’objectifs ambitieux déclinés en 176 actions, a fait l’objet de vives critiques de la part d’IDFM qui lui reprochait entre autres « </w:t>
      </w:r>
      <w:r w:rsidRPr="00EF18F4">
        <w:rPr>
          <w:rFonts w:ascii="Times New Roman" w:hAnsi="Times New Roman" w:cs="Times New Roman"/>
          <w:i/>
          <w:iCs/>
          <w:sz w:val="24"/>
          <w:szCs w:val="24"/>
        </w:rPr>
        <w:t>la complexité et les incertitudes de financements,</w:t>
      </w:r>
      <w:r w:rsidRPr="00EF18F4">
        <w:rPr>
          <w:i/>
          <w:iCs/>
        </w:rPr>
        <w:t xml:space="preserve"> </w:t>
      </w:r>
      <w:r w:rsidRPr="00EF18F4">
        <w:rPr>
          <w:rFonts w:ascii="Times New Roman" w:hAnsi="Times New Roman" w:cs="Times New Roman"/>
          <w:i/>
          <w:iCs/>
          <w:sz w:val="24"/>
          <w:szCs w:val="24"/>
        </w:rPr>
        <w:t xml:space="preserve">la difficulté à décliner les actions au niveau infrarégional ; le partage insuffisant de la gouvernance entre Île-de-France Mobilités, la région et l’État (qui s’était désengagé de l’animation) et le caractère faiblement </w:t>
      </w:r>
      <w:r w:rsidRPr="00EF18F4">
        <w:rPr>
          <w:rFonts w:ascii="Times New Roman" w:hAnsi="Times New Roman" w:cs="Times New Roman"/>
          <w:i/>
          <w:iCs/>
          <w:sz w:val="24"/>
          <w:szCs w:val="24"/>
        </w:rPr>
        <w:lastRenderedPageBreak/>
        <w:t>opérationnel et mesurable des objectifs retenus</w:t>
      </w:r>
      <w:r>
        <w:rPr>
          <w:rFonts w:ascii="Times New Roman" w:hAnsi="Times New Roman" w:cs="Times New Roman"/>
          <w:sz w:val="24"/>
          <w:szCs w:val="24"/>
        </w:rPr>
        <w:t> »</w:t>
      </w:r>
      <w:r w:rsidR="00494994">
        <w:rPr>
          <w:rStyle w:val="Appelnotedebasdep"/>
          <w:rFonts w:ascii="Times New Roman" w:hAnsi="Times New Roman" w:cs="Times New Roman"/>
          <w:sz w:val="24"/>
          <w:szCs w:val="24"/>
        </w:rPr>
        <w:footnoteReference w:id="4"/>
      </w:r>
      <w:r>
        <w:rPr>
          <w:rFonts w:ascii="Times New Roman" w:hAnsi="Times New Roman" w:cs="Times New Roman"/>
          <w:sz w:val="24"/>
          <w:szCs w:val="24"/>
        </w:rPr>
        <w:t xml:space="preserve">. Ainsi, cette évaluation dressait un bilan peu flatteur de l’application de ce premier PDUIF, lui reprochant la non obtention des résultats escomptés. </w:t>
      </w:r>
    </w:p>
    <w:p w14:paraId="6569D045" w14:textId="77777777" w:rsidR="00AF27E8" w:rsidRDefault="00AF27E8" w:rsidP="00AF27E8">
      <w:pPr>
        <w:jc w:val="both"/>
        <w:rPr>
          <w:rFonts w:ascii="Times New Roman" w:hAnsi="Times New Roman" w:cs="Times New Roman"/>
          <w:sz w:val="24"/>
          <w:szCs w:val="24"/>
        </w:rPr>
      </w:pPr>
      <w:r>
        <w:rPr>
          <w:rFonts w:ascii="Times New Roman" w:hAnsi="Times New Roman" w:cs="Times New Roman"/>
          <w:sz w:val="24"/>
          <w:szCs w:val="24"/>
        </w:rPr>
        <w:t xml:space="preserve">L’élaboration du PDUIF et l’initiative de son évaluation n’ont pas toujours fait partie des attributions d’IDFM. En effet, ce n’est qu’avec la loi Libertés et responsabilités locales de 2004 que ces prérogatives d’élaboration et d’évaluation ont été transférées à IDFM. En prenant en considération les critiques de l’évaluation du premier PDUIF, IDFM a élaboré un  nouveau PDUIF pour une période deux fois plus longue que celle du précédent document (2010-2020) afin de disposer d’assez de temps pour sa révision et son adoption mais aussi pour la réalisation de ses actions. Ce deuxième PDUIF dresse 9 défis déclinés en 34 actions concrètes, dont deux actions à portée environnementale dont l’objectif est de soutenir le développement de nouveaux véhicules propres et de diminuer les nuisances sonores générées par les transports. </w:t>
      </w:r>
    </w:p>
    <w:p w14:paraId="2767E6AC" w14:textId="77777777" w:rsidR="00AF27E8" w:rsidRDefault="00AF27E8" w:rsidP="00AF27E8">
      <w:pPr>
        <w:jc w:val="both"/>
        <w:rPr>
          <w:rFonts w:ascii="Times New Roman" w:hAnsi="Times New Roman" w:cs="Times New Roman"/>
          <w:sz w:val="24"/>
          <w:szCs w:val="24"/>
        </w:rPr>
      </w:pPr>
      <w:r>
        <w:rPr>
          <w:rFonts w:ascii="Times New Roman" w:hAnsi="Times New Roman" w:cs="Times New Roman"/>
          <w:sz w:val="24"/>
          <w:szCs w:val="24"/>
        </w:rPr>
        <w:t xml:space="preserve">La portée environnementale de ce PDUIF provient du fait que ce dernier s’aligne sur l’article 10 de la loi du 3 août 2009 relative à l’application du Grenelle de l’environnement qui stipule </w:t>
      </w:r>
      <w:r w:rsidRPr="002F6FD7">
        <w:rPr>
          <w:rFonts w:ascii="Times New Roman" w:hAnsi="Times New Roman" w:cs="Times New Roman"/>
          <w:sz w:val="24"/>
          <w:szCs w:val="24"/>
        </w:rPr>
        <w:t>que « l’objectif est de réduire, dans le domaine des transports, les émissions de gaz à effet de serre de 20 % d’ici à 2020, afin de les ramener à cette date au niveau qu’elles avaient atteint en 1990 »</w:t>
      </w:r>
      <w:r>
        <w:rPr>
          <w:rFonts w:ascii="Times New Roman" w:hAnsi="Times New Roman" w:cs="Times New Roman"/>
          <w:sz w:val="24"/>
          <w:szCs w:val="24"/>
        </w:rPr>
        <w:t>. Pour ce faire, le PDUIF ambitionne de réduire de 2% les mobilités en modes individuels motorisés (voitures et deux roues motorisés) et à augmenter de 10%  les mobilités par les modes actifs (marche et vélo) et de 20% les mobilités en transports collectifs. Par ailleurs, le défi n° 2 du PDUIF, « rendre les transports collectifs plus attractifs », regroupe les mesures les plus pertinentes pour l’expansion de l’offre de transports collectifs et le renforcement de la qualité de service prévoyant ainsi d’accroitre de 25% cette offre en dix ans. Concrètement, le PDUIF envisage la mise en œuvre de 53 projets d’infrastructures et de nouvelles lignes et des renforts de l’offre particulièrement importants. Il faut noter que ces objectifs figurent également dans le Schéma directeur de la région d’Île-de-France (SDRIF) 2030, ce dernier s’inscrivant également dans le Grenelle de l’environnement.</w:t>
      </w:r>
    </w:p>
    <w:p w14:paraId="580914C6" w14:textId="75F1674C" w:rsidR="00AF27E8" w:rsidRDefault="00AF27E8" w:rsidP="00AF27E8">
      <w:pPr>
        <w:jc w:val="both"/>
        <w:rPr>
          <w:rFonts w:ascii="Times New Roman" w:hAnsi="Times New Roman" w:cs="Times New Roman"/>
          <w:sz w:val="24"/>
          <w:szCs w:val="24"/>
        </w:rPr>
      </w:pPr>
      <w:r>
        <w:rPr>
          <w:rFonts w:ascii="Times New Roman" w:hAnsi="Times New Roman" w:cs="Times New Roman"/>
          <w:sz w:val="24"/>
          <w:szCs w:val="24"/>
        </w:rPr>
        <w:t>Le PDUIF regroupe ainsi de nombreuses actions qualitatives relatives à « </w:t>
      </w:r>
      <w:r w:rsidRPr="006318B6">
        <w:rPr>
          <w:rFonts w:ascii="Times New Roman" w:hAnsi="Times New Roman" w:cs="Times New Roman"/>
          <w:i/>
          <w:iCs/>
          <w:sz w:val="24"/>
          <w:szCs w:val="24"/>
        </w:rPr>
        <w:t>l’adoption d’objectifs environnementaux, le renouvellement du matériel roulant, l’amélioration de l’offre de transport et de la qualité de service à travers la ponctualité, l’information et le confort des voyageurs</w:t>
      </w:r>
      <w:r>
        <w:rPr>
          <w:rFonts w:ascii="Times New Roman" w:hAnsi="Times New Roman" w:cs="Times New Roman"/>
          <w:i/>
          <w:iCs/>
          <w:sz w:val="24"/>
          <w:szCs w:val="24"/>
        </w:rPr>
        <w:t> »</w:t>
      </w:r>
      <w:r w:rsidR="0005771F">
        <w:rPr>
          <w:rStyle w:val="Appelnotedebasdep"/>
          <w:rFonts w:ascii="Times New Roman" w:hAnsi="Times New Roman" w:cs="Times New Roman"/>
          <w:i/>
          <w:iCs/>
          <w:sz w:val="24"/>
          <w:szCs w:val="24"/>
        </w:rPr>
        <w:footnoteReference w:id="5"/>
      </w:r>
      <w:r>
        <w:rPr>
          <w:rFonts w:ascii="Times New Roman" w:hAnsi="Times New Roman" w:cs="Times New Roman"/>
          <w:sz w:val="24"/>
          <w:szCs w:val="24"/>
        </w:rPr>
        <w:t xml:space="preserve">. Nous retrouvons également ces actions qualitatives dans les contrats entre IDFM et les exploitants en termes d’exigences envers ces derniers. La programmation du PDUIF s’effectue dans le cadre d’un système de financements croisés et de gouvernance impliquant de nombreux acteurs complexifiant par conséquent sa réalisation. Ainsi, le PDUIF est interdépendant à d’autres documents stratégiques élaborés par la Région Ile-de-France et l’Etat. Il est compatible avec le SDRIF, avec le Schéma d’ensemble du réseau de transport public du Grand Paris (adopté par décret), incluant </w:t>
      </w:r>
      <w:r w:rsidRPr="009E11E8">
        <w:rPr>
          <w:rFonts w:ascii="Times New Roman" w:hAnsi="Times New Roman" w:cs="Times New Roman"/>
          <w:i/>
          <w:iCs/>
          <w:sz w:val="24"/>
          <w:szCs w:val="24"/>
        </w:rPr>
        <w:t xml:space="preserve">« les prévisions relatives au niveau de service, d’accessibilité, de mode </w:t>
      </w:r>
      <w:r w:rsidRPr="009E11E8">
        <w:rPr>
          <w:rFonts w:ascii="Times New Roman" w:hAnsi="Times New Roman" w:cs="Times New Roman"/>
          <w:i/>
          <w:iCs/>
          <w:sz w:val="24"/>
          <w:szCs w:val="24"/>
        </w:rPr>
        <w:lastRenderedPageBreak/>
        <w:t>d’exploitation, de tracé, de position des gares et de l’offre de transport public complémentaire du nouveau réseau disponible à partir de ses gares</w:t>
      </w:r>
      <w:r>
        <w:rPr>
          <w:rFonts w:ascii="Times New Roman" w:hAnsi="Times New Roman" w:cs="Times New Roman"/>
          <w:sz w:val="24"/>
          <w:szCs w:val="24"/>
        </w:rPr>
        <w:t> » ainsi qu’avec le Schéma régional du climat, de l’air et de l’énergie (SRCAE)</w:t>
      </w:r>
      <w:r w:rsidR="00D93063">
        <w:rPr>
          <w:rStyle w:val="Appelnotedebasdep"/>
          <w:rFonts w:ascii="Times New Roman" w:hAnsi="Times New Roman" w:cs="Times New Roman"/>
          <w:sz w:val="24"/>
          <w:szCs w:val="24"/>
        </w:rPr>
        <w:footnoteReference w:id="6"/>
      </w:r>
      <w:r>
        <w:rPr>
          <w:rFonts w:ascii="Times New Roman" w:hAnsi="Times New Roman" w:cs="Times New Roman"/>
          <w:sz w:val="24"/>
          <w:szCs w:val="24"/>
        </w:rPr>
        <w:t xml:space="preserve">. Ce dernier inclut comme le PDUIF  un objectif de diminution de 20% des émissions de gaz à effet de serre engendrées par le trafic routier. En outre, le PDUIF est cohérent avec le Plan de de Protection de l’Atmosphère (PPA) particulièrement sur les enjeux de réduction des émissions polluants. </w:t>
      </w:r>
    </w:p>
    <w:p w14:paraId="6F6EC3EC" w14:textId="6E0CAC3F" w:rsidR="00AF27E8" w:rsidRPr="00BD71B9" w:rsidRDefault="00AF27E8" w:rsidP="00AF27E8">
      <w:pPr>
        <w:jc w:val="both"/>
        <w:rPr>
          <w:rFonts w:ascii="Times New Roman" w:hAnsi="Times New Roman" w:cs="Times New Roman"/>
          <w:sz w:val="24"/>
          <w:szCs w:val="24"/>
        </w:rPr>
      </w:pPr>
      <w:r>
        <w:rPr>
          <w:rFonts w:ascii="Times New Roman" w:hAnsi="Times New Roman" w:cs="Times New Roman"/>
          <w:sz w:val="24"/>
          <w:szCs w:val="24"/>
        </w:rPr>
        <w:t xml:space="preserve">Il est important de souligner que l’instrument majeur des investissements pour l’application du SDRIF est le contrat de projet Etat-Région (CPER). Si le PDUIF est programmé par IDFM, son adoption, quant à elle, revient à la région Ile-de-France après concertations des conseils municipaux et départementaux impliqués. Par ailleurs, la déclinaison du PUDUIF à l’échelle </w:t>
      </w:r>
      <w:r w:rsidRPr="0032383B">
        <w:rPr>
          <w:rFonts w:ascii="Times New Roman" w:hAnsi="Times New Roman" w:cs="Times New Roman"/>
          <w:sz w:val="24"/>
          <w:szCs w:val="24"/>
        </w:rPr>
        <w:t>loca</w:t>
      </w:r>
      <w:r w:rsidR="0032383B">
        <w:rPr>
          <w:rFonts w:ascii="Times New Roman" w:hAnsi="Times New Roman" w:cs="Times New Roman"/>
          <w:sz w:val="24"/>
          <w:szCs w:val="24"/>
        </w:rPr>
        <w:t xml:space="preserve">le </w:t>
      </w:r>
      <w:r>
        <w:rPr>
          <w:rFonts w:ascii="Times New Roman" w:hAnsi="Times New Roman" w:cs="Times New Roman"/>
          <w:sz w:val="24"/>
          <w:szCs w:val="24"/>
        </w:rPr>
        <w:t>est un impératif à travers les plans locaux de déplacements. Ceci est spécifié dans l’article L. 1214-30 du code des transports</w:t>
      </w:r>
      <w:r w:rsidRPr="00BD71B9">
        <w:rPr>
          <w:rFonts w:ascii="Times New Roman" w:hAnsi="Times New Roman" w:cs="Times New Roman"/>
          <w:sz w:val="24"/>
          <w:szCs w:val="24"/>
        </w:rPr>
        <w:t>, « le plan de déplacements urbains de la région Île-de-France peut être complété, en certaines de ses parties, par des plans locaux de déplacements (PLD) qui en détaillent et précisent le contenu (...) »</w:t>
      </w:r>
      <w:r w:rsidR="00A8300F">
        <w:rPr>
          <w:rStyle w:val="Appelnotedebasdep"/>
          <w:rFonts w:ascii="Times New Roman" w:hAnsi="Times New Roman" w:cs="Times New Roman"/>
          <w:sz w:val="24"/>
          <w:szCs w:val="24"/>
        </w:rPr>
        <w:footnoteReference w:id="7"/>
      </w:r>
      <w:r w:rsidRPr="00BD71B9">
        <w:rPr>
          <w:rFonts w:ascii="Times New Roman" w:hAnsi="Times New Roman" w:cs="Times New Roman"/>
          <w:sz w:val="24"/>
          <w:szCs w:val="24"/>
        </w:rPr>
        <w:t>.</w:t>
      </w:r>
      <w:r>
        <w:rPr>
          <w:rFonts w:ascii="Times New Roman" w:hAnsi="Times New Roman" w:cs="Times New Roman"/>
          <w:sz w:val="24"/>
          <w:szCs w:val="24"/>
        </w:rPr>
        <w:t xml:space="preserve"> Les PLD, élaborés à l’initiative des établissements publics de coopération intercommunale (EPCI) ou des syndicats mixtes, concrétisent les actions en déterminant les programmes d’actions à court terme sur cinq ans. Ces programmes sont définis par des instances intercommunales associant le conseil régional, les conseils généraux intéressés, l’Etat et IDFM et consultant les représentants des professions et des usagers des transports, les chambres de commerce et d’industrie et les associations agréées de protection de l’environnement. </w:t>
      </w:r>
    </w:p>
    <w:p w14:paraId="075F2654" w14:textId="77777777" w:rsidR="00AF27E8" w:rsidRDefault="00AF27E8" w:rsidP="00AF27E8">
      <w:pPr>
        <w:jc w:val="both"/>
        <w:rPr>
          <w:rFonts w:ascii="Times New Roman" w:hAnsi="Times New Roman" w:cs="Times New Roman"/>
          <w:sz w:val="24"/>
          <w:szCs w:val="24"/>
        </w:rPr>
      </w:pPr>
      <w:r>
        <w:rPr>
          <w:rFonts w:ascii="Times New Roman" w:hAnsi="Times New Roman" w:cs="Times New Roman"/>
          <w:sz w:val="24"/>
          <w:szCs w:val="24"/>
        </w:rPr>
        <w:t>Pour ce nouveau PDUIF, IDFM a fait en sorte qu’un bilan d’application de ses actions et de leurs effets globaux sur les déplacements et l’environnement soit dressé chaque année et non plus comme auparavant tous les cinq ans comme stipulé dans la loi pour l’évaluation des PDU. Dans cette optique, IDFM a créé l’Observatoire de la mobilité en Île-de-France (</w:t>
      </w:r>
      <w:proofErr w:type="spellStart"/>
      <w:r>
        <w:rPr>
          <w:rFonts w:ascii="Times New Roman" w:hAnsi="Times New Roman" w:cs="Times New Roman"/>
          <w:sz w:val="24"/>
          <w:szCs w:val="24"/>
        </w:rPr>
        <w:t>Omnil</w:t>
      </w:r>
      <w:proofErr w:type="spellEnd"/>
      <w:r>
        <w:rPr>
          <w:rFonts w:ascii="Times New Roman" w:hAnsi="Times New Roman" w:cs="Times New Roman"/>
          <w:sz w:val="24"/>
          <w:szCs w:val="24"/>
        </w:rPr>
        <w:t>) chargé de rapporter les informations sur la mobilité requises à ce suivi en continu et de coordonner des enquêtes relative à la mobilité et de son évolution.</w:t>
      </w:r>
    </w:p>
    <w:p w14:paraId="1917A4A2" w14:textId="58DE4E00" w:rsidR="00AF27E8" w:rsidRDefault="00AF27E8" w:rsidP="00AF27E8">
      <w:pPr>
        <w:jc w:val="both"/>
        <w:rPr>
          <w:rFonts w:ascii="Times New Roman" w:hAnsi="Times New Roman" w:cs="Times New Roman"/>
          <w:sz w:val="24"/>
          <w:szCs w:val="24"/>
        </w:rPr>
      </w:pPr>
      <w:r>
        <w:rPr>
          <w:rFonts w:ascii="Times New Roman" w:hAnsi="Times New Roman" w:cs="Times New Roman"/>
          <w:sz w:val="24"/>
          <w:szCs w:val="24"/>
        </w:rPr>
        <w:t xml:space="preserve">Après avoir compris le cadre dans lequel s’inscrit notre étude et identifié les principaux acteurs impliqués, nous nous sommes lancées dans la recherche de nos données pour effectuer la modélisation. Dans la prochaine section, nous présentons les </w:t>
      </w:r>
      <w:r w:rsidR="00343426">
        <w:rPr>
          <w:rFonts w:ascii="Times New Roman" w:hAnsi="Times New Roman" w:cs="Times New Roman"/>
          <w:sz w:val="24"/>
          <w:szCs w:val="24"/>
        </w:rPr>
        <w:t xml:space="preserve">données retenues pour l’étude. </w:t>
      </w:r>
    </w:p>
    <w:p w14:paraId="63632DD0" w14:textId="77777777" w:rsidR="001E3708" w:rsidRDefault="001E3708" w:rsidP="00AF27E8">
      <w:pPr>
        <w:jc w:val="both"/>
        <w:rPr>
          <w:rFonts w:ascii="Times New Roman" w:hAnsi="Times New Roman" w:cs="Times New Roman"/>
          <w:sz w:val="24"/>
          <w:szCs w:val="24"/>
        </w:rPr>
      </w:pPr>
    </w:p>
    <w:p w14:paraId="3B13ACC0" w14:textId="19CF487A" w:rsidR="00AF27E8" w:rsidRPr="001F752D" w:rsidRDefault="00AF27E8" w:rsidP="00E55A18">
      <w:pPr>
        <w:pStyle w:val="Titre1"/>
        <w:numPr>
          <w:ilvl w:val="0"/>
          <w:numId w:val="12"/>
        </w:numPr>
        <w:rPr>
          <w:rFonts w:ascii="Times New Roman" w:hAnsi="Times New Roman" w:cs="Times New Roman"/>
          <w:b/>
          <w:bCs/>
        </w:rPr>
      </w:pPr>
      <w:bookmarkStart w:id="26" w:name="_Toc70937405"/>
      <w:r w:rsidRPr="001F752D">
        <w:rPr>
          <w:rFonts w:ascii="Times New Roman" w:hAnsi="Times New Roman" w:cs="Times New Roman"/>
          <w:b/>
          <w:bCs/>
        </w:rPr>
        <w:t>Données</w:t>
      </w:r>
      <w:bookmarkEnd w:id="26"/>
      <w:r w:rsidRPr="001F752D">
        <w:rPr>
          <w:rFonts w:ascii="Times New Roman" w:hAnsi="Times New Roman" w:cs="Times New Roman"/>
          <w:b/>
          <w:bCs/>
        </w:rPr>
        <w:t xml:space="preserve"> </w:t>
      </w:r>
    </w:p>
    <w:p w14:paraId="7CD709AE" w14:textId="77777777" w:rsidR="00AF27E8" w:rsidRDefault="00AF27E8" w:rsidP="00AF27E8">
      <w:pPr>
        <w:jc w:val="both"/>
        <w:rPr>
          <w:rFonts w:ascii="Times New Roman" w:hAnsi="Times New Roman" w:cs="Times New Roman"/>
          <w:sz w:val="24"/>
          <w:szCs w:val="24"/>
        </w:rPr>
      </w:pPr>
      <w:r w:rsidRPr="002B6805">
        <w:rPr>
          <w:rFonts w:ascii="Times New Roman" w:hAnsi="Times New Roman" w:cs="Times New Roman"/>
          <w:sz w:val="24"/>
          <w:szCs w:val="24"/>
        </w:rPr>
        <w:t xml:space="preserve">Après avoir cerné </w:t>
      </w:r>
      <w:r>
        <w:rPr>
          <w:rFonts w:ascii="Times New Roman" w:hAnsi="Times New Roman" w:cs="Times New Roman"/>
          <w:sz w:val="24"/>
          <w:szCs w:val="24"/>
        </w:rPr>
        <w:t xml:space="preserve">le cadre dans lequel s’inscrit </w:t>
      </w:r>
      <w:r w:rsidRPr="002B6805">
        <w:rPr>
          <w:rFonts w:ascii="Times New Roman" w:hAnsi="Times New Roman" w:cs="Times New Roman"/>
          <w:sz w:val="24"/>
          <w:szCs w:val="24"/>
        </w:rPr>
        <w:t xml:space="preserve">le phénomène que nous voulons étudier, il s’en est suivi une longue </w:t>
      </w:r>
      <w:r>
        <w:rPr>
          <w:rFonts w:ascii="Times New Roman" w:hAnsi="Times New Roman" w:cs="Times New Roman"/>
          <w:sz w:val="24"/>
          <w:szCs w:val="24"/>
        </w:rPr>
        <w:t>période de recherche</w:t>
      </w:r>
      <w:r w:rsidRPr="002B6805">
        <w:rPr>
          <w:rFonts w:ascii="Times New Roman" w:hAnsi="Times New Roman" w:cs="Times New Roman"/>
          <w:sz w:val="24"/>
          <w:szCs w:val="24"/>
        </w:rPr>
        <w:t xml:space="preserve"> pour  trouver les données.</w:t>
      </w:r>
      <w:r>
        <w:rPr>
          <w:rFonts w:ascii="Times New Roman" w:hAnsi="Times New Roman" w:cs="Times New Roman"/>
          <w:sz w:val="24"/>
          <w:szCs w:val="24"/>
        </w:rPr>
        <w:t xml:space="preserve"> Au départ, nous avons écrit aux principaux organismes impliqués dans la mobilité en Île-de-France. Nous avons tout d’abord contacté le Groupement des autorités responsables de transport (GART), la RATP, la SNCF puis Île-de-France Mobilités et enfin l’</w:t>
      </w:r>
      <w:proofErr w:type="spellStart"/>
      <w:r>
        <w:rPr>
          <w:rFonts w:ascii="Times New Roman" w:hAnsi="Times New Roman" w:cs="Times New Roman"/>
          <w:sz w:val="24"/>
          <w:szCs w:val="24"/>
        </w:rPr>
        <w:t>Omnil</w:t>
      </w:r>
      <w:proofErr w:type="spellEnd"/>
      <w:r>
        <w:rPr>
          <w:rFonts w:ascii="Times New Roman" w:hAnsi="Times New Roman" w:cs="Times New Roman"/>
          <w:sz w:val="24"/>
          <w:szCs w:val="24"/>
        </w:rPr>
        <w:t xml:space="preserve">. Dans les premiers moments, nous avons pensé que les </w:t>
      </w:r>
      <w:r>
        <w:rPr>
          <w:rFonts w:ascii="Times New Roman" w:hAnsi="Times New Roman" w:cs="Times New Roman"/>
          <w:sz w:val="24"/>
          <w:szCs w:val="24"/>
        </w:rPr>
        <w:lastRenderedPageBreak/>
        <w:t>bases de données de comptes nationaux de transport vers lesquels nous a redirigé le GART auraient pu nous être utiles. Mais nous avons vite déchanté en constatant que ces données nationales étaient inexploitables pour notre étude car ne disposant pas des variables dont nous aurions besoin et couvrant en plus l’ensemble du territoire. Par ailleurs, le GART nous a également conseillé de consulter sur le site de l’</w:t>
      </w:r>
      <w:proofErr w:type="spellStart"/>
      <w:r>
        <w:rPr>
          <w:rFonts w:ascii="Times New Roman" w:hAnsi="Times New Roman" w:cs="Times New Roman"/>
          <w:sz w:val="24"/>
          <w:szCs w:val="24"/>
        </w:rPr>
        <w:t>Omnil</w:t>
      </w:r>
      <w:proofErr w:type="spellEnd"/>
      <w:r>
        <w:rPr>
          <w:rFonts w:ascii="Times New Roman" w:hAnsi="Times New Roman" w:cs="Times New Roman"/>
          <w:sz w:val="24"/>
          <w:szCs w:val="24"/>
        </w:rPr>
        <w:t xml:space="preserve"> le « Compte déplacements de voyageurs » et les « Transports en commun en chiffre ». Ces données ne nous ont pas convaincu tout de suite, deux principaux facteurs nous dérangeaient, le premier se rapportant à la période beaucoup trop courte à notre avis (20 ans) pour construire un modèle en séries temporelles et le deuxième à notre manque de repère pour l’exploitation de ces données. </w:t>
      </w:r>
    </w:p>
    <w:p w14:paraId="609B406F" w14:textId="77777777" w:rsidR="00AF27E8" w:rsidRDefault="00AF27E8" w:rsidP="00AF27E8">
      <w:pPr>
        <w:jc w:val="both"/>
        <w:rPr>
          <w:rFonts w:ascii="Times New Roman" w:hAnsi="Times New Roman" w:cs="Times New Roman"/>
          <w:sz w:val="24"/>
          <w:szCs w:val="24"/>
        </w:rPr>
      </w:pPr>
      <w:r>
        <w:rPr>
          <w:rFonts w:ascii="Times New Roman" w:hAnsi="Times New Roman" w:cs="Times New Roman"/>
          <w:sz w:val="24"/>
          <w:szCs w:val="24"/>
        </w:rPr>
        <w:t>Les recherches auprès de la RATP n’ont pas été concluantes et de leur côté, la SNCF et Île-de-France Mobilités nous ont également dirigés vers le site d’</w:t>
      </w:r>
      <w:proofErr w:type="spellStart"/>
      <w:r>
        <w:rPr>
          <w:rFonts w:ascii="Times New Roman" w:hAnsi="Times New Roman" w:cs="Times New Roman"/>
          <w:sz w:val="24"/>
          <w:szCs w:val="24"/>
        </w:rPr>
        <w:t>Omnil</w:t>
      </w:r>
      <w:proofErr w:type="spellEnd"/>
      <w:r>
        <w:rPr>
          <w:rFonts w:ascii="Times New Roman" w:hAnsi="Times New Roman" w:cs="Times New Roman"/>
          <w:sz w:val="24"/>
          <w:szCs w:val="24"/>
        </w:rPr>
        <w:t xml:space="preserve"> ne pouvant pas nous apporter leur aide. Nous tenons à souligner que les données que nous demandions se rapportaient aux investissements réalisés dans le cadre de la transition énergétique, les subventions reçus, les recettes provenant de la vente des titres et l’offre de transport. En outre, nous ne nous sommes pas contentées de contacter ces organisations pour trouver les données, nous avons consulté plusieurs sites de bases de données (</w:t>
      </w:r>
      <w:proofErr w:type="spellStart"/>
      <w:r>
        <w:rPr>
          <w:rFonts w:ascii="Times New Roman" w:hAnsi="Times New Roman" w:cs="Times New Roman"/>
          <w:sz w:val="24"/>
          <w:szCs w:val="24"/>
        </w:rPr>
        <w:t>Statista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datagouv</w:t>
      </w:r>
      <w:proofErr w:type="spellEnd"/>
      <w:r>
        <w:rPr>
          <w:rFonts w:ascii="Times New Roman" w:hAnsi="Times New Roman" w:cs="Times New Roman"/>
          <w:sz w:val="24"/>
          <w:szCs w:val="24"/>
        </w:rPr>
        <w:t xml:space="preserve">, Insee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et mêmes celles de la RATP, la SNCF entre autres mais nous ne trouvions rien d’exploitable. Nous nous sommes donc résolues à revenir vers les données du site </w:t>
      </w:r>
      <w:proofErr w:type="spellStart"/>
      <w:r>
        <w:rPr>
          <w:rFonts w:ascii="Times New Roman" w:hAnsi="Times New Roman" w:cs="Times New Roman"/>
          <w:sz w:val="24"/>
          <w:szCs w:val="24"/>
        </w:rPr>
        <w:t>Omnil</w:t>
      </w:r>
      <w:proofErr w:type="spellEnd"/>
      <w:r>
        <w:rPr>
          <w:rFonts w:ascii="Times New Roman" w:hAnsi="Times New Roman" w:cs="Times New Roman"/>
          <w:sz w:val="24"/>
          <w:szCs w:val="24"/>
        </w:rPr>
        <w:t xml:space="preserve"> et avons entrepris de les étudier plus en détail. Cependant, nous hésitions encore à garder cette base à cause de la période de 20 ans. Nous avons adressé un courriel à l’</w:t>
      </w:r>
      <w:proofErr w:type="spellStart"/>
      <w:r>
        <w:rPr>
          <w:rFonts w:ascii="Times New Roman" w:hAnsi="Times New Roman" w:cs="Times New Roman"/>
          <w:sz w:val="24"/>
          <w:szCs w:val="24"/>
        </w:rPr>
        <w:t>Omnil</w:t>
      </w:r>
      <w:proofErr w:type="spellEnd"/>
      <w:r>
        <w:rPr>
          <w:rFonts w:ascii="Times New Roman" w:hAnsi="Times New Roman" w:cs="Times New Roman"/>
          <w:sz w:val="24"/>
          <w:szCs w:val="24"/>
        </w:rPr>
        <w:t xml:space="preserve"> pour obtenir la même base mais sur une période plus étendue mais malheureusement ce courriel est resté sans réponse. Nous avons décidé de garder et d’utiliser cette base « Compte déplacement des voyageurs » de l’</w:t>
      </w:r>
      <w:proofErr w:type="spellStart"/>
      <w:r>
        <w:rPr>
          <w:rFonts w:ascii="Times New Roman" w:hAnsi="Times New Roman" w:cs="Times New Roman"/>
          <w:sz w:val="24"/>
          <w:szCs w:val="24"/>
        </w:rPr>
        <w:t>Omnil</w:t>
      </w:r>
      <w:proofErr w:type="spellEnd"/>
      <w:r>
        <w:rPr>
          <w:rFonts w:ascii="Times New Roman" w:hAnsi="Times New Roman" w:cs="Times New Roman"/>
          <w:sz w:val="24"/>
          <w:szCs w:val="24"/>
        </w:rPr>
        <w:t xml:space="preserve"> et parallèlement, chercher des méthodes qui permettraient de contrer les éventuels problèmes d’estimation que nous pourrions rencontrer par la suite.</w:t>
      </w:r>
    </w:p>
    <w:p w14:paraId="3F03D5A4" w14:textId="2DC0BD87" w:rsidR="00AF27E8" w:rsidRDefault="00AF27E8" w:rsidP="00AF27E8">
      <w:pPr>
        <w:jc w:val="both"/>
        <w:rPr>
          <w:rFonts w:ascii="Times New Roman" w:hAnsi="Times New Roman" w:cs="Times New Roman"/>
          <w:sz w:val="24"/>
          <w:szCs w:val="24"/>
        </w:rPr>
      </w:pPr>
      <w:r>
        <w:rPr>
          <w:rFonts w:ascii="Times New Roman" w:hAnsi="Times New Roman" w:cs="Times New Roman"/>
          <w:sz w:val="24"/>
          <w:szCs w:val="24"/>
        </w:rPr>
        <w:t xml:space="preserve"> Par la suite, en creusant un peu plus sur l’historique de l’Autorité organisatrice des transports en Île-de-France (de nos jours Autorité organisatrice de la mobilité), nous avons trouvé plusieurs informations qui pourraient expliquer pourquoi les </w:t>
      </w:r>
      <w:r w:rsidR="00A1412C">
        <w:rPr>
          <w:rFonts w:ascii="Times New Roman" w:hAnsi="Times New Roman" w:cs="Times New Roman"/>
          <w:sz w:val="24"/>
          <w:szCs w:val="24"/>
        </w:rPr>
        <w:t>données</w:t>
      </w:r>
      <w:r>
        <w:rPr>
          <w:rFonts w:ascii="Times New Roman" w:hAnsi="Times New Roman" w:cs="Times New Roman"/>
          <w:sz w:val="24"/>
          <w:szCs w:val="24"/>
        </w:rPr>
        <w:t xml:space="preserve"> disponibles ne le sont qu’à partir de l’année 2000. En effet, le 6 juillet 2000 met fin au système d’équilibre a posteriori auquel était soumis l’Autorité organisatrice lui exigeant de compenser les pertes des exploitants à la fin de l’exercice. Depuis lors, le Syndicat des transports publics (le nom de l’Autorité organisatrice à l’époque) s’engage dans des contrats quadriennaux avec les entreprises publiques exploitantes, ces derniers précisent l’offre et la qualité de service qui leur sont exigées. Cette année marque le début de la série des contrats quadriennaux signés entre l’Autorité Organisatrice des transports et ses exploitants (RATP et SNCF principalement).  Enfin, une réforme effectuée cette </w:t>
      </w:r>
      <w:r w:rsidR="00A1412C">
        <w:rPr>
          <w:rFonts w:ascii="Times New Roman" w:hAnsi="Times New Roman" w:cs="Times New Roman"/>
          <w:sz w:val="24"/>
          <w:szCs w:val="24"/>
        </w:rPr>
        <w:t>année-là</w:t>
      </w:r>
      <w:r>
        <w:rPr>
          <w:rFonts w:ascii="Times New Roman" w:hAnsi="Times New Roman" w:cs="Times New Roman"/>
          <w:sz w:val="24"/>
          <w:szCs w:val="24"/>
        </w:rPr>
        <w:t xml:space="preserve"> transforme le statut du STP en un établissement public à caractère administratif et la Région d’Ile-de-France fait son entrée au Conseil d’administration. Le STP cède sa place ainsi au Syndicat des transports d’Ile-de-France, le STIF (le14 décembre 2000</w:t>
      </w:r>
      <w:r w:rsidRPr="0057605C">
        <w:rPr>
          <w:rFonts w:ascii="Times New Roman" w:hAnsi="Times New Roman" w:cs="Times New Roman"/>
          <w:sz w:val="24"/>
          <w:szCs w:val="24"/>
        </w:rPr>
        <w:t xml:space="preserve">, </w:t>
      </w:r>
      <w:r w:rsidRPr="0057605C">
        <w:rPr>
          <w:rFonts w:ascii="Times New Roman" w:hAnsi="Times New Roman" w:cs="Times New Roman"/>
          <w:sz w:val="24"/>
          <w:szCs w:val="24"/>
          <w:shd w:val="clear" w:color="auto" w:fill="FFFFFF"/>
        </w:rPr>
        <w:t>en application de la loi </w:t>
      </w:r>
      <w:r w:rsidRPr="0057605C">
        <w:rPr>
          <w:rFonts w:ascii="Times New Roman" w:hAnsi="Times New Roman" w:cs="Times New Roman"/>
          <w:sz w:val="24"/>
          <w:szCs w:val="24"/>
        </w:rPr>
        <w:t>n</w:t>
      </w:r>
      <w:r w:rsidRPr="0057605C">
        <w:rPr>
          <w:rFonts w:ascii="Times New Roman" w:hAnsi="Times New Roman" w:cs="Times New Roman"/>
          <w:sz w:val="24"/>
          <w:szCs w:val="24"/>
          <w:vertAlign w:val="superscript"/>
        </w:rPr>
        <w:t>o</w:t>
      </w:r>
      <w:r w:rsidRPr="0057605C">
        <w:rPr>
          <w:rFonts w:ascii="Times New Roman" w:hAnsi="Times New Roman" w:cs="Times New Roman"/>
          <w:sz w:val="24"/>
          <w:szCs w:val="24"/>
          <w:shd w:val="clear" w:color="auto" w:fill="FFFFFF"/>
        </w:rPr>
        <w:t> 2000-1208 du </w:t>
      </w:r>
      <w:r w:rsidRPr="0057605C">
        <w:rPr>
          <w:rFonts w:ascii="Times New Roman" w:hAnsi="Times New Roman" w:cs="Times New Roman"/>
          <w:sz w:val="24"/>
          <w:szCs w:val="24"/>
        </w:rPr>
        <w:t>13 décembre 2000</w:t>
      </w:r>
      <w:r w:rsidRPr="0057605C">
        <w:rPr>
          <w:rFonts w:ascii="Times New Roman" w:hAnsi="Times New Roman" w:cs="Times New Roman"/>
          <w:sz w:val="24"/>
          <w:szCs w:val="24"/>
          <w:shd w:val="clear" w:color="auto" w:fill="FFFFFF"/>
        </w:rPr>
        <w:t> relative à la solidarité et au renouvellement urbains, dite loi</w:t>
      </w:r>
      <w:r>
        <w:rPr>
          <w:rFonts w:ascii="Times New Roman" w:hAnsi="Times New Roman" w:cs="Times New Roman"/>
          <w:sz w:val="24"/>
          <w:szCs w:val="24"/>
          <w:shd w:val="clear" w:color="auto" w:fill="FFFFFF"/>
        </w:rPr>
        <w:t xml:space="preserve"> SRU</w:t>
      </w:r>
      <w:r>
        <w:rPr>
          <w:rFonts w:ascii="Times New Roman" w:hAnsi="Times New Roman" w:cs="Times New Roman"/>
          <w:sz w:val="24"/>
          <w:szCs w:val="24"/>
        </w:rPr>
        <w:t xml:space="preserve">). Nous tenons également à ajouter que ce n’est qu’en 1991 que la compétence de l’Autorité organisatrice des transports n’est étendue à tout le territoire d’Ile-de-France pour couvrir tous les départements (des Hauts de Seine, de la Seine St Denis, , du Val de Marne, de l’Essonne, des Yvelines du Val d’Oise et de Seine-et-Marne). </w:t>
      </w:r>
    </w:p>
    <w:p w14:paraId="1127BCF6" w14:textId="122DF159" w:rsidR="00AF27E8" w:rsidRDefault="00AF27E8" w:rsidP="00AF27E8">
      <w:pPr>
        <w:jc w:val="both"/>
        <w:rPr>
          <w:rFonts w:ascii="Times New Roman" w:hAnsi="Times New Roman" w:cs="Times New Roman"/>
          <w:sz w:val="24"/>
          <w:szCs w:val="24"/>
        </w:rPr>
      </w:pPr>
      <w:r>
        <w:rPr>
          <w:rFonts w:ascii="Times New Roman" w:hAnsi="Times New Roman" w:cs="Times New Roman"/>
          <w:sz w:val="24"/>
          <w:szCs w:val="24"/>
        </w:rPr>
        <w:lastRenderedPageBreak/>
        <w:t>Les données du « Compte déplacements des voyageurs »</w:t>
      </w:r>
      <w:r w:rsidR="000E2199">
        <w:rPr>
          <w:rStyle w:val="Appelnotedebasdep"/>
          <w:rFonts w:ascii="Times New Roman" w:hAnsi="Times New Roman" w:cs="Times New Roman"/>
          <w:sz w:val="24"/>
          <w:szCs w:val="24"/>
        </w:rPr>
        <w:footnoteReference w:id="8"/>
      </w:r>
      <w:r>
        <w:rPr>
          <w:rFonts w:ascii="Times New Roman" w:hAnsi="Times New Roman" w:cs="Times New Roman"/>
          <w:sz w:val="24"/>
          <w:szCs w:val="24"/>
        </w:rPr>
        <w:t xml:space="preserve"> disponibles dans la section Chiffres détaillés sur le site de l’</w:t>
      </w:r>
      <w:proofErr w:type="spellStart"/>
      <w:r>
        <w:rPr>
          <w:rFonts w:ascii="Times New Roman" w:hAnsi="Times New Roman" w:cs="Times New Roman"/>
          <w:sz w:val="24"/>
          <w:szCs w:val="24"/>
        </w:rPr>
        <w:t>Omnil</w:t>
      </w:r>
      <w:proofErr w:type="spellEnd"/>
      <w:r>
        <w:rPr>
          <w:rFonts w:ascii="Times New Roman" w:hAnsi="Times New Roman" w:cs="Times New Roman"/>
          <w:sz w:val="24"/>
          <w:szCs w:val="24"/>
        </w:rPr>
        <w:t xml:space="preserve"> se décomposent en quatre postes : les données sur « les dépenses des collectivités pour la voirie » ; celles sur « les recettes tarifaires, les concours publics pour le fonctionnement et les taxes affectées à Île-de-France Mobilités pour les transports collectifs » ; celles sur « les dépenses d’investissements pour les transports collectifs » et celles sur « les dépenses globales pour les transports collectifs ». Nous ne retiendrons dans cette section que ces trois derniers postes puisqu’ils regroupent l’essentiel des données d’Île-de-France Mobilités tandis que le premier poste se rapporte aux dépenses pour l’entretien, l’exploitation de la voierie et les charges de personnel associées et n’a pas de rapport direct au transport collectif. Ces dernières sont financées par l’Etat, la Région Île-de-France, les départements et les communes ou EPCI. L’Etat, les départements et les communes ou EPCI, sont donc responsables des opérations d’investissement en tant que maîtres d’ouvrage et gestionnaires de voierie. </w:t>
      </w:r>
    </w:p>
    <w:p w14:paraId="3C88EEAD" w14:textId="5B93BE49" w:rsidR="00AF27E8" w:rsidRDefault="00AF27E8" w:rsidP="00AF27E8">
      <w:pPr>
        <w:jc w:val="both"/>
      </w:pPr>
      <w:r>
        <w:rPr>
          <w:rFonts w:ascii="Times New Roman" w:hAnsi="Times New Roman" w:cs="Times New Roman"/>
          <w:sz w:val="24"/>
          <w:szCs w:val="24"/>
        </w:rPr>
        <w:t xml:space="preserve">Les recettes tarifaires, les concours publics pour le fonctionnement et les taxes affectées à Île-de-France Mobilités pour les transports collectifs sont en euros courants pour la période 2000-2019 et représentent les ressources de fonctionnement par année. S’agissant d’un établissement public qui se doit d’assurer un équilibre dans son budget, ces ressources recouvrent les dépenses de fonctionnement pour les transports collectifs qui couvrent les charges de personnel, d’énergie, de matières et autres charges externes, les frais financiers relatifs aux emprunts, les impôts et les taxes … Ces dépenses sont majoritairement financées par les voyageurs et les employeurs au travers de la vente des titres et le versement transport, et par les collectivités publiques. Quant aux dépenses d’investissement pour les transports collectifs, elles couvrent celles effectuées pour l’extension des réseaux, la modernisation et le maintien du patrimoine et celles consacrées au matériel roulant. Les investissements sont financés soit par des subventions des collectivités publiques (Etat, Région et Départements et dans ce cas rentrent dans le cadre des contrats CPER, contrats inscrivant les projets de construction ou d’extension des infrastructures en Île-de-France), soit par la prise en charge de l’amortissement des dépenses d’investissement assumées par les opérateurs. Dans ce cas-là, les amortissements et les remboursements d’emprunts s’ajoutent par conséquent aux coûts d’exploitation rémunérés conformément aux contrats entre Île-de-France et ses exploitants. </w:t>
      </w:r>
      <w:r w:rsidR="00343426">
        <w:rPr>
          <w:rFonts w:ascii="Times New Roman" w:hAnsi="Times New Roman" w:cs="Times New Roman"/>
          <w:sz w:val="24"/>
          <w:szCs w:val="24"/>
        </w:rPr>
        <w:t>Enfin,</w:t>
      </w:r>
      <w:r>
        <w:rPr>
          <w:rFonts w:ascii="Times New Roman" w:hAnsi="Times New Roman" w:cs="Times New Roman"/>
          <w:sz w:val="24"/>
          <w:szCs w:val="24"/>
        </w:rPr>
        <w:t xml:space="preserve"> quant aux dépenses globales, elles renvoient à la somme des dépenses de fonctionnement et d’investissement, de laquelle est déduit l’amortissement (les dotations aux amortissements représentant à la fois des dépenses de fonctionnement et des ressources d’investissement, il faut faire attention à ne les comptabiliser qu’une seule fois pour éviter les doubles comptes).</w:t>
      </w:r>
    </w:p>
    <w:p w14:paraId="6AF3DC71" w14:textId="11F53481" w:rsidR="00AF27E8" w:rsidRPr="00A67D27" w:rsidRDefault="00AF27E8" w:rsidP="00AF27E8">
      <w:pPr>
        <w:jc w:val="both"/>
        <w:rPr>
          <w:rFonts w:ascii="Times New Roman" w:eastAsia="Times New Roman" w:hAnsi="Times New Roman" w:cs="Times New Roman"/>
          <w:color w:val="000000"/>
          <w:sz w:val="24"/>
          <w:szCs w:val="24"/>
          <w:lang w:eastAsia="fr-FR"/>
        </w:rPr>
      </w:pPr>
      <w:r w:rsidRPr="00071AD5">
        <w:rPr>
          <w:rFonts w:ascii="Times New Roman" w:eastAsia="Times New Roman" w:hAnsi="Times New Roman" w:cs="Times New Roman"/>
          <w:color w:val="000000"/>
          <w:sz w:val="24"/>
          <w:szCs w:val="24"/>
          <w:lang w:eastAsia="fr-FR"/>
        </w:rPr>
        <w:t xml:space="preserve">Maintenant que nous disposons de la base de données </w:t>
      </w:r>
      <w:r>
        <w:rPr>
          <w:rFonts w:ascii="Times New Roman" w:eastAsia="Times New Roman" w:hAnsi="Times New Roman" w:cs="Times New Roman"/>
          <w:color w:val="000000"/>
          <w:sz w:val="24"/>
          <w:szCs w:val="24"/>
          <w:lang w:eastAsia="fr-FR"/>
        </w:rPr>
        <w:t>qui sera utilisée pour réaliser la modélisation, nous devons extraire de cette base les variables pour la construction de notre modèle. Dans la section suivante, nous discuterons de la pertinence de considérer la rentabilité d’un service public, exposerons les variables retenues et apporterons des éléments justifiant le choix de nos variab</w:t>
      </w:r>
      <w:r w:rsidR="00A67D27">
        <w:rPr>
          <w:rFonts w:ascii="Times New Roman" w:eastAsia="Times New Roman" w:hAnsi="Times New Roman" w:cs="Times New Roman"/>
          <w:color w:val="000000"/>
          <w:sz w:val="24"/>
          <w:szCs w:val="24"/>
          <w:lang w:eastAsia="fr-FR"/>
        </w:rPr>
        <w:t xml:space="preserve">les. </w:t>
      </w:r>
    </w:p>
    <w:p w14:paraId="285CDC27" w14:textId="524BAB8A" w:rsidR="00AF27E8" w:rsidRPr="001F752D" w:rsidRDefault="00AF27E8" w:rsidP="00E55A18">
      <w:pPr>
        <w:pStyle w:val="Titre1"/>
        <w:numPr>
          <w:ilvl w:val="0"/>
          <w:numId w:val="12"/>
        </w:numPr>
        <w:rPr>
          <w:rFonts w:ascii="Times New Roman" w:hAnsi="Times New Roman" w:cs="Times New Roman"/>
          <w:b/>
          <w:bCs/>
        </w:rPr>
      </w:pPr>
      <w:bookmarkStart w:id="27" w:name="_Toc70937406"/>
      <w:r w:rsidRPr="001F752D">
        <w:rPr>
          <w:rFonts w:ascii="Times New Roman" w:hAnsi="Times New Roman" w:cs="Times New Roman"/>
          <w:b/>
          <w:bCs/>
        </w:rPr>
        <w:lastRenderedPageBreak/>
        <w:t>Choix des variables</w:t>
      </w:r>
      <w:bookmarkEnd w:id="27"/>
    </w:p>
    <w:p w14:paraId="0D769CD0" w14:textId="77777777" w:rsidR="00AF27E8" w:rsidRDefault="00AF27E8" w:rsidP="00AF27E8">
      <w:pPr>
        <w:jc w:val="both"/>
        <w:rPr>
          <w:rFonts w:ascii="Times New Roman" w:hAnsi="Times New Roman" w:cs="Times New Roman"/>
          <w:sz w:val="24"/>
          <w:szCs w:val="24"/>
        </w:rPr>
      </w:pPr>
      <w:r w:rsidRPr="006A4DD1">
        <w:rPr>
          <w:rFonts w:ascii="Times New Roman" w:hAnsi="Times New Roman" w:cs="Times New Roman"/>
          <w:sz w:val="24"/>
          <w:szCs w:val="24"/>
        </w:rPr>
        <w:t xml:space="preserve">Pour procéder à </w:t>
      </w:r>
      <w:r>
        <w:rPr>
          <w:rFonts w:ascii="Times New Roman" w:hAnsi="Times New Roman" w:cs="Times New Roman"/>
          <w:sz w:val="24"/>
          <w:szCs w:val="24"/>
        </w:rPr>
        <w:t>une analyse empirique de l’impact des politiques publiques en matière de transition énergétique sur la rentabilité du secteur du transport public, nous devons parvenir à opérationnaliser les variables avec lesquelles nous construirons notre modèle. Le choix des variables n’a pas été une tâche facile. Nous avons rencontré de nombreuses difficultés quant à la détermination de la variable de rentabilité pour l’activité de transport collectif organisé par Île-de-France Mobilités. Nous avons rencontré de l’incompréhension et des réticences quant à notre volonté de construire un modèle faisant intervenir la rentabilité d’un service public. Et nous le comprenons tout à fait car la vision du service public qui a longtemps dominé et qui demeure encore aujourd’hui est la vocation non rentable du service public. Mais nous tenons à souligner que l’objectif de notre étude ne se réfère pas à une rentabilité pure au sens comptable mais une rentabilité qui assurerait la pérennité d’une activité dans laquelle des fonds publics conséquents sont investis.</w:t>
      </w:r>
    </w:p>
    <w:p w14:paraId="1A6A8678" w14:textId="3699B1DE" w:rsidR="00AF27E8" w:rsidRDefault="00AF27E8" w:rsidP="00AF27E8">
      <w:pPr>
        <w:jc w:val="both"/>
        <w:rPr>
          <w:rFonts w:ascii="Times New Roman" w:hAnsi="Times New Roman" w:cs="Times New Roman"/>
          <w:sz w:val="24"/>
          <w:szCs w:val="24"/>
        </w:rPr>
      </w:pPr>
      <w:r>
        <w:rPr>
          <w:rFonts w:ascii="Times New Roman" w:hAnsi="Times New Roman" w:cs="Times New Roman"/>
          <w:sz w:val="24"/>
          <w:szCs w:val="24"/>
        </w:rPr>
        <w:t xml:space="preserve"> Ce qui nous a particulièrement marquée dans nos recherches pour déterminer notre variable dépendante, la rentabilité, c’est que nous trouvions des rapports d’évaluation de rentabilité socio-économiques des projets de transports collectifs. En effet, avant la mise en œuvre de projets de transport, ces derniers sont soumis à des études de rentabilité socio-économique pour déterminer leur viabilité. C’est d’ailleurs une obligation qui est prescrite dans l’article 14 de la loi LOTI qui stipule que « </w:t>
      </w:r>
      <w:r w:rsidRPr="006864B7">
        <w:rPr>
          <w:rFonts w:ascii="Times New Roman" w:hAnsi="Times New Roman" w:cs="Times New Roman"/>
          <w:i/>
          <w:iCs/>
          <w:sz w:val="24"/>
          <w:szCs w:val="24"/>
        </w:rPr>
        <w:t>le choix des projets de transport collectif financés par des fonds publics doit se fonder sur leur efficacité économique et sociale, c’est-à-dire la comparaison entre leur coût budgétaire et leur impact financier et non financier pour la collectivité, y compris par exemple, les gains de temps pour les habitants usagers et les effets sur l’environnement </w:t>
      </w:r>
      <w:r>
        <w:rPr>
          <w:rFonts w:ascii="Times New Roman" w:hAnsi="Times New Roman" w:cs="Times New Roman"/>
          <w:sz w:val="24"/>
          <w:szCs w:val="24"/>
        </w:rPr>
        <w:t>». En nous référant ainsi à cet article, nous trouvons cela vraiment intriguant que cela soit aussi peu accepté de discuter de rentabilité d’un service public, en sachant que nous ne prévoyons pas de nous limiter à l’aspect uniquement financier de la question. Pourquoi est-il acceptable de déterminer la rentabilité socio-économique d’un projet ex-ante et si discutable d’étudier si les fonds investis permettent-ils réellement de soutenir la longévité de l’activité, sans pour autant à avoir une charge de la dette beaucoup trop importante. C’est ainsi qu’un rapport d’</w:t>
      </w:r>
      <w:r w:rsidR="006B3164">
        <w:rPr>
          <w:rFonts w:ascii="Times New Roman" w:hAnsi="Times New Roman" w:cs="Times New Roman"/>
          <w:sz w:val="24"/>
          <w:szCs w:val="24"/>
        </w:rPr>
        <w:t>Île-de-France</w:t>
      </w:r>
      <w:r>
        <w:rPr>
          <w:rFonts w:ascii="Times New Roman" w:hAnsi="Times New Roman" w:cs="Times New Roman"/>
          <w:sz w:val="24"/>
          <w:szCs w:val="24"/>
        </w:rPr>
        <w:t xml:space="preserve"> Mobilité, Table Ronde du 7 mars 2017, fait mention de</w:t>
      </w:r>
      <w:r w:rsidR="00D95442">
        <w:rPr>
          <w:rFonts w:ascii="Times New Roman" w:hAnsi="Times New Roman" w:cs="Times New Roman"/>
          <w:sz w:val="24"/>
          <w:szCs w:val="24"/>
        </w:rPr>
        <w:t xml:space="preserve"> ses</w:t>
      </w:r>
      <w:r>
        <w:rPr>
          <w:rFonts w:ascii="Times New Roman" w:hAnsi="Times New Roman" w:cs="Times New Roman"/>
          <w:sz w:val="24"/>
          <w:szCs w:val="24"/>
        </w:rPr>
        <w:t xml:space="preserve"> difficultés </w:t>
      </w:r>
      <w:r w:rsidR="00991D46">
        <w:rPr>
          <w:rFonts w:ascii="Times New Roman" w:hAnsi="Times New Roman" w:cs="Times New Roman"/>
          <w:sz w:val="24"/>
          <w:szCs w:val="24"/>
        </w:rPr>
        <w:t>pour</w:t>
      </w:r>
      <w:r>
        <w:rPr>
          <w:rFonts w:ascii="Times New Roman" w:hAnsi="Times New Roman" w:cs="Times New Roman"/>
          <w:sz w:val="24"/>
          <w:szCs w:val="24"/>
        </w:rPr>
        <w:t xml:space="preserve"> financer son programme d’investissement ambitieux lié au matériel roulant la conduisant ainsi pour la période 2013-2015 a multiplié par 4 son encours de dette. Île-de-France Mobilités n’a pas manqué de souligner une baisse de ses ratios de solvabilité financière sur la même période, sa capacité d’autofinancement diminuant de moitié. </w:t>
      </w:r>
    </w:p>
    <w:p w14:paraId="03B57833" w14:textId="7744BE1C" w:rsidR="00AF27E8" w:rsidRDefault="00AF27E8" w:rsidP="00AF27E8">
      <w:pPr>
        <w:jc w:val="both"/>
        <w:rPr>
          <w:rFonts w:ascii="Times New Roman" w:hAnsi="Times New Roman" w:cs="Times New Roman"/>
          <w:sz w:val="24"/>
          <w:szCs w:val="24"/>
        </w:rPr>
      </w:pPr>
      <w:r>
        <w:rPr>
          <w:rFonts w:ascii="Times New Roman" w:hAnsi="Times New Roman" w:cs="Times New Roman"/>
          <w:sz w:val="24"/>
          <w:szCs w:val="24"/>
        </w:rPr>
        <w:t xml:space="preserve">Nous pouvons ainsi remarquer que même si ex-post les services publics se refusent à employer le terme rentabilité, ils font quand même référence à d’autres indicateurs de performance liés à l’optimisation de l’investissement et du fonctionnement pour absorber la baisse des dotations. Ils emploient les termes </w:t>
      </w:r>
      <w:r w:rsidR="00BE698D">
        <w:rPr>
          <w:rFonts w:ascii="Times New Roman" w:hAnsi="Times New Roman" w:cs="Times New Roman"/>
          <w:sz w:val="24"/>
          <w:szCs w:val="24"/>
        </w:rPr>
        <w:t>coût</w:t>
      </w:r>
      <w:r>
        <w:rPr>
          <w:rFonts w:ascii="Times New Roman" w:hAnsi="Times New Roman" w:cs="Times New Roman"/>
          <w:sz w:val="24"/>
          <w:szCs w:val="24"/>
        </w:rPr>
        <w:t xml:space="preserve"> du service, retour sur investissement, efficience, tarifications… Se baser ainsi majoritairement sur les externalités positives non quantifiables liées aux activités ne garantit en rien la pérennité de ces dernières qui doivent ainsi être soumises à évaluation. Un indicateur de rentabilité ex-post permettrait ainsi d’identifier les investissements qui ont le moins d’impact sur les dépenses de fonctionnement à court, moyen et long terme mais aussi des leviers à mêmes de sauvegarder les services et améliorer leur solvabilité financière, comme jouer sur la tarification. </w:t>
      </w:r>
      <w:r>
        <w:rPr>
          <w:rFonts w:ascii="Times New Roman" w:hAnsi="Times New Roman" w:cs="Times New Roman"/>
          <w:sz w:val="24"/>
          <w:szCs w:val="24"/>
        </w:rPr>
        <w:lastRenderedPageBreak/>
        <w:t>Toujours dans le Rapport Table Ronde du 7 mars 2017, nous pouvons constater que même si la part des voyageurs dans le financement des transports collectifs (le taux de couverture des dépenses par les franciliens est passé de 31% à 27% sur la période 2001/2005) a diminué, il n’empêche que de 2001 à 2015, la tarification usager moyenne a cru d’environ 3% par an.</w:t>
      </w:r>
    </w:p>
    <w:p w14:paraId="63D0DE65" w14:textId="061D7C50" w:rsidR="00AF27E8" w:rsidRDefault="00AF27E8" w:rsidP="00AF27E8">
      <w:pPr>
        <w:jc w:val="both"/>
        <w:rPr>
          <w:rFonts w:ascii="Times New Roman" w:hAnsi="Times New Roman" w:cs="Times New Roman"/>
          <w:sz w:val="24"/>
          <w:szCs w:val="24"/>
        </w:rPr>
      </w:pPr>
      <w:r>
        <w:rPr>
          <w:rFonts w:ascii="Times New Roman" w:hAnsi="Times New Roman" w:cs="Times New Roman"/>
          <w:sz w:val="24"/>
          <w:szCs w:val="24"/>
        </w:rPr>
        <w:t>Pourtant, la crainte de la réduction du service public engendré par la poursuite d’une rentabilité est infondée car l’intérêt général demeure au cœur des préoccupations des collectivités et motive le service public. Ces collectivités ne sont pas à la recherche d’une rentabilité financière pure mais à limiter au maximum l’impact des dépenses sur leur fonctionnement pour préserver le service public. La révision des tarifs, l’évaluation du coût des services, la rationalisation des procédures sont autant de stratégies adoptées pour contrer la baisse des dotations. Cette dynamique de gestion rationnelle des activités menées par les collectivités locales trouve écho dans les textes de lois qui prescrivent les études d’impact des opérations d’investissement. C’est le cas de la loi NOTRE portant sur de nouvelles dispositions prévoyant « une étude d’impact pluriannuel des opérations exceptionnelles d’investissement sur les dépense de fonctionnement ». Ces dispositions sont reprises dans l’article L.1611-9 du CGCT</w:t>
      </w:r>
      <w:r w:rsidR="007E0448">
        <w:rPr>
          <w:rFonts w:ascii="Times New Roman" w:hAnsi="Times New Roman" w:cs="Times New Roman"/>
          <w:sz w:val="24"/>
          <w:szCs w:val="24"/>
        </w:rPr>
        <w:t xml:space="preserve"> (Code général des collectivités territoriales) </w:t>
      </w:r>
      <w:r>
        <w:rPr>
          <w:rFonts w:ascii="Times New Roman" w:hAnsi="Times New Roman" w:cs="Times New Roman"/>
          <w:sz w:val="24"/>
          <w:szCs w:val="24"/>
        </w:rPr>
        <w:t xml:space="preserve"> et visent à interdire  « les investissements disproportionnés par rapport à la taille et aux capacités financières  de certaines collectivités, conduites à ignorer l’impact de ces décisions sur l’augmentation de leurs charges de fonctionnement ». </w:t>
      </w:r>
    </w:p>
    <w:p w14:paraId="5EF0A66D" w14:textId="61FF8D8F" w:rsidR="00AF27E8" w:rsidRDefault="00AF27E8" w:rsidP="00AF27E8">
      <w:pPr>
        <w:jc w:val="both"/>
        <w:rPr>
          <w:rFonts w:ascii="Times New Roman" w:hAnsi="Times New Roman" w:cs="Times New Roman"/>
          <w:sz w:val="24"/>
          <w:szCs w:val="24"/>
        </w:rPr>
      </w:pPr>
      <w:r>
        <w:rPr>
          <w:rFonts w:ascii="Times New Roman" w:hAnsi="Times New Roman" w:cs="Times New Roman"/>
          <w:sz w:val="24"/>
          <w:szCs w:val="24"/>
        </w:rPr>
        <w:t>Tous ces éléments nous conduisent ainsi à considérer</w:t>
      </w:r>
      <w:r w:rsidR="00F02094">
        <w:rPr>
          <w:rFonts w:ascii="Times New Roman" w:hAnsi="Times New Roman" w:cs="Times New Roman"/>
          <w:sz w:val="24"/>
          <w:szCs w:val="24"/>
        </w:rPr>
        <w:t xml:space="preserve"> que</w:t>
      </w:r>
      <w:r>
        <w:rPr>
          <w:rFonts w:ascii="Times New Roman" w:hAnsi="Times New Roman" w:cs="Times New Roman"/>
          <w:sz w:val="24"/>
          <w:szCs w:val="24"/>
        </w:rPr>
        <w:t xml:space="preserve"> la rentabilité d’un service public n’est pas une aberration et peut totalement être envisagée tant qu’il ne réfère pas à une rentabilité financière pure au sens comptable. La variable dépendante retenue pour notre modèle est donc la rentabilité et plus tard nous élaborerons sur la construction de son ratio compte tenu des variables dont nous disposons. La variable indépendante représente les dépenses d’investissement en matériel roulant. Par ailleurs, deux variables dites de contrôle seront introduites dans le modèle afin de tenir compte d’autres facteurs qui peuvent influencer la rentabilité de ce service. Il s’agit de l’Offre commerciale réalisée et les Concours publics. Nous nous consacrerons ainsi dans cette section à la justification du choix de nos variables pour la modélisation. </w:t>
      </w:r>
    </w:p>
    <w:p w14:paraId="512D865A" w14:textId="77777777" w:rsidR="00AF27E8" w:rsidRPr="005F018A" w:rsidRDefault="00AF27E8" w:rsidP="00AF27E8">
      <w:pPr>
        <w:jc w:val="both"/>
        <w:rPr>
          <w:rFonts w:ascii="Times New Roman" w:hAnsi="Times New Roman" w:cs="Times New Roman"/>
          <w:sz w:val="24"/>
          <w:szCs w:val="24"/>
        </w:rPr>
      </w:pPr>
    </w:p>
    <w:p w14:paraId="3172F2CD" w14:textId="027F5433" w:rsidR="00AF27E8" w:rsidRPr="005F13FF" w:rsidRDefault="00AF27E8" w:rsidP="00E55A18">
      <w:pPr>
        <w:pStyle w:val="Titre2"/>
        <w:numPr>
          <w:ilvl w:val="1"/>
          <w:numId w:val="12"/>
        </w:numPr>
        <w:rPr>
          <w:rFonts w:ascii="Times New Roman" w:hAnsi="Times New Roman" w:cs="Times New Roman"/>
          <w:b/>
          <w:bCs/>
        </w:rPr>
      </w:pPr>
      <w:bookmarkStart w:id="28" w:name="_Toc70937407"/>
      <w:r w:rsidRPr="005F13FF">
        <w:rPr>
          <w:rFonts w:ascii="Times New Roman" w:hAnsi="Times New Roman" w:cs="Times New Roman"/>
          <w:b/>
          <w:bCs/>
        </w:rPr>
        <w:t>Rentabilité économique : Variable dépendante</w:t>
      </w:r>
      <w:bookmarkEnd w:id="28"/>
    </w:p>
    <w:p w14:paraId="21D976EB" w14:textId="7EE60431" w:rsidR="00AF27E8" w:rsidRPr="00E34767" w:rsidRDefault="00AF27E8" w:rsidP="00AF27E8">
      <w:pPr>
        <w:jc w:val="both"/>
        <w:rPr>
          <w:rFonts w:ascii="Times New Roman" w:hAnsi="Times New Roman" w:cs="Times New Roman"/>
          <w:sz w:val="24"/>
          <w:szCs w:val="24"/>
        </w:rPr>
      </w:pPr>
      <w:r>
        <w:rPr>
          <w:rFonts w:ascii="Times New Roman" w:hAnsi="Times New Roman" w:cs="Times New Roman"/>
          <w:sz w:val="24"/>
          <w:szCs w:val="24"/>
        </w:rPr>
        <w:t>Aucun ratio de rentabilité pour le service de transport collectif n’est disponible sur le site de l’</w:t>
      </w:r>
      <w:proofErr w:type="spellStart"/>
      <w:r>
        <w:rPr>
          <w:rFonts w:ascii="Times New Roman" w:hAnsi="Times New Roman" w:cs="Times New Roman"/>
          <w:sz w:val="24"/>
          <w:szCs w:val="24"/>
        </w:rPr>
        <w:t>Omnil</w:t>
      </w:r>
      <w:proofErr w:type="spellEnd"/>
      <w:r>
        <w:rPr>
          <w:rFonts w:ascii="Times New Roman" w:hAnsi="Times New Roman" w:cs="Times New Roman"/>
          <w:sz w:val="24"/>
          <w:szCs w:val="24"/>
        </w:rPr>
        <w:t>. Nous avons également consulté des recueils de statistiques élaborés par l’</w:t>
      </w:r>
      <w:proofErr w:type="spellStart"/>
      <w:r>
        <w:rPr>
          <w:rFonts w:ascii="Times New Roman" w:hAnsi="Times New Roman" w:cs="Times New Roman"/>
          <w:sz w:val="24"/>
          <w:szCs w:val="24"/>
        </w:rPr>
        <w:t>Omnil</w:t>
      </w:r>
      <w:proofErr w:type="spellEnd"/>
      <w:r>
        <w:rPr>
          <w:rFonts w:ascii="Times New Roman" w:hAnsi="Times New Roman" w:cs="Times New Roman"/>
          <w:sz w:val="24"/>
          <w:szCs w:val="24"/>
        </w:rPr>
        <w:t xml:space="preserve"> de 2005 et de 2011 « Les transports en commun en chiffres », le Rapport d’activité d’Île-de-France Mobilités datant de 2015 ; les budgets primitifs, les comptes et les rapports financiers, les comptes de gestion d’Île-de-France Mobilités disponibles sur son site dans la section « Informations investisseurs »</w:t>
      </w:r>
      <w:r w:rsidR="006B3164">
        <w:rPr>
          <w:rStyle w:val="Appelnotedebasdep"/>
          <w:rFonts w:ascii="Times New Roman" w:hAnsi="Times New Roman" w:cs="Times New Roman"/>
          <w:sz w:val="24"/>
          <w:szCs w:val="24"/>
        </w:rPr>
        <w:footnoteReference w:id="9"/>
      </w:r>
      <w:r>
        <w:rPr>
          <w:rFonts w:ascii="Times New Roman" w:hAnsi="Times New Roman" w:cs="Times New Roman"/>
          <w:sz w:val="24"/>
          <w:szCs w:val="24"/>
        </w:rPr>
        <w:t xml:space="preserve"> sur les trois dernières années. Nous n’avons trouvé aucun indicateur de performance que nous aurions pu manipuler pour </w:t>
      </w:r>
      <w:r w:rsidR="00D724D1">
        <w:rPr>
          <w:rFonts w:ascii="Times New Roman" w:hAnsi="Times New Roman" w:cs="Times New Roman"/>
          <w:sz w:val="24"/>
          <w:szCs w:val="24"/>
        </w:rPr>
        <w:t>l’</w:t>
      </w:r>
      <w:r>
        <w:rPr>
          <w:rFonts w:ascii="Times New Roman" w:hAnsi="Times New Roman" w:cs="Times New Roman"/>
          <w:sz w:val="24"/>
          <w:szCs w:val="24"/>
        </w:rPr>
        <w:t>adapter à nos données. En effet, les seuls indicateurs de performance que nous avons identifiés renvoient à la solvabilité financière d’</w:t>
      </w:r>
      <w:r w:rsidR="00992D34">
        <w:rPr>
          <w:rFonts w:ascii="Times New Roman" w:hAnsi="Times New Roman" w:cs="Times New Roman"/>
          <w:sz w:val="24"/>
          <w:szCs w:val="24"/>
        </w:rPr>
        <w:t>Île-de-France</w:t>
      </w:r>
      <w:r>
        <w:rPr>
          <w:rFonts w:ascii="Times New Roman" w:hAnsi="Times New Roman" w:cs="Times New Roman"/>
          <w:sz w:val="24"/>
          <w:szCs w:val="24"/>
        </w:rPr>
        <w:t xml:space="preserve"> Mobilités. Ce sont la capacité d’autofinancement et l’épargne brute. Et comme nous ne </w:t>
      </w:r>
      <w:r>
        <w:rPr>
          <w:rFonts w:ascii="Times New Roman" w:hAnsi="Times New Roman" w:cs="Times New Roman"/>
          <w:sz w:val="24"/>
          <w:szCs w:val="24"/>
        </w:rPr>
        <w:lastRenderedPageBreak/>
        <w:t xml:space="preserve">voulons pas inscrire notre étude dans un cadre uniquement financier car trop réducteur à notre avis, nous avons donc entrepris de construire nous-mêmes un ratio de rentabilité économique. </w:t>
      </w:r>
    </w:p>
    <w:p w14:paraId="2EB3E40C" w14:textId="7A2D94F6" w:rsidR="00AF27E8" w:rsidRDefault="00AF27E8" w:rsidP="00AF27E8">
      <w:pPr>
        <w:jc w:val="both"/>
        <w:rPr>
          <w:rFonts w:ascii="Times New Roman" w:hAnsi="Times New Roman" w:cs="Times New Roman"/>
          <w:sz w:val="24"/>
          <w:szCs w:val="24"/>
        </w:rPr>
      </w:pPr>
      <w:r>
        <w:rPr>
          <w:rFonts w:ascii="Times New Roman" w:hAnsi="Times New Roman" w:cs="Times New Roman"/>
          <w:sz w:val="24"/>
          <w:szCs w:val="24"/>
        </w:rPr>
        <w:t xml:space="preserve">Nous sommes conscientes de prendre un risque conséquent à nous lancer ainsi dans la construction d’un ratio de rentabilité pour un service public en sachant que dans nos données les dotations à l’amortissement qui représentent les ressources d’investissement ne sont pas ventilées, ce qui pourrait clairement nous permettre de distinguer les emprunts par exemple. Nous n’avons pas non plus dans notre base des données relatives aux actifs économiques, aux immobilisations corporelles et incorporelles pour l’activité de transport. Nous sommes ainsi contraintes de construire ce ratio sans un détail d’informations très importantes à l’identification du type de </w:t>
      </w:r>
      <w:r w:rsidR="00C438D6">
        <w:rPr>
          <w:rFonts w:ascii="Times New Roman" w:hAnsi="Times New Roman" w:cs="Times New Roman"/>
          <w:sz w:val="24"/>
          <w:szCs w:val="24"/>
        </w:rPr>
        <w:t>ce dernier</w:t>
      </w:r>
      <w:r>
        <w:rPr>
          <w:rFonts w:ascii="Times New Roman" w:hAnsi="Times New Roman" w:cs="Times New Roman"/>
          <w:sz w:val="24"/>
          <w:szCs w:val="24"/>
        </w:rPr>
        <w:t xml:space="preserve">. Nous nous reporterons ainsi au descriptif des données sur le site </w:t>
      </w:r>
      <w:proofErr w:type="spellStart"/>
      <w:r>
        <w:rPr>
          <w:rFonts w:ascii="Times New Roman" w:hAnsi="Times New Roman" w:cs="Times New Roman"/>
          <w:sz w:val="24"/>
          <w:szCs w:val="24"/>
        </w:rPr>
        <w:t>Omnil</w:t>
      </w:r>
      <w:proofErr w:type="spellEnd"/>
      <w:r>
        <w:rPr>
          <w:rFonts w:ascii="Times New Roman" w:hAnsi="Times New Roman" w:cs="Times New Roman"/>
          <w:sz w:val="24"/>
          <w:szCs w:val="24"/>
        </w:rPr>
        <w:t xml:space="preserve"> et nous analyserons en détail les grands équilibres financiers d’</w:t>
      </w:r>
      <w:r w:rsidR="00FB2E1D">
        <w:rPr>
          <w:rFonts w:ascii="Times New Roman" w:hAnsi="Times New Roman" w:cs="Times New Roman"/>
          <w:sz w:val="24"/>
          <w:szCs w:val="24"/>
        </w:rPr>
        <w:t>Île-de-France</w:t>
      </w:r>
      <w:r>
        <w:rPr>
          <w:rFonts w:ascii="Times New Roman" w:hAnsi="Times New Roman" w:cs="Times New Roman"/>
          <w:sz w:val="24"/>
          <w:szCs w:val="24"/>
        </w:rPr>
        <w:t xml:space="preserve"> Mobilités décrits dans ses rapports et ses budgets. </w:t>
      </w:r>
    </w:p>
    <w:p w14:paraId="46406F8F" w14:textId="71FE4D51" w:rsidR="00AF27E8" w:rsidRDefault="00AF27E8" w:rsidP="00AF27E8">
      <w:pPr>
        <w:jc w:val="both"/>
        <w:rPr>
          <w:rFonts w:ascii="Times New Roman" w:hAnsi="Times New Roman" w:cs="Times New Roman"/>
          <w:sz w:val="24"/>
          <w:szCs w:val="24"/>
        </w:rPr>
      </w:pPr>
      <w:r>
        <w:rPr>
          <w:rFonts w:ascii="Times New Roman" w:hAnsi="Times New Roman" w:cs="Times New Roman"/>
          <w:sz w:val="24"/>
          <w:szCs w:val="24"/>
        </w:rPr>
        <w:t>Fort de notre investigation, nous avons retenu le ratio de rentabilité économique correspondant au rapport entre le résultat d’exploitation et les capitaux investis. Nous avons ainsi voulu représenter l’efficacité avec laquelle les capitaux mis à disposition pour le service public de transport sont employés. Par conséquent, les résultats d’exploitation s’obtiennent en soustrayant les charges d’exploitation aux recettes et ces dernières renvoient à tous les fonds générés par l’activité. Nous entendons par là les recettes tarifaires y compris les contributions publiques (Région, Action sociale et Départements, Action sociale) et les autres recettes provenant des amendes, de la publicité et des taxes collectées. Les recettes tarifaires résultent de la vente des titres aux voyageurs ou à une collectivité (dans les Concours publics, les éléments « Etat, Action sociale » et « Région, Action sociale ») après partage entre les transporteurs d’</w:t>
      </w:r>
      <w:r w:rsidR="009962AC">
        <w:rPr>
          <w:rFonts w:ascii="Times New Roman" w:hAnsi="Times New Roman" w:cs="Times New Roman"/>
          <w:sz w:val="24"/>
          <w:szCs w:val="24"/>
        </w:rPr>
        <w:t>Île-de-France</w:t>
      </w:r>
      <w:r>
        <w:rPr>
          <w:rFonts w:ascii="Times New Roman" w:hAnsi="Times New Roman" w:cs="Times New Roman"/>
          <w:sz w:val="24"/>
          <w:szCs w:val="24"/>
        </w:rPr>
        <w:t xml:space="preserve"> car ce sont ces derniers qui collectent pour le compte d’Île-de-France Mobilités les recettes tarifaires. Elles sont ainsi déterminées à partir du nombre total de titres vendus et du tarif public fixé par Île-de-France Mobilités et intègrent également certaines subventions de tiers</w:t>
      </w:r>
      <w:r w:rsidR="0092116E">
        <w:rPr>
          <w:rStyle w:val="Appelnotedebasdep"/>
          <w:rFonts w:ascii="Times New Roman" w:hAnsi="Times New Roman" w:cs="Times New Roman"/>
          <w:sz w:val="24"/>
          <w:szCs w:val="24"/>
        </w:rPr>
        <w:footnoteReference w:id="10"/>
      </w:r>
      <w:r>
        <w:rPr>
          <w:rFonts w:ascii="Times New Roman" w:hAnsi="Times New Roman" w:cs="Times New Roman"/>
          <w:sz w:val="24"/>
          <w:szCs w:val="24"/>
        </w:rPr>
        <w:t xml:space="preserve">. Nous tenons à rappeler que le détail des recettes directes sur les billets n’est produit qu’à partir de 2000, date de la signature du premier contrat entre Île-de-France (à l’époque STIF) et RATP d’une part et Île-de-France Mobilités et SNCF d’autre part. Par ailleurs, de ces recettes tarifaires sont déduites les charges contractualisées des opérateurs dans le cadre des contrats quadriennaux. </w:t>
      </w:r>
    </w:p>
    <w:p w14:paraId="31049A91" w14:textId="0FB37BF6" w:rsidR="00AF27E8" w:rsidRDefault="00AF27E8" w:rsidP="00AF27E8">
      <w:pPr>
        <w:jc w:val="both"/>
        <w:rPr>
          <w:rFonts w:ascii="Times New Roman" w:hAnsi="Times New Roman" w:cs="Times New Roman"/>
          <w:sz w:val="24"/>
          <w:szCs w:val="24"/>
        </w:rPr>
      </w:pPr>
      <w:r>
        <w:rPr>
          <w:rFonts w:ascii="Times New Roman" w:hAnsi="Times New Roman" w:cs="Times New Roman"/>
          <w:sz w:val="24"/>
          <w:szCs w:val="24"/>
        </w:rPr>
        <w:t xml:space="preserve">Les charges d’exploitation, quant à elles,  représentent la dépense globale désignant l’ensemble des dépenses de fonctionnement et d’investissement desquelles nous déduisons l’amortissement. Nous en avons parlé plus en détail dans la section des données. Nous tenons à souligner que cette dépense globale est celle qui est affectée à l’activité avant sa réalisation et ne correspond pas à celle qui est effectivement constaté. Nous rappelons que les services publics de transport sont réalisés par des opérateurs qui dans la mise en œuvre du service font face à de coûts qui sont supérieurs aux ressources allouées dans les termes du contrat. Et c’est pour cela que lorsque nous lisons le descriptif de la dépense globale nous trouvons l’origine des fonds. Ainsi, la dépense globale correspond à la somme des recettes tarifaires, concours publics pour le fonctionnement et </w:t>
      </w:r>
      <w:r>
        <w:rPr>
          <w:rFonts w:ascii="Times New Roman" w:hAnsi="Times New Roman" w:cs="Times New Roman"/>
          <w:sz w:val="24"/>
          <w:szCs w:val="24"/>
        </w:rPr>
        <w:lastRenderedPageBreak/>
        <w:t xml:space="preserve">taxes affectés à Île-de-France mobilités (hors amortissement et ressources affectées aux dépenses d’investissement) et des ressources d’investissement. </w:t>
      </w:r>
    </w:p>
    <w:p w14:paraId="18AA6972" w14:textId="29C3CCE2" w:rsidR="00AF27E8" w:rsidRDefault="00AF27E8" w:rsidP="00AF27E8">
      <w:pPr>
        <w:jc w:val="both"/>
        <w:rPr>
          <w:rFonts w:ascii="Times New Roman" w:hAnsi="Times New Roman" w:cs="Times New Roman"/>
          <w:sz w:val="24"/>
          <w:szCs w:val="24"/>
        </w:rPr>
      </w:pPr>
      <w:r>
        <w:rPr>
          <w:rFonts w:ascii="Times New Roman" w:hAnsi="Times New Roman" w:cs="Times New Roman"/>
          <w:sz w:val="24"/>
          <w:szCs w:val="24"/>
        </w:rPr>
        <w:t xml:space="preserve"> Enfin, pour les capitaux investis, nous avons considéré les ressources d’investissement. Ces ressources d’investissement comme nous l’avons mentionné plus tôt proviennent de financements de l’Etat et de la Région d’Île-de-France dans le cadre du CPER et participation des </w:t>
      </w:r>
      <w:r w:rsidR="00330FAA">
        <w:rPr>
          <w:rFonts w:ascii="Times New Roman" w:hAnsi="Times New Roman" w:cs="Times New Roman"/>
          <w:sz w:val="24"/>
          <w:szCs w:val="24"/>
        </w:rPr>
        <w:t>maîtres</w:t>
      </w:r>
      <w:r>
        <w:rPr>
          <w:rFonts w:ascii="Times New Roman" w:hAnsi="Times New Roman" w:cs="Times New Roman"/>
          <w:sz w:val="24"/>
          <w:szCs w:val="24"/>
        </w:rPr>
        <w:t xml:space="preserve"> d’ouvrage (RATP, SNCF) pour l’extension des réseaux d’infrastructures. Île-de-France Mobilités contribue directement au financement de l’achat et du renouvellement du matériel roulant par le versement aux opérateurs des subventions d’investissement dans le contexte des contrats quadriennaux et prend part indirectement à cette politique en épongeant les frais financiers et les amortissements associés par l’endettement des opérateurs de transport et leur capacité d’autofinancement. Ces ressources qui regroupent les fonds apportés par l’Etat, la Région d’Île-de-France, les collectivités locales (communes, départements) et la Société du Grand Paris. Dans les fonds apportés par la Société du Grand Paris, nous retrouvons les taxes TSE (Taxe spéciales d’équipement payée par les entreprises et les ménages) et TB (Taxe sur les bureaux payée par les entreprises) mais également l’imposition forfaitaire sur les entreprises réseaux (payée indirectement par Île-de-France Mobilités).</w:t>
      </w:r>
    </w:p>
    <w:p w14:paraId="5C9BF9CD" w14:textId="77777777" w:rsidR="00AF27E8" w:rsidRDefault="00AF27E8" w:rsidP="00AF27E8">
      <w:pPr>
        <w:jc w:val="both"/>
        <w:rPr>
          <w:rFonts w:ascii="Times New Roman" w:hAnsi="Times New Roman" w:cs="Times New Roman"/>
          <w:sz w:val="24"/>
          <w:szCs w:val="24"/>
        </w:rPr>
      </w:pPr>
    </w:p>
    <w:p w14:paraId="66CB20EF" w14:textId="77777777" w:rsidR="00AF27E8" w:rsidRDefault="00AF27E8" w:rsidP="00AF27E8">
      <w:pPr>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Rentabilité= </m:t>
          </m:r>
          <m:f>
            <m:fPr>
              <m:ctrlPr>
                <w:rPr>
                  <w:rFonts w:ascii="Cambria Math" w:hAnsi="Cambria Math" w:cs="Times New Roman"/>
                  <w:i/>
                  <w:sz w:val="24"/>
                  <w:szCs w:val="24"/>
                </w:rPr>
              </m:ctrlPr>
            </m:fPr>
            <m:num>
              <m:r>
                <w:rPr>
                  <w:rFonts w:ascii="Cambria Math" w:hAnsi="Cambria Math" w:cs="Times New Roman"/>
                  <w:sz w:val="24"/>
                  <w:szCs w:val="24"/>
                </w:rPr>
                <m:t>Recettes-Dépenses globales</m:t>
              </m:r>
            </m:num>
            <m:den>
              <m:r>
                <w:rPr>
                  <w:rFonts w:ascii="Cambria Math" w:hAnsi="Cambria Math" w:cs="Times New Roman"/>
                  <w:sz w:val="24"/>
                  <w:szCs w:val="24"/>
                </w:rPr>
                <m:t>Ressources d'investissement</m:t>
              </m:r>
            </m:den>
          </m:f>
        </m:oMath>
      </m:oMathPara>
    </w:p>
    <w:p w14:paraId="19BB6D82" w14:textId="77777777" w:rsidR="00AF27E8" w:rsidRPr="005F018A" w:rsidRDefault="00AF27E8" w:rsidP="00AF27E8">
      <w:pPr>
        <w:jc w:val="both"/>
        <w:rPr>
          <w:rFonts w:ascii="Times New Roman" w:eastAsiaTheme="minorEastAsia" w:hAnsi="Times New Roman" w:cs="Times New Roman"/>
          <w:sz w:val="24"/>
          <w:szCs w:val="24"/>
        </w:rPr>
      </w:pPr>
    </w:p>
    <w:p w14:paraId="4664D14B" w14:textId="348E519D" w:rsidR="00AF27E8" w:rsidRPr="005F13FF" w:rsidRDefault="00AF27E8" w:rsidP="00E55A18">
      <w:pPr>
        <w:pStyle w:val="Titre2"/>
        <w:numPr>
          <w:ilvl w:val="1"/>
          <w:numId w:val="12"/>
        </w:numPr>
        <w:rPr>
          <w:rFonts w:ascii="Times New Roman" w:hAnsi="Times New Roman" w:cs="Times New Roman"/>
          <w:b/>
          <w:bCs/>
        </w:rPr>
      </w:pPr>
      <w:bookmarkStart w:id="29" w:name="_Toc70937408"/>
      <w:r w:rsidRPr="005F13FF">
        <w:rPr>
          <w:rFonts w:ascii="Times New Roman" w:hAnsi="Times New Roman" w:cs="Times New Roman"/>
          <w:b/>
          <w:bCs/>
        </w:rPr>
        <w:t>Dépenses d’investissement en matériel roulant : Variable indépendante</w:t>
      </w:r>
      <w:bookmarkEnd w:id="29"/>
    </w:p>
    <w:p w14:paraId="24BE0583" w14:textId="00776C6F" w:rsidR="00AF27E8" w:rsidRDefault="00AF27E8" w:rsidP="00AF27E8">
      <w:pPr>
        <w:jc w:val="both"/>
        <w:rPr>
          <w:rFonts w:ascii="Times New Roman" w:hAnsi="Times New Roman" w:cs="Times New Roman"/>
          <w:sz w:val="24"/>
          <w:szCs w:val="24"/>
        </w:rPr>
      </w:pPr>
      <w:r>
        <w:rPr>
          <w:rFonts w:ascii="Times New Roman" w:hAnsi="Times New Roman" w:cs="Times New Roman"/>
          <w:sz w:val="24"/>
          <w:szCs w:val="24"/>
        </w:rPr>
        <w:t xml:space="preserve">Dans les « Compte déplacements des voyageurs » du site </w:t>
      </w:r>
      <w:proofErr w:type="spellStart"/>
      <w:r>
        <w:rPr>
          <w:rFonts w:ascii="Times New Roman" w:hAnsi="Times New Roman" w:cs="Times New Roman"/>
          <w:sz w:val="24"/>
          <w:szCs w:val="24"/>
        </w:rPr>
        <w:t>Omnil</w:t>
      </w:r>
      <w:proofErr w:type="spellEnd"/>
      <w:r>
        <w:rPr>
          <w:rFonts w:ascii="Times New Roman" w:hAnsi="Times New Roman" w:cs="Times New Roman"/>
          <w:sz w:val="24"/>
          <w:szCs w:val="24"/>
        </w:rPr>
        <w:t>, les dépenses d’investissement comprennent trois sections : Extension de réseaux, matériel roulant et modernisation, entretien du patrimoine. Pour mesurer l’effet des politiques publiques environnementales, nous avons dû nous tourner vers une variable proxy car nous ne disposions pas de cette variable directement.  Nous avons désigné les dépenses d’investissement en matériel roulant car ces dernières assurent la transition énergétique amorcée depuis les années 2000 par l’AOM d’Île-de-France. En effet, le renouvellement du matériel roulant relève de la responsabilité d’</w:t>
      </w:r>
      <w:r w:rsidR="008A4E73">
        <w:rPr>
          <w:rFonts w:ascii="Times New Roman" w:hAnsi="Times New Roman" w:cs="Times New Roman"/>
          <w:sz w:val="24"/>
          <w:szCs w:val="24"/>
        </w:rPr>
        <w:t>Île-de-France</w:t>
      </w:r>
      <w:r>
        <w:rPr>
          <w:rFonts w:ascii="Times New Roman" w:hAnsi="Times New Roman" w:cs="Times New Roman"/>
          <w:sz w:val="24"/>
          <w:szCs w:val="24"/>
        </w:rPr>
        <w:t xml:space="preserve"> Mobilités et a pour objectif de réduire les émissions atmosphériques générés par les transports publics</w:t>
      </w:r>
      <w:r w:rsidR="00660B81">
        <w:rPr>
          <w:rFonts w:ascii="Times New Roman" w:hAnsi="Times New Roman" w:cs="Times New Roman"/>
          <w:sz w:val="24"/>
          <w:szCs w:val="24"/>
        </w:rPr>
        <w:t xml:space="preserve">. </w:t>
      </w:r>
      <w:r>
        <w:rPr>
          <w:rFonts w:ascii="Times New Roman" w:hAnsi="Times New Roman" w:cs="Times New Roman"/>
          <w:sz w:val="24"/>
          <w:szCs w:val="24"/>
        </w:rPr>
        <w:t>Déjà, dans les années 2000, l’AOM dotait l’équipement du parc de bus en dispositifs anti-pollution</w:t>
      </w:r>
      <w:r w:rsidR="00140321">
        <w:rPr>
          <w:rStyle w:val="Appelnotedebasdep"/>
          <w:rFonts w:ascii="Times New Roman" w:hAnsi="Times New Roman" w:cs="Times New Roman"/>
          <w:sz w:val="24"/>
          <w:szCs w:val="24"/>
        </w:rPr>
        <w:footnoteReference w:id="11"/>
      </w:r>
      <w:r w:rsidR="00140321">
        <w:rPr>
          <w:rFonts w:ascii="Times New Roman" w:hAnsi="Times New Roman" w:cs="Times New Roman"/>
          <w:sz w:val="24"/>
          <w:szCs w:val="24"/>
        </w:rPr>
        <w:t xml:space="preserve">. </w:t>
      </w:r>
      <w:r>
        <w:rPr>
          <w:rFonts w:ascii="Times New Roman" w:hAnsi="Times New Roman" w:cs="Times New Roman"/>
          <w:sz w:val="24"/>
          <w:szCs w:val="24"/>
        </w:rPr>
        <w:t xml:space="preserve">Ces bus devaient se conformer aux normes européennes fixées sur les émissions de polluants générées par les transports. Ces normes appelées normes Euro établissent les seuils de rejets polluants (les oxydes d’azote, les monoxydes de carbone, les hydrocarbures, les particules et les fumées) à ne pas dépasser par les véhicules neufs roulants. Par ailleurs, IDFM est responsable d’assurer la transition énergétique dans les transports collectifs en adoptant une politique des transports plus </w:t>
      </w:r>
      <w:r>
        <w:rPr>
          <w:rFonts w:ascii="Times New Roman" w:hAnsi="Times New Roman" w:cs="Times New Roman"/>
          <w:sz w:val="24"/>
          <w:szCs w:val="24"/>
        </w:rPr>
        <w:lastRenderedPageBreak/>
        <w:t>respectueuse de la qualité de l’air en développant une flotte de bus propres, électriques et hybrides rechargeables</w:t>
      </w:r>
      <w:r w:rsidR="00E91F6B">
        <w:rPr>
          <w:rStyle w:val="Appelnotedebasdep"/>
          <w:rFonts w:ascii="Times New Roman" w:hAnsi="Times New Roman" w:cs="Times New Roman"/>
          <w:sz w:val="24"/>
          <w:szCs w:val="24"/>
        </w:rPr>
        <w:footnoteReference w:id="12"/>
      </w:r>
      <w:r w:rsidR="00E91F6B">
        <w:rPr>
          <w:rFonts w:ascii="Times New Roman" w:hAnsi="Times New Roman" w:cs="Times New Roman"/>
          <w:sz w:val="24"/>
          <w:szCs w:val="24"/>
        </w:rPr>
        <w:t>.</w:t>
      </w:r>
    </w:p>
    <w:p w14:paraId="28E62F35" w14:textId="5E6A7DDE" w:rsidR="00AF27E8" w:rsidRDefault="00AF27E8" w:rsidP="00AF27E8">
      <w:pPr>
        <w:jc w:val="both"/>
        <w:rPr>
          <w:rFonts w:ascii="Times New Roman" w:hAnsi="Times New Roman" w:cs="Times New Roman"/>
          <w:sz w:val="24"/>
          <w:szCs w:val="24"/>
        </w:rPr>
      </w:pPr>
      <w:r>
        <w:rPr>
          <w:rFonts w:ascii="Times New Roman" w:hAnsi="Times New Roman" w:cs="Times New Roman"/>
          <w:sz w:val="24"/>
          <w:szCs w:val="24"/>
        </w:rPr>
        <w:t>Nous sommes conscientes que les investissements en matériel compren</w:t>
      </w:r>
      <w:r w:rsidR="005C39AD">
        <w:rPr>
          <w:rFonts w:ascii="Times New Roman" w:hAnsi="Times New Roman" w:cs="Times New Roman"/>
          <w:sz w:val="24"/>
          <w:szCs w:val="24"/>
        </w:rPr>
        <w:t>nent</w:t>
      </w:r>
      <w:r>
        <w:rPr>
          <w:rFonts w:ascii="Times New Roman" w:hAnsi="Times New Roman" w:cs="Times New Roman"/>
          <w:sz w:val="24"/>
          <w:szCs w:val="24"/>
        </w:rPr>
        <w:t xml:space="preserve"> également le renouvellement des trains, tramways et pas uniquement les bus propres mais dans les recherches que nous avons effectuées, ce poste d’investissement s’inscrit dans la transition énergétique. C’est ainsi que dans le Rapport d’activité d’Île-de-France Mobilités de 2015</w:t>
      </w:r>
      <w:r w:rsidR="00B91A1D">
        <w:rPr>
          <w:rFonts w:ascii="Times New Roman" w:hAnsi="Times New Roman" w:cs="Times New Roman"/>
          <w:sz w:val="24"/>
          <w:szCs w:val="24"/>
        </w:rPr>
        <w:t xml:space="preserve">, </w:t>
      </w:r>
      <w:r>
        <w:rPr>
          <w:rFonts w:ascii="Times New Roman" w:hAnsi="Times New Roman" w:cs="Times New Roman"/>
          <w:sz w:val="24"/>
          <w:szCs w:val="24"/>
        </w:rPr>
        <w:t xml:space="preserve">les investissements en matériel roulant sont directement associées à la transition énergétique. De plus, dans les contrats avec la RATP (2016-2020) et avec la SNCF (2016-2019) de dernière génération que nous avons pu consulter, il est explicitement demandé à ces derniers de respecter des principes de responsabilité sociétale et environnementale, ils sont donc tenus de présenter un bilan social et environnemental annuel. Pour la RATP, la mise en place de la transition énergétique passe par la mise en place progressive d’un réseau d’autobus « tout électrique GNV » d’ici 2025 mais aussi le passage de la technologie hybride à la technologie tout électrique. Dans son Rapport d’activité publié en 2015, </w:t>
      </w:r>
      <w:r w:rsidR="001D05DD">
        <w:rPr>
          <w:rFonts w:ascii="Times New Roman" w:hAnsi="Times New Roman" w:cs="Times New Roman"/>
          <w:sz w:val="24"/>
          <w:szCs w:val="24"/>
        </w:rPr>
        <w:t>Île-de-France</w:t>
      </w:r>
      <w:r>
        <w:rPr>
          <w:rFonts w:ascii="Times New Roman" w:hAnsi="Times New Roman" w:cs="Times New Roman"/>
          <w:sz w:val="24"/>
          <w:szCs w:val="24"/>
        </w:rPr>
        <w:t xml:space="preserve"> Mobilités se félicitait de l’adoption d’un nouveau plan sans précédent de renouvellement du matériel roulant fin 2013 pour réduire les volumes de polluants et poursuivre la transition énergétique au travers d’un programme d’investissements ambitieux. Au 31 décembre 2015, le parc exploité par la RATP comptait 220 bus hybrides et 84 bus GNV et celui exploité par les transporteurs privés, 82 bus hybrides et 82 bus et cars GNV</w:t>
      </w:r>
      <w:r w:rsidR="00813865">
        <w:rPr>
          <w:rFonts w:ascii="Times New Roman" w:hAnsi="Times New Roman" w:cs="Times New Roman"/>
          <w:sz w:val="24"/>
          <w:szCs w:val="24"/>
        </w:rPr>
        <w:t xml:space="preserve"> (Gaz naturel pour véhicules)</w:t>
      </w:r>
      <w:r>
        <w:rPr>
          <w:rFonts w:ascii="Times New Roman" w:hAnsi="Times New Roman" w:cs="Times New Roman"/>
          <w:sz w:val="24"/>
          <w:szCs w:val="24"/>
        </w:rPr>
        <w:t xml:space="preserve">. </w:t>
      </w:r>
    </w:p>
    <w:p w14:paraId="21ADDC12" w14:textId="24D28DB7" w:rsidR="00AF27E8" w:rsidRDefault="00AF27E8" w:rsidP="00AF27E8">
      <w:pPr>
        <w:jc w:val="both"/>
        <w:rPr>
          <w:rFonts w:ascii="Times New Roman" w:hAnsi="Times New Roman" w:cs="Times New Roman"/>
          <w:sz w:val="24"/>
          <w:szCs w:val="24"/>
        </w:rPr>
      </w:pPr>
      <w:r>
        <w:rPr>
          <w:rFonts w:ascii="Times New Roman" w:hAnsi="Times New Roman" w:cs="Times New Roman"/>
          <w:sz w:val="24"/>
          <w:szCs w:val="24"/>
        </w:rPr>
        <w:t xml:space="preserve">Nous ne sommes pas les premières à employer les investissements réalisés dans </w:t>
      </w:r>
      <w:r w:rsidR="00A27868">
        <w:rPr>
          <w:rFonts w:ascii="Times New Roman" w:hAnsi="Times New Roman" w:cs="Times New Roman"/>
          <w:sz w:val="24"/>
          <w:szCs w:val="24"/>
        </w:rPr>
        <w:t xml:space="preserve">la lutte contre </w:t>
      </w:r>
      <w:r>
        <w:rPr>
          <w:rFonts w:ascii="Times New Roman" w:hAnsi="Times New Roman" w:cs="Times New Roman"/>
          <w:sz w:val="24"/>
          <w:szCs w:val="24"/>
        </w:rPr>
        <w:t xml:space="preserve">la pollution comme variable proxy pour capter l’effet de la rigueur environnementale. En effet, nous avons dans notre revue de littérature empirique </w:t>
      </w:r>
      <w:r w:rsidRPr="00815807">
        <w:rPr>
          <w:rFonts w:ascii="Times New Roman" w:hAnsi="Times New Roman" w:cs="Times New Roman"/>
          <w:sz w:val="24"/>
          <w:szCs w:val="24"/>
        </w:rPr>
        <w:t>présent</w:t>
      </w:r>
      <w:r w:rsidR="00815807" w:rsidRPr="00815807">
        <w:rPr>
          <w:rFonts w:ascii="Times New Roman" w:hAnsi="Times New Roman" w:cs="Times New Roman"/>
          <w:sz w:val="24"/>
          <w:szCs w:val="24"/>
        </w:rPr>
        <w:t>é</w:t>
      </w:r>
      <w:r w:rsidRPr="00A67D27">
        <w:rPr>
          <w:rFonts w:ascii="Times New Roman" w:hAnsi="Times New Roman" w:cs="Times New Roman"/>
          <w:color w:val="FF0000"/>
          <w:sz w:val="24"/>
          <w:szCs w:val="24"/>
        </w:rPr>
        <w:t xml:space="preserve"> </w:t>
      </w:r>
      <w:r>
        <w:rPr>
          <w:rFonts w:ascii="Times New Roman" w:hAnsi="Times New Roman" w:cs="Times New Roman"/>
          <w:sz w:val="24"/>
          <w:szCs w:val="24"/>
        </w:rPr>
        <w:t xml:space="preserve">des travaux qui ont utilisé les dépenses de capital en dépollution comme proxy. Gray et </w:t>
      </w:r>
      <w:proofErr w:type="spellStart"/>
      <w:r w:rsidRPr="00CE6FFC">
        <w:rPr>
          <w:rFonts w:ascii="Times New Roman" w:hAnsi="Times New Roman" w:cs="Times New Roman"/>
          <w:sz w:val="24"/>
          <w:szCs w:val="24"/>
        </w:rPr>
        <w:t>Shadbegian</w:t>
      </w:r>
      <w:proofErr w:type="spellEnd"/>
      <w:r w:rsidRPr="00CE6FFC">
        <w:rPr>
          <w:rFonts w:ascii="Times New Roman" w:hAnsi="Times New Roman" w:cs="Times New Roman"/>
          <w:sz w:val="24"/>
          <w:szCs w:val="24"/>
        </w:rPr>
        <w:t xml:space="preserve"> (2003)</w:t>
      </w:r>
      <w:r>
        <w:rPr>
          <w:rFonts w:ascii="Times New Roman" w:hAnsi="Times New Roman" w:cs="Times New Roman"/>
          <w:sz w:val="24"/>
          <w:szCs w:val="24"/>
        </w:rPr>
        <w:t xml:space="preserve"> ont ainsi eu recours aux dépenses de réduction de la pollution, </w:t>
      </w:r>
      <w:proofErr w:type="spellStart"/>
      <w:r w:rsidRPr="005630EE">
        <w:rPr>
          <w:rFonts w:ascii="Times New Roman" w:hAnsi="Times New Roman" w:cs="Times New Roman"/>
          <w:sz w:val="24"/>
          <w:szCs w:val="24"/>
        </w:rPr>
        <w:t>Broberg</w:t>
      </w:r>
      <w:proofErr w:type="spellEnd"/>
      <w:r w:rsidRPr="005630EE">
        <w:rPr>
          <w:rFonts w:ascii="Times New Roman" w:hAnsi="Times New Roman" w:cs="Times New Roman"/>
          <w:sz w:val="24"/>
          <w:szCs w:val="24"/>
        </w:rPr>
        <w:t xml:space="preserve"> et al (2013)</w:t>
      </w:r>
      <w:r w:rsidR="00A67D27">
        <w:rPr>
          <w:rFonts w:ascii="Times New Roman" w:hAnsi="Times New Roman" w:cs="Times New Roman"/>
          <w:sz w:val="24"/>
          <w:szCs w:val="24"/>
        </w:rPr>
        <w:t xml:space="preserve"> </w:t>
      </w:r>
      <w:r>
        <w:rPr>
          <w:rFonts w:ascii="Times New Roman" w:hAnsi="Times New Roman" w:cs="Times New Roman"/>
          <w:sz w:val="24"/>
          <w:szCs w:val="24"/>
        </w:rPr>
        <w:t xml:space="preserve">ont employé les investissements destinés à la protection de l’environnement des industries. L’idée donc de considérer les investissements engendrés par une RE pour déterminer son impact sur la performance des organisations n’est pas nouvelle. Plus tard, lorsque nous procéderons à l’estimation du paramètre associé aux dépenses d’investissement en matériel roulant nous pensons aboutir à un signe positif traduisant l’effet traditionnel d’investissements effectués dans des équipements pour l’amélioration de la productivité sur la performance de l’activité. </w:t>
      </w:r>
    </w:p>
    <w:p w14:paraId="35F45DF4" w14:textId="13CD9C34" w:rsidR="00442F7A" w:rsidRPr="00A67D27" w:rsidRDefault="00AF27E8" w:rsidP="00AF27E8">
      <w:pPr>
        <w:jc w:val="both"/>
        <w:rPr>
          <w:rFonts w:ascii="Times New Roman" w:hAnsi="Times New Roman" w:cs="Times New Roman"/>
          <w:sz w:val="24"/>
          <w:szCs w:val="24"/>
        </w:rPr>
      </w:pPr>
      <w:r>
        <w:rPr>
          <w:rFonts w:ascii="Times New Roman" w:hAnsi="Times New Roman" w:cs="Times New Roman"/>
          <w:sz w:val="24"/>
          <w:szCs w:val="24"/>
        </w:rPr>
        <w:t xml:space="preserve">Nous tenons quand même à apporter certaines précisions quant à la nature de cette variable. Le total des dépenses d’investissement ne correspond en aucun cas au total des ressources d’investissements allouées à l’activité et ceci pour plusieurs raisons. Les dépenses d’investissement desquelles nous avons déduit la variable proxy sont celles réalisées par les </w:t>
      </w:r>
      <w:r w:rsidR="00B443DD">
        <w:rPr>
          <w:rFonts w:ascii="Times New Roman" w:hAnsi="Times New Roman" w:cs="Times New Roman"/>
          <w:sz w:val="24"/>
          <w:szCs w:val="24"/>
        </w:rPr>
        <w:t>maîtres</w:t>
      </w:r>
      <w:r>
        <w:rPr>
          <w:rFonts w:ascii="Times New Roman" w:hAnsi="Times New Roman" w:cs="Times New Roman"/>
          <w:sz w:val="24"/>
          <w:szCs w:val="24"/>
        </w:rPr>
        <w:t xml:space="preserve"> d’ouvrage lors de la mise en œuvre de l’activité et nous nous permettons de rappeler encore une fois que même si des ressources sont fixées dans le cadre des contrats et allouées aux transporteurs, leur rémunération et la prise en charge des dotations aux amortissements, les frais financiers relatifs aux emprunts et autres charges surviennent après la réalisation de l’activité et la collecte des recettes tarifaires. Par ailleurs, le descriptif de la base de données met l’accent sur le </w:t>
      </w:r>
      <w:r>
        <w:rPr>
          <w:rFonts w:ascii="Times New Roman" w:hAnsi="Times New Roman" w:cs="Times New Roman"/>
          <w:sz w:val="24"/>
          <w:szCs w:val="24"/>
        </w:rPr>
        <w:lastRenderedPageBreak/>
        <w:t xml:space="preserve">fait que ces dépenses d’investissement réalisées par les </w:t>
      </w:r>
      <w:r w:rsidR="00321EAA">
        <w:rPr>
          <w:rFonts w:ascii="Times New Roman" w:hAnsi="Times New Roman" w:cs="Times New Roman"/>
          <w:sz w:val="24"/>
          <w:szCs w:val="24"/>
        </w:rPr>
        <w:t>maîtres</w:t>
      </w:r>
      <w:r>
        <w:rPr>
          <w:rFonts w:ascii="Times New Roman" w:hAnsi="Times New Roman" w:cs="Times New Roman"/>
          <w:sz w:val="24"/>
          <w:szCs w:val="24"/>
        </w:rPr>
        <w:t xml:space="preserve"> d’ouvrage à une année N ne correspond pas au total des ressources d’investissement allouées pour cette même année en raison des décalages temporels des mandatements des dépenses. Nous n’avons donc aucune crainte que notre variable proxy dépenses d’investissement en matériel roulant se retrouve dans la va</w:t>
      </w:r>
      <w:r w:rsidR="00A67D27">
        <w:rPr>
          <w:rFonts w:ascii="Times New Roman" w:hAnsi="Times New Roman" w:cs="Times New Roman"/>
          <w:sz w:val="24"/>
          <w:szCs w:val="24"/>
        </w:rPr>
        <w:t xml:space="preserve">riable rentabilité économique. </w:t>
      </w:r>
    </w:p>
    <w:p w14:paraId="774F8A24" w14:textId="77777777" w:rsidR="00442F7A" w:rsidRPr="00F90484" w:rsidRDefault="00442F7A" w:rsidP="00AF27E8">
      <w:pPr>
        <w:jc w:val="both"/>
        <w:rPr>
          <w:rFonts w:ascii="Times New Roman" w:hAnsi="Times New Roman" w:cs="Times New Roman"/>
          <w:b/>
          <w:bCs/>
        </w:rPr>
      </w:pPr>
    </w:p>
    <w:p w14:paraId="28D0DC99" w14:textId="3839ACDE" w:rsidR="00AF27E8" w:rsidRPr="00F90484" w:rsidRDefault="00AF27E8" w:rsidP="00E55A18">
      <w:pPr>
        <w:pStyle w:val="Titre2"/>
        <w:numPr>
          <w:ilvl w:val="1"/>
          <w:numId w:val="12"/>
        </w:numPr>
        <w:rPr>
          <w:rFonts w:ascii="Times New Roman" w:hAnsi="Times New Roman" w:cs="Times New Roman"/>
          <w:b/>
          <w:bCs/>
        </w:rPr>
      </w:pPr>
      <w:bookmarkStart w:id="30" w:name="_Toc70937409"/>
      <w:r w:rsidRPr="00F90484">
        <w:rPr>
          <w:rFonts w:ascii="Times New Roman" w:hAnsi="Times New Roman" w:cs="Times New Roman"/>
          <w:b/>
          <w:bCs/>
        </w:rPr>
        <w:t>Offre commerciale réalisée et Concours publics : Variables de contrôle</w:t>
      </w:r>
      <w:bookmarkEnd w:id="30"/>
    </w:p>
    <w:p w14:paraId="6FAB9153" w14:textId="77777777" w:rsidR="00AF27E8" w:rsidRDefault="00AF27E8" w:rsidP="00AF27E8">
      <w:pPr>
        <w:jc w:val="both"/>
        <w:rPr>
          <w:rFonts w:ascii="Times New Roman" w:hAnsi="Times New Roman" w:cs="Times New Roman"/>
          <w:sz w:val="24"/>
          <w:szCs w:val="24"/>
        </w:rPr>
      </w:pPr>
      <w:r w:rsidRPr="005C7E78">
        <w:rPr>
          <w:rFonts w:ascii="Times New Roman" w:hAnsi="Times New Roman" w:cs="Times New Roman"/>
          <w:sz w:val="24"/>
          <w:szCs w:val="24"/>
        </w:rPr>
        <w:t>Nous avons enfin intégré au modèle deux variables susceptibles d’expliquer la rentabilité. Il s’agit de l’offre commerciale réalisée et les concours publics. Ces derniers font référence aux contributions statutaires des collectivités membres d’IDFM (8 départements et la Région Île-de-France)</w:t>
      </w:r>
      <w:r>
        <w:rPr>
          <w:rFonts w:ascii="Times New Roman" w:hAnsi="Times New Roman" w:cs="Times New Roman"/>
          <w:sz w:val="24"/>
          <w:szCs w:val="24"/>
        </w:rPr>
        <w:t xml:space="preserve">, des dotations et compensations de l’Etat et des subventions d’exploitations des départements, communes et EPCI. Nous rappelons que nous avons enlevé des Concours publics la participation de la Région et des Départements dans le cadre de l’action sociale qui représente leur participation à l’achat des titres de transport. Cette participation est intégrée aux recettes tarifaires. </w:t>
      </w:r>
    </w:p>
    <w:p w14:paraId="23F322C0" w14:textId="405C313C" w:rsidR="00AF27E8" w:rsidRDefault="00AF27E8" w:rsidP="00AF27E8">
      <w:pPr>
        <w:jc w:val="both"/>
        <w:rPr>
          <w:rFonts w:ascii="Times New Roman" w:hAnsi="Times New Roman" w:cs="Times New Roman"/>
          <w:sz w:val="24"/>
          <w:szCs w:val="24"/>
        </w:rPr>
      </w:pPr>
      <w:r>
        <w:rPr>
          <w:rFonts w:ascii="Times New Roman" w:hAnsi="Times New Roman" w:cs="Times New Roman"/>
          <w:sz w:val="24"/>
          <w:szCs w:val="24"/>
        </w:rPr>
        <w:t xml:space="preserve">Nous avons porté notre choix sur les Concours publics comme variable de contrôle car ces derniers contribuent à financer les dépenses des opérateurs </w:t>
      </w:r>
      <w:r w:rsidRPr="00C0321A">
        <w:rPr>
          <w:rFonts w:ascii="Times New Roman" w:hAnsi="Times New Roman" w:cs="Times New Roman"/>
          <w:sz w:val="24"/>
          <w:szCs w:val="24"/>
        </w:rPr>
        <w:t xml:space="preserve">notamment dans le cadre d’extension de réseaux d’infrastructures (rames </w:t>
      </w:r>
      <w:proofErr w:type="spellStart"/>
      <w:r w:rsidRPr="00C0321A">
        <w:rPr>
          <w:rFonts w:ascii="Times New Roman" w:hAnsi="Times New Roman" w:cs="Times New Roman"/>
          <w:sz w:val="24"/>
          <w:szCs w:val="24"/>
        </w:rPr>
        <w:t>etc</w:t>
      </w:r>
      <w:proofErr w:type="spellEnd"/>
      <w:r w:rsidRPr="00C0321A">
        <w:rPr>
          <w:rFonts w:ascii="Times New Roman" w:hAnsi="Times New Roman" w:cs="Times New Roman"/>
          <w:sz w:val="24"/>
          <w:szCs w:val="24"/>
        </w:rPr>
        <w:t>) dans le cadre du financement CPER</w:t>
      </w:r>
      <w:r w:rsidR="00B27BE8">
        <w:rPr>
          <w:rStyle w:val="Appelnotedebasdep"/>
          <w:rFonts w:ascii="Times New Roman" w:hAnsi="Times New Roman" w:cs="Times New Roman"/>
          <w:sz w:val="24"/>
          <w:szCs w:val="24"/>
        </w:rPr>
        <w:footnoteReference w:id="13"/>
      </w:r>
      <w:r w:rsidRPr="00C0321A">
        <w:rPr>
          <w:rFonts w:ascii="Times New Roman" w:hAnsi="Times New Roman" w:cs="Times New Roman"/>
          <w:sz w:val="24"/>
          <w:szCs w:val="24"/>
        </w:rPr>
        <w:t xml:space="preserve"> mais également la maintenance, la modernisation, la qualité de service et la mise en place du Plan de déplacement urbain (financeurs : Etat, Région et IDFM).</w:t>
      </w:r>
      <w:r>
        <w:rPr>
          <w:rFonts w:ascii="Times New Roman" w:hAnsi="Times New Roman" w:cs="Times New Roman"/>
          <w:sz w:val="24"/>
          <w:szCs w:val="24"/>
        </w:rPr>
        <w:t xml:space="preserve"> Les concours publics devraient après estimation des paramètres du modèle avoir un effet négatif sur la rentabilité car ils financent majoritairement des investissements lourds dont les effets positifs éventuels sur la rentabilité s’observeraient des années plus tard encore à condition que la tarification suive.</w:t>
      </w:r>
    </w:p>
    <w:p w14:paraId="716E9456" w14:textId="086BD0E4" w:rsidR="00AF27E8" w:rsidRDefault="00AF27E8" w:rsidP="005F5E6C">
      <w:pPr>
        <w:jc w:val="both"/>
        <w:rPr>
          <w:rFonts w:ascii="Times New Roman" w:hAnsi="Times New Roman" w:cs="Times New Roman"/>
          <w:b/>
          <w:sz w:val="28"/>
        </w:rPr>
      </w:pPr>
      <w:r>
        <w:rPr>
          <w:rFonts w:ascii="Times New Roman" w:hAnsi="Times New Roman" w:cs="Times New Roman"/>
          <w:sz w:val="24"/>
          <w:szCs w:val="24"/>
        </w:rPr>
        <w:t xml:space="preserve">L’autre variable de contrôle que nous avons intégrée à notre modèle, l’Offre commerciale réalisée </w:t>
      </w:r>
      <w:r w:rsidR="0062614A">
        <w:rPr>
          <w:rFonts w:ascii="Times New Roman" w:hAnsi="Times New Roman" w:cs="Times New Roman"/>
          <w:sz w:val="24"/>
          <w:szCs w:val="24"/>
        </w:rPr>
        <w:t>(dans la section « Transport en commun en chiffres », sur le site d’</w:t>
      </w:r>
      <w:proofErr w:type="spellStart"/>
      <w:r w:rsidR="0062614A">
        <w:rPr>
          <w:rFonts w:ascii="Times New Roman" w:hAnsi="Times New Roman" w:cs="Times New Roman"/>
          <w:sz w:val="24"/>
          <w:szCs w:val="24"/>
        </w:rPr>
        <w:t>Omnil</w:t>
      </w:r>
      <w:proofErr w:type="spellEnd"/>
      <w:r w:rsidR="0062614A">
        <w:rPr>
          <w:rFonts w:ascii="Times New Roman" w:hAnsi="Times New Roman" w:cs="Times New Roman"/>
          <w:sz w:val="24"/>
          <w:szCs w:val="24"/>
        </w:rPr>
        <w:t xml:space="preserve">) </w:t>
      </w:r>
      <w:r>
        <w:rPr>
          <w:rFonts w:ascii="Times New Roman" w:hAnsi="Times New Roman" w:cs="Times New Roman"/>
          <w:sz w:val="24"/>
          <w:szCs w:val="24"/>
        </w:rPr>
        <w:t>renvoie au niveau de service réellement offert par l’opérateur de transport. C’est ce niveau qui peut conduire à un bonus ou un malus si les seuils fixés ne sont pas respectés ou dépassés. Il ne faut surtout pas assimiler cette offre à l’offre de référence (ou encore offre théorique ou offre contractuelle) qui désigne le niveau de service commandé par Île-de-France aux opérateurs de transport dans le cadre des contrats quadriennaux.  Notre variable Offre commerciale réalisée intègre les 3 modes de transports (mode ferré, tramways et bus) et s’interprète en millions de véhicules/km. L’augmentation de cette offre, selon nous, a un impact positif sur la rentabilité du service des transports collectifs car elle traduit une augmentation des déplacements des usagers qui engendrent ainsi une croissance de la vente des titres de transport et donc des recettes tarifaires.</w:t>
      </w:r>
    </w:p>
    <w:p w14:paraId="2E4A1C24" w14:textId="0B459405" w:rsidR="00FD577E" w:rsidRDefault="00A0108B" w:rsidP="00027EBD">
      <w:pPr>
        <w:jc w:val="both"/>
        <w:rPr>
          <w:rFonts w:ascii="Times New Roman" w:hAnsi="Times New Roman" w:cs="Times New Roman"/>
          <w:bCs/>
          <w:sz w:val="24"/>
          <w:szCs w:val="24"/>
        </w:rPr>
      </w:pPr>
      <w:r w:rsidRPr="00A0108B">
        <w:rPr>
          <w:rFonts w:ascii="Times New Roman" w:hAnsi="Times New Roman" w:cs="Times New Roman"/>
          <w:bCs/>
          <w:sz w:val="24"/>
          <w:szCs w:val="24"/>
        </w:rPr>
        <w:t>Le choix de nos variables étant fixé</w:t>
      </w:r>
      <w:r>
        <w:rPr>
          <w:rFonts w:ascii="Times New Roman" w:hAnsi="Times New Roman" w:cs="Times New Roman"/>
          <w:bCs/>
          <w:sz w:val="24"/>
          <w:szCs w:val="24"/>
        </w:rPr>
        <w:t xml:space="preserve"> et la base de données sélectionnée, nous pouvons à présent passer à une étape cruciale pour notre étude, la modélisation. </w:t>
      </w:r>
      <w:r w:rsidR="00F401B9">
        <w:rPr>
          <w:rFonts w:ascii="Times New Roman" w:hAnsi="Times New Roman" w:cs="Times New Roman"/>
          <w:bCs/>
          <w:sz w:val="24"/>
          <w:szCs w:val="24"/>
        </w:rPr>
        <w:t xml:space="preserve">Dans la section suivante, nous </w:t>
      </w:r>
      <w:r w:rsidR="00F401B9">
        <w:rPr>
          <w:rFonts w:ascii="Times New Roman" w:hAnsi="Times New Roman" w:cs="Times New Roman"/>
          <w:bCs/>
          <w:sz w:val="24"/>
          <w:szCs w:val="24"/>
        </w:rPr>
        <w:lastRenderedPageBreak/>
        <w:t xml:space="preserve">exposerons donc le modèle retenu après avoir justifié son choix puis procéderons à l’estimation de ce dernier. </w:t>
      </w:r>
    </w:p>
    <w:p w14:paraId="589D2133" w14:textId="77777777" w:rsidR="00562692" w:rsidRPr="00A0108B" w:rsidRDefault="00562692" w:rsidP="00027EBD">
      <w:pPr>
        <w:jc w:val="both"/>
        <w:rPr>
          <w:rFonts w:ascii="Times New Roman" w:hAnsi="Times New Roman" w:cs="Times New Roman"/>
          <w:bCs/>
          <w:sz w:val="24"/>
          <w:szCs w:val="24"/>
        </w:rPr>
      </w:pPr>
    </w:p>
    <w:p w14:paraId="6AD556B8" w14:textId="17A9819D" w:rsidR="00D47724" w:rsidRPr="00692795" w:rsidRDefault="00D47724" w:rsidP="00E55A18">
      <w:pPr>
        <w:pStyle w:val="Titre1"/>
        <w:numPr>
          <w:ilvl w:val="0"/>
          <w:numId w:val="12"/>
        </w:numPr>
        <w:rPr>
          <w:rFonts w:ascii="Times New Roman" w:hAnsi="Times New Roman" w:cs="Times New Roman"/>
          <w:b/>
          <w:bCs/>
        </w:rPr>
      </w:pPr>
      <w:bookmarkStart w:id="31" w:name="_Toc70937410"/>
      <w:r w:rsidRPr="00692795">
        <w:rPr>
          <w:rFonts w:ascii="Times New Roman" w:hAnsi="Times New Roman" w:cs="Times New Roman"/>
          <w:b/>
          <w:bCs/>
        </w:rPr>
        <w:t>Modélisation</w:t>
      </w:r>
      <w:bookmarkEnd w:id="31"/>
    </w:p>
    <w:p w14:paraId="0AB0AA48" w14:textId="5BD9852C" w:rsidR="0009482B" w:rsidRPr="00B8073A" w:rsidRDefault="0009482B" w:rsidP="0009482B">
      <w:pPr>
        <w:jc w:val="both"/>
        <w:rPr>
          <w:rFonts w:ascii="Times New Roman" w:hAnsi="Times New Roman" w:cs="Times New Roman"/>
          <w:sz w:val="24"/>
        </w:rPr>
      </w:pPr>
      <w:r w:rsidRPr="00B8073A">
        <w:rPr>
          <w:rFonts w:ascii="Times New Roman" w:hAnsi="Times New Roman" w:cs="Times New Roman"/>
          <w:sz w:val="24"/>
        </w:rPr>
        <w:t xml:space="preserve">Dans ce chapitre, nous approcherons le </w:t>
      </w:r>
      <w:r w:rsidR="009567DB" w:rsidRPr="00B8073A">
        <w:rPr>
          <w:rFonts w:ascii="Times New Roman" w:hAnsi="Times New Roman" w:cs="Times New Roman"/>
          <w:sz w:val="24"/>
        </w:rPr>
        <w:t>phénomène</w:t>
      </w:r>
      <w:r w:rsidRPr="00B8073A">
        <w:rPr>
          <w:rFonts w:ascii="Times New Roman" w:hAnsi="Times New Roman" w:cs="Times New Roman"/>
          <w:sz w:val="24"/>
        </w:rPr>
        <w:t xml:space="preserve"> sous l’angle </w:t>
      </w:r>
      <w:r w:rsidR="009567DB" w:rsidRPr="00B8073A">
        <w:rPr>
          <w:rFonts w:ascii="Times New Roman" w:hAnsi="Times New Roman" w:cs="Times New Roman"/>
          <w:sz w:val="24"/>
        </w:rPr>
        <w:t>empirique</w:t>
      </w:r>
      <w:r w:rsidRPr="00B8073A">
        <w:rPr>
          <w:rFonts w:ascii="Times New Roman" w:hAnsi="Times New Roman" w:cs="Times New Roman"/>
          <w:sz w:val="24"/>
        </w:rPr>
        <w:t xml:space="preserve"> par une </w:t>
      </w:r>
      <w:r w:rsidR="009567DB" w:rsidRPr="00B8073A">
        <w:rPr>
          <w:rFonts w:ascii="Times New Roman" w:hAnsi="Times New Roman" w:cs="Times New Roman"/>
          <w:sz w:val="24"/>
        </w:rPr>
        <w:t>modélisation</w:t>
      </w:r>
      <w:r w:rsidRPr="00B8073A">
        <w:rPr>
          <w:rFonts w:ascii="Times New Roman" w:hAnsi="Times New Roman" w:cs="Times New Roman"/>
          <w:sz w:val="24"/>
        </w:rPr>
        <w:t xml:space="preserve"> </w:t>
      </w:r>
      <w:r w:rsidR="009567DB" w:rsidRPr="00B8073A">
        <w:rPr>
          <w:rFonts w:ascii="Times New Roman" w:hAnsi="Times New Roman" w:cs="Times New Roman"/>
          <w:sz w:val="24"/>
        </w:rPr>
        <w:t>économétrique</w:t>
      </w:r>
      <w:r w:rsidRPr="00B8073A">
        <w:rPr>
          <w:rFonts w:ascii="Times New Roman" w:hAnsi="Times New Roman" w:cs="Times New Roman"/>
          <w:sz w:val="24"/>
        </w:rPr>
        <w:t xml:space="preserve">. Pour ce faire, nous discuterons du </w:t>
      </w:r>
      <w:r w:rsidR="00B8073A" w:rsidRPr="00B8073A">
        <w:rPr>
          <w:rFonts w:ascii="Times New Roman" w:hAnsi="Times New Roman" w:cs="Times New Roman"/>
          <w:sz w:val="24"/>
        </w:rPr>
        <w:t>modèle</w:t>
      </w:r>
      <w:r w:rsidRPr="00B8073A">
        <w:rPr>
          <w:rFonts w:ascii="Times New Roman" w:hAnsi="Times New Roman" w:cs="Times New Roman"/>
          <w:sz w:val="24"/>
        </w:rPr>
        <w:t xml:space="preserve"> </w:t>
      </w:r>
      <w:r w:rsidR="00B8073A" w:rsidRPr="00B8073A">
        <w:rPr>
          <w:rFonts w:ascii="Times New Roman" w:hAnsi="Times New Roman" w:cs="Times New Roman"/>
          <w:sz w:val="24"/>
        </w:rPr>
        <w:t>économétrique</w:t>
      </w:r>
      <w:r w:rsidRPr="00B8073A">
        <w:rPr>
          <w:rFonts w:ascii="Times New Roman" w:hAnsi="Times New Roman" w:cs="Times New Roman"/>
          <w:sz w:val="24"/>
        </w:rPr>
        <w:t xml:space="preserve"> </w:t>
      </w:r>
      <w:r w:rsidR="00B8073A" w:rsidRPr="00B8073A">
        <w:rPr>
          <w:rFonts w:ascii="Times New Roman" w:hAnsi="Times New Roman" w:cs="Times New Roman"/>
          <w:sz w:val="24"/>
        </w:rPr>
        <w:t>à</w:t>
      </w:r>
      <w:r w:rsidRPr="00B8073A">
        <w:rPr>
          <w:rFonts w:ascii="Times New Roman" w:hAnsi="Times New Roman" w:cs="Times New Roman"/>
          <w:sz w:val="24"/>
        </w:rPr>
        <w:t xml:space="preserve"> retenir pour l’analyse. Ce dernier doit </w:t>
      </w:r>
      <w:r w:rsidR="00B8073A" w:rsidRPr="00B8073A">
        <w:rPr>
          <w:rFonts w:ascii="Times New Roman" w:hAnsi="Times New Roman" w:cs="Times New Roman"/>
          <w:sz w:val="24"/>
        </w:rPr>
        <w:t>être</w:t>
      </w:r>
      <w:r w:rsidRPr="00B8073A">
        <w:rPr>
          <w:rFonts w:ascii="Times New Roman" w:hAnsi="Times New Roman" w:cs="Times New Roman"/>
          <w:sz w:val="24"/>
        </w:rPr>
        <w:t xml:space="preserve"> choisi avec une gra</w:t>
      </w:r>
      <w:r w:rsidR="009567DB" w:rsidRPr="00B8073A">
        <w:rPr>
          <w:rFonts w:ascii="Times New Roman" w:hAnsi="Times New Roman" w:cs="Times New Roman"/>
          <w:sz w:val="24"/>
        </w:rPr>
        <w:t>n</w:t>
      </w:r>
      <w:r w:rsidRPr="00B8073A">
        <w:rPr>
          <w:rFonts w:ascii="Times New Roman" w:hAnsi="Times New Roman" w:cs="Times New Roman"/>
          <w:sz w:val="24"/>
        </w:rPr>
        <w:t xml:space="preserve">de </w:t>
      </w:r>
      <w:r w:rsidR="009567DB" w:rsidRPr="00B8073A">
        <w:rPr>
          <w:rFonts w:ascii="Times New Roman" w:hAnsi="Times New Roman" w:cs="Times New Roman"/>
          <w:sz w:val="24"/>
        </w:rPr>
        <w:t>rigueur</w:t>
      </w:r>
      <w:r w:rsidRPr="00B8073A">
        <w:rPr>
          <w:rFonts w:ascii="Times New Roman" w:hAnsi="Times New Roman" w:cs="Times New Roman"/>
          <w:sz w:val="24"/>
        </w:rPr>
        <w:t xml:space="preserve"> pour une </w:t>
      </w:r>
      <w:r w:rsidR="00B8073A" w:rsidRPr="00B8073A">
        <w:rPr>
          <w:rFonts w:ascii="Times New Roman" w:hAnsi="Times New Roman" w:cs="Times New Roman"/>
          <w:sz w:val="24"/>
        </w:rPr>
        <w:t>adéquation</w:t>
      </w:r>
      <w:r w:rsidRPr="00B8073A">
        <w:rPr>
          <w:rFonts w:ascii="Times New Roman" w:hAnsi="Times New Roman" w:cs="Times New Roman"/>
          <w:sz w:val="24"/>
        </w:rPr>
        <w:t xml:space="preserve"> avec le </w:t>
      </w:r>
      <w:r w:rsidR="00B8073A" w:rsidRPr="00B8073A">
        <w:rPr>
          <w:rFonts w:ascii="Times New Roman" w:hAnsi="Times New Roman" w:cs="Times New Roman"/>
          <w:sz w:val="24"/>
        </w:rPr>
        <w:t>phénomène</w:t>
      </w:r>
      <w:r w:rsidRPr="00B8073A">
        <w:rPr>
          <w:rFonts w:ascii="Times New Roman" w:hAnsi="Times New Roman" w:cs="Times New Roman"/>
          <w:sz w:val="24"/>
        </w:rPr>
        <w:t xml:space="preserve"> </w:t>
      </w:r>
      <w:r w:rsidR="00B8073A" w:rsidRPr="00B8073A">
        <w:rPr>
          <w:rFonts w:ascii="Times New Roman" w:hAnsi="Times New Roman" w:cs="Times New Roman"/>
          <w:sz w:val="24"/>
        </w:rPr>
        <w:t>étudié</w:t>
      </w:r>
      <w:r w:rsidR="0013634E">
        <w:rPr>
          <w:rFonts w:ascii="Times New Roman" w:hAnsi="Times New Roman" w:cs="Times New Roman"/>
          <w:sz w:val="24"/>
        </w:rPr>
        <w:t>.</w:t>
      </w:r>
      <w:r w:rsidR="002B7B2E">
        <w:rPr>
          <w:rFonts w:ascii="Times New Roman" w:hAnsi="Times New Roman" w:cs="Times New Roman"/>
          <w:sz w:val="24"/>
        </w:rPr>
        <w:t xml:space="preserve"> </w:t>
      </w:r>
      <w:r w:rsidRPr="00B8073A">
        <w:rPr>
          <w:rFonts w:ascii="Times New Roman" w:hAnsi="Times New Roman" w:cs="Times New Roman"/>
          <w:sz w:val="24"/>
        </w:rPr>
        <w:t xml:space="preserve">Une fois le </w:t>
      </w:r>
      <w:r w:rsidR="00B8073A" w:rsidRPr="00B8073A">
        <w:rPr>
          <w:rFonts w:ascii="Times New Roman" w:hAnsi="Times New Roman" w:cs="Times New Roman"/>
          <w:sz w:val="24"/>
        </w:rPr>
        <w:t>modèle</w:t>
      </w:r>
      <w:r w:rsidRPr="00B8073A">
        <w:rPr>
          <w:rFonts w:ascii="Times New Roman" w:hAnsi="Times New Roman" w:cs="Times New Roman"/>
          <w:sz w:val="24"/>
        </w:rPr>
        <w:t xml:space="preserve"> </w:t>
      </w:r>
      <w:r w:rsidR="00B8073A" w:rsidRPr="00B8073A">
        <w:rPr>
          <w:rFonts w:ascii="Times New Roman" w:hAnsi="Times New Roman" w:cs="Times New Roman"/>
          <w:sz w:val="24"/>
        </w:rPr>
        <w:t>théorique</w:t>
      </w:r>
      <w:r w:rsidRPr="00B8073A">
        <w:rPr>
          <w:rFonts w:ascii="Times New Roman" w:hAnsi="Times New Roman" w:cs="Times New Roman"/>
          <w:sz w:val="24"/>
        </w:rPr>
        <w:t xml:space="preserve"> </w:t>
      </w:r>
      <w:r w:rsidR="00B8073A" w:rsidRPr="00B8073A">
        <w:rPr>
          <w:rFonts w:ascii="Times New Roman" w:hAnsi="Times New Roman" w:cs="Times New Roman"/>
          <w:sz w:val="24"/>
        </w:rPr>
        <w:t>présenté</w:t>
      </w:r>
      <w:r w:rsidRPr="00B8073A">
        <w:rPr>
          <w:rFonts w:ascii="Times New Roman" w:hAnsi="Times New Roman" w:cs="Times New Roman"/>
          <w:sz w:val="24"/>
        </w:rPr>
        <w:t xml:space="preserve">, nous ferons une analyse des </w:t>
      </w:r>
      <w:r w:rsidR="00B8073A" w:rsidRPr="00B8073A">
        <w:rPr>
          <w:rFonts w:ascii="Times New Roman" w:hAnsi="Times New Roman" w:cs="Times New Roman"/>
          <w:sz w:val="24"/>
        </w:rPr>
        <w:t>séries</w:t>
      </w:r>
      <w:r w:rsidRPr="00B8073A">
        <w:rPr>
          <w:rFonts w:ascii="Times New Roman" w:hAnsi="Times New Roman" w:cs="Times New Roman"/>
          <w:sz w:val="24"/>
        </w:rPr>
        <w:t xml:space="preserve">. Celle-ci comprendra une analyse descriptive pour une </w:t>
      </w:r>
      <w:r w:rsidR="0021791A" w:rsidRPr="00B8073A">
        <w:rPr>
          <w:rFonts w:ascii="Times New Roman" w:hAnsi="Times New Roman" w:cs="Times New Roman"/>
          <w:sz w:val="24"/>
        </w:rPr>
        <w:t>première</w:t>
      </w:r>
      <w:r w:rsidRPr="00B8073A">
        <w:rPr>
          <w:rFonts w:ascii="Times New Roman" w:hAnsi="Times New Roman" w:cs="Times New Roman"/>
          <w:sz w:val="24"/>
        </w:rPr>
        <w:t xml:space="preserve"> </w:t>
      </w:r>
      <w:r w:rsidR="005E2D1A">
        <w:rPr>
          <w:rFonts w:ascii="Times New Roman" w:hAnsi="Times New Roman" w:cs="Times New Roman"/>
          <w:sz w:val="24"/>
        </w:rPr>
        <w:t xml:space="preserve">caractérisation </w:t>
      </w:r>
      <w:r w:rsidRPr="00B8073A">
        <w:rPr>
          <w:rFonts w:ascii="Times New Roman" w:hAnsi="Times New Roman" w:cs="Times New Roman"/>
          <w:sz w:val="24"/>
        </w:rPr>
        <w:t>des</w:t>
      </w:r>
      <w:r w:rsidR="0021791A">
        <w:rPr>
          <w:rFonts w:ascii="Times New Roman" w:hAnsi="Times New Roman" w:cs="Times New Roman"/>
          <w:sz w:val="24"/>
        </w:rPr>
        <w:t xml:space="preserve"> </w:t>
      </w:r>
      <w:r w:rsidRPr="00B8073A">
        <w:rPr>
          <w:rFonts w:ascii="Times New Roman" w:hAnsi="Times New Roman" w:cs="Times New Roman"/>
          <w:sz w:val="24"/>
        </w:rPr>
        <w:t>variables utilisées dans l’</w:t>
      </w:r>
      <w:r w:rsidR="0021791A" w:rsidRPr="00B8073A">
        <w:rPr>
          <w:rFonts w:ascii="Times New Roman" w:hAnsi="Times New Roman" w:cs="Times New Roman"/>
          <w:sz w:val="24"/>
        </w:rPr>
        <w:t>étude</w:t>
      </w:r>
      <w:r w:rsidRPr="00B8073A">
        <w:rPr>
          <w:rFonts w:ascii="Times New Roman" w:hAnsi="Times New Roman" w:cs="Times New Roman"/>
          <w:sz w:val="24"/>
        </w:rPr>
        <w:t>. Cette analyse sera renforcée par</w:t>
      </w:r>
      <w:r w:rsidR="00F673FD">
        <w:rPr>
          <w:rFonts w:ascii="Times New Roman" w:hAnsi="Times New Roman" w:cs="Times New Roman"/>
          <w:sz w:val="24"/>
        </w:rPr>
        <w:t xml:space="preserve"> une</w:t>
      </w:r>
      <w:r w:rsidRPr="00B8073A">
        <w:rPr>
          <w:rFonts w:ascii="Times New Roman" w:hAnsi="Times New Roman" w:cs="Times New Roman"/>
          <w:sz w:val="24"/>
        </w:rPr>
        <w:t xml:space="preserve"> </w:t>
      </w:r>
      <w:r w:rsidR="0021791A" w:rsidRPr="00B8073A">
        <w:rPr>
          <w:rFonts w:ascii="Times New Roman" w:hAnsi="Times New Roman" w:cs="Times New Roman"/>
          <w:sz w:val="24"/>
        </w:rPr>
        <w:t>étude</w:t>
      </w:r>
      <w:r w:rsidRPr="00B8073A">
        <w:rPr>
          <w:rFonts w:ascii="Times New Roman" w:hAnsi="Times New Roman" w:cs="Times New Roman"/>
          <w:sz w:val="24"/>
        </w:rPr>
        <w:t xml:space="preserve"> des </w:t>
      </w:r>
      <w:r w:rsidR="0021791A" w:rsidRPr="00B8073A">
        <w:rPr>
          <w:rFonts w:ascii="Times New Roman" w:hAnsi="Times New Roman" w:cs="Times New Roman"/>
          <w:sz w:val="24"/>
        </w:rPr>
        <w:t>corrélation</w:t>
      </w:r>
      <w:r w:rsidR="0021791A">
        <w:rPr>
          <w:rFonts w:ascii="Times New Roman" w:hAnsi="Times New Roman" w:cs="Times New Roman"/>
          <w:sz w:val="24"/>
        </w:rPr>
        <w:t>s</w:t>
      </w:r>
      <w:r w:rsidRPr="00B8073A">
        <w:rPr>
          <w:rFonts w:ascii="Times New Roman" w:hAnsi="Times New Roman" w:cs="Times New Roman"/>
          <w:sz w:val="24"/>
        </w:rPr>
        <w:t xml:space="preserve"> entre les </w:t>
      </w:r>
      <w:r w:rsidR="0021791A" w:rsidRPr="00B8073A">
        <w:rPr>
          <w:rFonts w:ascii="Times New Roman" w:hAnsi="Times New Roman" w:cs="Times New Roman"/>
          <w:sz w:val="24"/>
        </w:rPr>
        <w:t>séries</w:t>
      </w:r>
      <w:r w:rsidRPr="00B8073A">
        <w:rPr>
          <w:rFonts w:ascii="Times New Roman" w:hAnsi="Times New Roman" w:cs="Times New Roman"/>
          <w:sz w:val="24"/>
        </w:rPr>
        <w:t xml:space="preserve">. Ainsi, </w:t>
      </w:r>
      <w:r w:rsidR="00544EED">
        <w:rPr>
          <w:rFonts w:ascii="Times New Roman" w:hAnsi="Times New Roman" w:cs="Times New Roman"/>
          <w:sz w:val="24"/>
        </w:rPr>
        <w:t xml:space="preserve">nous pourrons </w:t>
      </w:r>
      <w:r w:rsidRPr="00B8073A">
        <w:rPr>
          <w:rFonts w:ascii="Times New Roman" w:hAnsi="Times New Roman" w:cs="Times New Roman"/>
          <w:sz w:val="24"/>
        </w:rPr>
        <w:t xml:space="preserve">postuler des liens </w:t>
      </w:r>
      <w:r w:rsidR="0021791A" w:rsidRPr="00B8073A">
        <w:rPr>
          <w:rFonts w:ascii="Times New Roman" w:hAnsi="Times New Roman" w:cs="Times New Roman"/>
          <w:sz w:val="24"/>
        </w:rPr>
        <w:t>potentiels</w:t>
      </w:r>
      <w:r w:rsidRPr="00B8073A">
        <w:rPr>
          <w:rFonts w:ascii="Times New Roman" w:hAnsi="Times New Roman" w:cs="Times New Roman"/>
          <w:sz w:val="24"/>
        </w:rPr>
        <w:t xml:space="preserve"> entre les variables </w:t>
      </w:r>
      <w:r w:rsidR="0021791A" w:rsidRPr="00B8073A">
        <w:rPr>
          <w:rFonts w:ascii="Times New Roman" w:hAnsi="Times New Roman" w:cs="Times New Roman"/>
          <w:sz w:val="24"/>
        </w:rPr>
        <w:t>même</w:t>
      </w:r>
      <w:r w:rsidRPr="00B8073A">
        <w:rPr>
          <w:rFonts w:ascii="Times New Roman" w:hAnsi="Times New Roman" w:cs="Times New Roman"/>
          <w:sz w:val="24"/>
        </w:rPr>
        <w:t xml:space="preserve"> si ces derniers devront faire l’objet de </w:t>
      </w:r>
      <w:r w:rsidR="0021791A" w:rsidRPr="00B8073A">
        <w:rPr>
          <w:rFonts w:ascii="Times New Roman" w:hAnsi="Times New Roman" w:cs="Times New Roman"/>
          <w:sz w:val="24"/>
        </w:rPr>
        <w:t>vérification</w:t>
      </w:r>
      <w:r w:rsidR="003035CD">
        <w:rPr>
          <w:rFonts w:ascii="Times New Roman" w:hAnsi="Times New Roman" w:cs="Times New Roman"/>
          <w:sz w:val="24"/>
        </w:rPr>
        <w:t>s</w:t>
      </w:r>
      <w:r w:rsidRPr="00B8073A">
        <w:rPr>
          <w:rFonts w:ascii="Times New Roman" w:hAnsi="Times New Roman" w:cs="Times New Roman"/>
          <w:sz w:val="24"/>
        </w:rPr>
        <w:t xml:space="preserve"> plus poussée</w:t>
      </w:r>
      <w:r w:rsidR="003035CD">
        <w:rPr>
          <w:rFonts w:ascii="Times New Roman" w:hAnsi="Times New Roman" w:cs="Times New Roman"/>
          <w:sz w:val="24"/>
        </w:rPr>
        <w:t>s</w:t>
      </w:r>
      <w:r w:rsidRPr="00B8073A">
        <w:rPr>
          <w:rFonts w:ascii="Times New Roman" w:hAnsi="Times New Roman" w:cs="Times New Roman"/>
          <w:sz w:val="24"/>
        </w:rPr>
        <w:t xml:space="preserve"> dans le cadre de notre </w:t>
      </w:r>
      <w:r w:rsidR="0021791A" w:rsidRPr="00B8073A">
        <w:rPr>
          <w:rFonts w:ascii="Times New Roman" w:hAnsi="Times New Roman" w:cs="Times New Roman"/>
          <w:sz w:val="24"/>
        </w:rPr>
        <w:t>modélisation</w:t>
      </w:r>
      <w:r w:rsidRPr="00B8073A">
        <w:rPr>
          <w:rFonts w:ascii="Times New Roman" w:hAnsi="Times New Roman" w:cs="Times New Roman"/>
          <w:sz w:val="24"/>
        </w:rPr>
        <w:t xml:space="preserve">. Il s’en suivra enfin les </w:t>
      </w:r>
      <w:r w:rsidR="0021791A" w:rsidRPr="00B8073A">
        <w:rPr>
          <w:rFonts w:ascii="Times New Roman" w:hAnsi="Times New Roman" w:cs="Times New Roman"/>
          <w:sz w:val="24"/>
        </w:rPr>
        <w:t>résultats</w:t>
      </w:r>
      <w:r w:rsidRPr="00B8073A">
        <w:rPr>
          <w:rFonts w:ascii="Times New Roman" w:hAnsi="Times New Roman" w:cs="Times New Roman"/>
          <w:sz w:val="24"/>
        </w:rPr>
        <w:t xml:space="preserve"> empiriques qui sont</w:t>
      </w:r>
      <w:r w:rsidR="00EC48EC">
        <w:rPr>
          <w:rFonts w:ascii="Times New Roman" w:hAnsi="Times New Roman" w:cs="Times New Roman"/>
          <w:sz w:val="24"/>
        </w:rPr>
        <w:t xml:space="preserve"> issus de</w:t>
      </w:r>
      <w:r w:rsidRPr="00B8073A">
        <w:rPr>
          <w:rFonts w:ascii="Times New Roman" w:hAnsi="Times New Roman" w:cs="Times New Roman"/>
          <w:sz w:val="24"/>
        </w:rPr>
        <w:t xml:space="preserve"> la </w:t>
      </w:r>
      <w:r w:rsidR="0021791A" w:rsidRPr="00B8073A">
        <w:rPr>
          <w:rFonts w:ascii="Times New Roman" w:hAnsi="Times New Roman" w:cs="Times New Roman"/>
          <w:sz w:val="24"/>
        </w:rPr>
        <w:t>modélisation</w:t>
      </w:r>
      <w:r w:rsidRPr="00B8073A">
        <w:rPr>
          <w:rFonts w:ascii="Times New Roman" w:hAnsi="Times New Roman" w:cs="Times New Roman"/>
          <w:sz w:val="24"/>
        </w:rPr>
        <w:t xml:space="preserve"> à proprement parler ainsi que les tests de validation de notre </w:t>
      </w:r>
      <w:r w:rsidR="0021791A" w:rsidRPr="00B8073A">
        <w:rPr>
          <w:rFonts w:ascii="Times New Roman" w:hAnsi="Times New Roman" w:cs="Times New Roman"/>
          <w:sz w:val="24"/>
        </w:rPr>
        <w:t>modèle</w:t>
      </w:r>
      <w:r w:rsidRPr="00B8073A">
        <w:rPr>
          <w:rFonts w:ascii="Times New Roman" w:hAnsi="Times New Roman" w:cs="Times New Roman"/>
          <w:sz w:val="24"/>
        </w:rPr>
        <w:t xml:space="preserve">. </w:t>
      </w:r>
    </w:p>
    <w:p w14:paraId="36813046" w14:textId="373DE4B9" w:rsidR="00D86479" w:rsidRPr="0017252F" w:rsidRDefault="0021791A" w:rsidP="00E55A18">
      <w:pPr>
        <w:pStyle w:val="Titre2"/>
        <w:numPr>
          <w:ilvl w:val="1"/>
          <w:numId w:val="12"/>
        </w:numPr>
        <w:rPr>
          <w:rFonts w:ascii="Times New Roman" w:hAnsi="Times New Roman" w:cs="Times New Roman"/>
          <w:b/>
          <w:bCs/>
        </w:rPr>
      </w:pPr>
      <w:bookmarkStart w:id="32" w:name="_Toc70937411"/>
      <w:r w:rsidRPr="0017252F">
        <w:rPr>
          <w:rFonts w:ascii="Times New Roman" w:hAnsi="Times New Roman" w:cs="Times New Roman"/>
          <w:b/>
          <w:bCs/>
        </w:rPr>
        <w:t>Spécification</w:t>
      </w:r>
      <w:r w:rsidR="00D47724" w:rsidRPr="0017252F">
        <w:rPr>
          <w:rFonts w:ascii="Times New Roman" w:hAnsi="Times New Roman" w:cs="Times New Roman"/>
          <w:b/>
          <w:bCs/>
        </w:rPr>
        <w:t xml:space="preserve"> </w:t>
      </w:r>
      <w:r w:rsidRPr="0017252F">
        <w:rPr>
          <w:rFonts w:ascii="Times New Roman" w:hAnsi="Times New Roman" w:cs="Times New Roman"/>
          <w:b/>
          <w:bCs/>
        </w:rPr>
        <w:t>théorique</w:t>
      </w:r>
      <w:bookmarkEnd w:id="32"/>
      <w:r w:rsidR="00D47724" w:rsidRPr="0017252F">
        <w:rPr>
          <w:rFonts w:ascii="Times New Roman" w:hAnsi="Times New Roman" w:cs="Times New Roman"/>
          <w:b/>
          <w:bCs/>
        </w:rPr>
        <w:t xml:space="preserve"> </w:t>
      </w:r>
    </w:p>
    <w:p w14:paraId="1525B60A" w14:textId="4724A5FC" w:rsidR="005E6FDA" w:rsidRPr="00B8073A" w:rsidRDefault="00D86479" w:rsidP="00D86479">
      <w:pPr>
        <w:jc w:val="both"/>
        <w:rPr>
          <w:rFonts w:ascii="Times New Roman" w:hAnsi="Times New Roman" w:cs="Times New Roman"/>
          <w:sz w:val="24"/>
        </w:rPr>
      </w:pPr>
      <w:r w:rsidRPr="00B8073A">
        <w:rPr>
          <w:rFonts w:ascii="Times New Roman" w:hAnsi="Times New Roman" w:cs="Times New Roman"/>
          <w:sz w:val="24"/>
        </w:rPr>
        <w:t xml:space="preserve">Un </w:t>
      </w:r>
      <w:r w:rsidR="0021791A" w:rsidRPr="00B8073A">
        <w:rPr>
          <w:rFonts w:ascii="Times New Roman" w:hAnsi="Times New Roman" w:cs="Times New Roman"/>
          <w:sz w:val="24"/>
        </w:rPr>
        <w:t>modèle</w:t>
      </w:r>
      <w:r w:rsidRPr="00B8073A">
        <w:rPr>
          <w:rFonts w:ascii="Times New Roman" w:hAnsi="Times New Roman" w:cs="Times New Roman"/>
          <w:sz w:val="24"/>
        </w:rPr>
        <w:t xml:space="preserve"> </w:t>
      </w:r>
      <w:r w:rsidR="0021791A" w:rsidRPr="00B8073A">
        <w:rPr>
          <w:rFonts w:ascii="Times New Roman" w:hAnsi="Times New Roman" w:cs="Times New Roman"/>
          <w:sz w:val="24"/>
        </w:rPr>
        <w:t>économétrique</w:t>
      </w:r>
      <w:r w:rsidRPr="00B8073A">
        <w:rPr>
          <w:rFonts w:ascii="Times New Roman" w:hAnsi="Times New Roman" w:cs="Times New Roman"/>
          <w:sz w:val="24"/>
        </w:rPr>
        <w:t xml:space="preserve"> en </w:t>
      </w:r>
      <w:r w:rsidR="0021791A" w:rsidRPr="00B8073A">
        <w:rPr>
          <w:rFonts w:ascii="Times New Roman" w:hAnsi="Times New Roman" w:cs="Times New Roman"/>
          <w:sz w:val="24"/>
        </w:rPr>
        <w:t>série</w:t>
      </w:r>
      <w:r w:rsidRPr="00B8073A">
        <w:rPr>
          <w:rFonts w:ascii="Times New Roman" w:hAnsi="Times New Roman" w:cs="Times New Roman"/>
          <w:sz w:val="24"/>
        </w:rPr>
        <w:t xml:space="preserve"> temporelle dont les structures de retard sont d’ordre p et q respectivement pour la variable </w:t>
      </w:r>
      <w:r w:rsidR="0021791A" w:rsidRPr="00B8073A">
        <w:rPr>
          <w:rFonts w:ascii="Times New Roman" w:hAnsi="Times New Roman" w:cs="Times New Roman"/>
          <w:sz w:val="24"/>
        </w:rPr>
        <w:t>dépendante</w:t>
      </w:r>
      <w:r w:rsidRPr="00B8073A">
        <w:rPr>
          <w:rFonts w:ascii="Times New Roman" w:hAnsi="Times New Roman" w:cs="Times New Roman"/>
          <w:sz w:val="24"/>
        </w:rPr>
        <w:t xml:space="preserve"> et la (les) variable (s) </w:t>
      </w:r>
      <w:r w:rsidR="0021791A" w:rsidRPr="00B8073A">
        <w:rPr>
          <w:rFonts w:ascii="Times New Roman" w:hAnsi="Times New Roman" w:cs="Times New Roman"/>
          <w:sz w:val="24"/>
        </w:rPr>
        <w:t>indépendante</w:t>
      </w:r>
      <w:r w:rsidRPr="00B8073A">
        <w:rPr>
          <w:rFonts w:ascii="Times New Roman" w:hAnsi="Times New Roman" w:cs="Times New Roman"/>
          <w:sz w:val="24"/>
        </w:rPr>
        <w:t xml:space="preserve"> (s) est dit </w:t>
      </w:r>
      <w:r w:rsidR="0021791A" w:rsidRPr="00B8073A">
        <w:rPr>
          <w:rFonts w:ascii="Times New Roman" w:hAnsi="Times New Roman" w:cs="Times New Roman"/>
          <w:sz w:val="24"/>
        </w:rPr>
        <w:t>autorégressif</w:t>
      </w:r>
      <w:r w:rsidRPr="00B8073A">
        <w:rPr>
          <w:rFonts w:ascii="Times New Roman" w:hAnsi="Times New Roman" w:cs="Times New Roman"/>
          <w:sz w:val="24"/>
        </w:rPr>
        <w:t xml:space="preserve"> à retard </w:t>
      </w:r>
      <w:r w:rsidR="0021791A" w:rsidRPr="00B8073A">
        <w:rPr>
          <w:rFonts w:ascii="Times New Roman" w:hAnsi="Times New Roman" w:cs="Times New Roman"/>
          <w:sz w:val="24"/>
        </w:rPr>
        <w:t>échelonné</w:t>
      </w:r>
      <w:r w:rsidRPr="00B8073A">
        <w:rPr>
          <w:rFonts w:ascii="Times New Roman" w:hAnsi="Times New Roman" w:cs="Times New Roman"/>
          <w:sz w:val="24"/>
        </w:rPr>
        <w:t xml:space="preserve">. Ces </w:t>
      </w:r>
      <w:r w:rsidR="0021791A" w:rsidRPr="00B8073A">
        <w:rPr>
          <w:rFonts w:ascii="Times New Roman" w:hAnsi="Times New Roman" w:cs="Times New Roman"/>
          <w:sz w:val="24"/>
        </w:rPr>
        <w:t>modèles</w:t>
      </w:r>
      <w:r w:rsidRPr="00B8073A">
        <w:rPr>
          <w:rFonts w:ascii="Times New Roman" w:hAnsi="Times New Roman" w:cs="Times New Roman"/>
          <w:sz w:val="24"/>
        </w:rPr>
        <w:t xml:space="preserve"> sont essentiels lorsque </w:t>
      </w:r>
      <w:r w:rsidR="003B2F60">
        <w:rPr>
          <w:rFonts w:ascii="Times New Roman" w:hAnsi="Times New Roman" w:cs="Times New Roman"/>
          <w:sz w:val="24"/>
        </w:rPr>
        <w:t xml:space="preserve">nous voulons </w:t>
      </w:r>
      <w:r w:rsidRPr="00B8073A">
        <w:rPr>
          <w:rFonts w:ascii="Times New Roman" w:hAnsi="Times New Roman" w:cs="Times New Roman"/>
          <w:sz w:val="24"/>
        </w:rPr>
        <w:t xml:space="preserve">prendre en compte </w:t>
      </w:r>
      <w:r w:rsidR="003B2F60">
        <w:rPr>
          <w:rFonts w:ascii="Times New Roman" w:hAnsi="Times New Roman" w:cs="Times New Roman"/>
          <w:sz w:val="24"/>
        </w:rPr>
        <w:t xml:space="preserve">le caractère dynamique de variables </w:t>
      </w:r>
      <w:r w:rsidRPr="00B8073A">
        <w:rPr>
          <w:rFonts w:ascii="Times New Roman" w:hAnsi="Times New Roman" w:cs="Times New Roman"/>
          <w:sz w:val="24"/>
        </w:rPr>
        <w:t>dans l’</w:t>
      </w:r>
      <w:r w:rsidR="00641A54" w:rsidRPr="00B8073A">
        <w:rPr>
          <w:rFonts w:ascii="Times New Roman" w:hAnsi="Times New Roman" w:cs="Times New Roman"/>
          <w:sz w:val="24"/>
        </w:rPr>
        <w:t>étude</w:t>
      </w:r>
      <w:r w:rsidRPr="00B8073A">
        <w:rPr>
          <w:rFonts w:ascii="Times New Roman" w:hAnsi="Times New Roman" w:cs="Times New Roman"/>
          <w:sz w:val="24"/>
        </w:rPr>
        <w:t xml:space="preserve"> d’un </w:t>
      </w:r>
      <w:r w:rsidR="00641A54" w:rsidRPr="00B8073A">
        <w:rPr>
          <w:rFonts w:ascii="Times New Roman" w:hAnsi="Times New Roman" w:cs="Times New Roman"/>
          <w:sz w:val="24"/>
        </w:rPr>
        <w:t>phénomène</w:t>
      </w:r>
      <w:r w:rsidRPr="00B8073A">
        <w:rPr>
          <w:rFonts w:ascii="Times New Roman" w:hAnsi="Times New Roman" w:cs="Times New Roman"/>
          <w:sz w:val="24"/>
        </w:rPr>
        <w:t xml:space="preserve"> quelconque. Par exemple, les investissement</w:t>
      </w:r>
      <w:r w:rsidR="005E6FDA" w:rsidRPr="00B8073A">
        <w:rPr>
          <w:rFonts w:ascii="Times New Roman" w:hAnsi="Times New Roman" w:cs="Times New Roman"/>
          <w:sz w:val="24"/>
        </w:rPr>
        <w:t>s</w:t>
      </w:r>
      <w:r w:rsidRPr="00B8073A">
        <w:rPr>
          <w:rFonts w:ascii="Times New Roman" w:hAnsi="Times New Roman" w:cs="Times New Roman"/>
          <w:sz w:val="24"/>
        </w:rPr>
        <w:t xml:space="preserve"> peuvent avoir un effet sur la rentabilité </w:t>
      </w:r>
      <w:r w:rsidR="00641A54" w:rsidRPr="00B8073A">
        <w:rPr>
          <w:rFonts w:ascii="Times New Roman" w:hAnsi="Times New Roman" w:cs="Times New Roman"/>
          <w:sz w:val="24"/>
        </w:rPr>
        <w:t>après</w:t>
      </w:r>
      <w:r w:rsidRPr="00B8073A">
        <w:rPr>
          <w:rFonts w:ascii="Times New Roman" w:hAnsi="Times New Roman" w:cs="Times New Roman"/>
          <w:sz w:val="24"/>
        </w:rPr>
        <w:t xml:space="preserve"> un certain temps (</w:t>
      </w:r>
      <w:r w:rsidR="00641A54" w:rsidRPr="00B8073A">
        <w:rPr>
          <w:rFonts w:ascii="Times New Roman" w:hAnsi="Times New Roman" w:cs="Times New Roman"/>
          <w:sz w:val="24"/>
        </w:rPr>
        <w:t>délai</w:t>
      </w:r>
      <w:r w:rsidRPr="00B8073A">
        <w:rPr>
          <w:rFonts w:ascii="Times New Roman" w:hAnsi="Times New Roman" w:cs="Times New Roman"/>
          <w:sz w:val="24"/>
        </w:rPr>
        <w:t xml:space="preserve"> d’ajustement). Aussi, les variables peuvent avoir des effets de court et de long terme sur la variable </w:t>
      </w:r>
      <w:r w:rsidR="00641A54" w:rsidRPr="00B8073A">
        <w:rPr>
          <w:rFonts w:ascii="Times New Roman" w:hAnsi="Times New Roman" w:cs="Times New Roman"/>
          <w:sz w:val="24"/>
        </w:rPr>
        <w:t>dépendante</w:t>
      </w:r>
      <w:r w:rsidR="003B2F60">
        <w:rPr>
          <w:rFonts w:ascii="Times New Roman" w:hAnsi="Times New Roman" w:cs="Times New Roman"/>
          <w:sz w:val="24"/>
        </w:rPr>
        <w:t xml:space="preserve"> considérée</w:t>
      </w:r>
      <w:r w:rsidRPr="00B8073A">
        <w:rPr>
          <w:rFonts w:ascii="Times New Roman" w:hAnsi="Times New Roman" w:cs="Times New Roman"/>
          <w:sz w:val="24"/>
        </w:rPr>
        <w:t>. C</w:t>
      </w:r>
      <w:r w:rsidR="00AF27E8">
        <w:rPr>
          <w:rFonts w:ascii="Times New Roman" w:hAnsi="Times New Roman" w:cs="Times New Roman"/>
          <w:sz w:val="24"/>
        </w:rPr>
        <w:t xml:space="preserve">e modèle s’oppose ainsi à des modèles plus simples qui ne prennent pas en compte ces facteurs. </w:t>
      </w:r>
      <w:r w:rsidR="003B2F60">
        <w:rPr>
          <w:rFonts w:ascii="Times New Roman" w:hAnsi="Times New Roman" w:cs="Times New Roman"/>
          <w:sz w:val="24"/>
        </w:rPr>
        <w:t xml:space="preserve">Ce sont ces raisons qui nous ont </w:t>
      </w:r>
      <w:proofErr w:type="spellStart"/>
      <w:r w:rsidR="003B2F60">
        <w:rPr>
          <w:rFonts w:ascii="Times New Roman" w:hAnsi="Times New Roman" w:cs="Times New Roman"/>
          <w:sz w:val="24"/>
        </w:rPr>
        <w:t>poussé</w:t>
      </w:r>
      <w:r w:rsidR="00544EED">
        <w:rPr>
          <w:rFonts w:ascii="Times New Roman" w:hAnsi="Times New Roman" w:cs="Times New Roman"/>
          <w:sz w:val="24"/>
        </w:rPr>
        <w:t>es</w:t>
      </w:r>
      <w:proofErr w:type="spellEnd"/>
      <w:r w:rsidR="003B2F60">
        <w:rPr>
          <w:rFonts w:ascii="Times New Roman" w:hAnsi="Times New Roman" w:cs="Times New Roman"/>
          <w:sz w:val="24"/>
        </w:rPr>
        <w:t xml:space="preserve"> à </w:t>
      </w:r>
      <w:r w:rsidR="00067D3D">
        <w:rPr>
          <w:rFonts w:ascii="Times New Roman" w:hAnsi="Times New Roman" w:cs="Times New Roman"/>
          <w:sz w:val="24"/>
        </w:rPr>
        <w:t xml:space="preserve">considérer le modèle ARDL pour ainsi capter l’effet de la variable proxy « Dépenses d’investissement en matériel roulant » qui peut impacter la rentabilité économique du service public de transport seulement des années après que ces investissements aient été réalisés. </w:t>
      </w:r>
    </w:p>
    <w:p w14:paraId="62C5517B" w14:textId="6F88A2A3" w:rsidR="0009482B" w:rsidRPr="00B8073A" w:rsidRDefault="005E6FDA" w:rsidP="00D86479">
      <w:pPr>
        <w:jc w:val="both"/>
        <w:rPr>
          <w:rFonts w:ascii="Times New Roman" w:eastAsiaTheme="minorEastAsia" w:hAnsi="Times New Roman" w:cs="Times New Roman"/>
          <w:sz w:val="24"/>
        </w:rPr>
      </w:pPr>
      <w:r w:rsidRPr="00B8073A">
        <w:rPr>
          <w:rFonts w:ascii="Times New Roman" w:hAnsi="Times New Roman" w:cs="Times New Roman"/>
          <w:sz w:val="24"/>
        </w:rPr>
        <w:t xml:space="preserve">Formellement, nous </w:t>
      </w:r>
      <w:r w:rsidR="00465580" w:rsidRPr="00B8073A">
        <w:rPr>
          <w:rFonts w:ascii="Times New Roman" w:hAnsi="Times New Roman" w:cs="Times New Roman"/>
          <w:sz w:val="24"/>
        </w:rPr>
        <w:t>considérons</w:t>
      </w:r>
      <w:r w:rsidRPr="00B8073A">
        <w:rPr>
          <w:rFonts w:ascii="Times New Roman" w:hAnsi="Times New Roman" w:cs="Times New Roman"/>
          <w:sz w:val="24"/>
        </w:rPr>
        <w:t xml:space="preserve"> un </w:t>
      </w:r>
      <w:r w:rsidR="00465580" w:rsidRPr="00B8073A">
        <w:rPr>
          <w:rFonts w:ascii="Times New Roman" w:hAnsi="Times New Roman" w:cs="Times New Roman"/>
          <w:sz w:val="24"/>
        </w:rPr>
        <w:t>modèle</w:t>
      </w:r>
      <w:r w:rsidRPr="00B8073A">
        <w:rPr>
          <w:rFonts w:ascii="Times New Roman" w:hAnsi="Times New Roman" w:cs="Times New Roman"/>
          <w:sz w:val="24"/>
        </w:rPr>
        <w:t xml:space="preserve"> </w:t>
      </w:r>
      <w:r w:rsidR="00465580" w:rsidRPr="00B8073A">
        <w:rPr>
          <w:rFonts w:ascii="Times New Roman" w:hAnsi="Times New Roman" w:cs="Times New Roman"/>
          <w:sz w:val="24"/>
        </w:rPr>
        <w:t>économétrique</w:t>
      </w:r>
      <w:r w:rsidRPr="00B8073A">
        <w:rPr>
          <w:rFonts w:ascii="Times New Roman" w:hAnsi="Times New Roman" w:cs="Times New Roman"/>
          <w:sz w:val="24"/>
        </w:rPr>
        <w:t xml:space="preserve"> </w:t>
      </w:r>
      <w:r w:rsidR="000D6A90">
        <w:rPr>
          <w:rFonts w:ascii="Times New Roman" w:hAnsi="Times New Roman" w:cs="Times New Roman"/>
          <w:sz w:val="24"/>
        </w:rPr>
        <w:t>avec</w:t>
      </w:r>
      <w:r w:rsidRPr="00B8073A">
        <w:rPr>
          <w:rFonts w:ascii="Times New Roman" w:hAnsi="Times New Roman" w:cs="Times New Roman"/>
          <w:sz w:val="24"/>
        </w:rPr>
        <w:t xml:space="preserve"> </w:t>
      </w:r>
      <w:r w:rsidR="000D6A90">
        <w:rPr>
          <w:rFonts w:ascii="Times New Roman" w:hAnsi="Times New Roman" w:cs="Times New Roman"/>
          <w:sz w:val="24"/>
        </w:rPr>
        <w:t>une</w:t>
      </w:r>
      <w:r w:rsidRPr="00B8073A">
        <w:rPr>
          <w:rFonts w:ascii="Times New Roman" w:hAnsi="Times New Roman" w:cs="Times New Roman"/>
          <w:sz w:val="24"/>
        </w:rPr>
        <w:t xml:space="preserve"> variable </w:t>
      </w:r>
      <w:r w:rsidR="00465580" w:rsidRPr="00B8073A">
        <w:rPr>
          <w:rFonts w:ascii="Times New Roman" w:hAnsi="Times New Roman" w:cs="Times New Roman"/>
          <w:sz w:val="24"/>
        </w:rPr>
        <w:t>dépendante</w:t>
      </w:r>
      <w:r w:rsidRPr="00B8073A">
        <w:rPr>
          <w:rFonts w:ascii="Times New Roman" w:hAnsi="Times New Roman" w:cs="Times New Roman"/>
          <w:sz w:val="24"/>
        </w:rPr>
        <w:t xml:space="preserve"> </w:t>
      </w:r>
      <m:oMath>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t</m:t>
            </m:r>
          </m:sub>
        </m:sSub>
      </m:oMath>
      <w:r w:rsidRPr="00B8073A">
        <w:rPr>
          <w:rFonts w:ascii="Times New Roman" w:eastAsiaTheme="minorEastAsia" w:hAnsi="Times New Roman" w:cs="Times New Roman"/>
          <w:sz w:val="24"/>
        </w:rPr>
        <w:t xml:space="preserve"> et </w:t>
      </w:r>
      <w:r w:rsidR="000D6A90">
        <w:rPr>
          <w:rFonts w:ascii="Times New Roman" w:eastAsiaTheme="minorEastAsia" w:hAnsi="Times New Roman" w:cs="Times New Roman"/>
          <w:sz w:val="24"/>
        </w:rPr>
        <w:t xml:space="preserve">une </w:t>
      </w:r>
      <w:r w:rsidRPr="00B8073A">
        <w:rPr>
          <w:rFonts w:ascii="Times New Roman" w:eastAsiaTheme="minorEastAsia" w:hAnsi="Times New Roman" w:cs="Times New Roman"/>
          <w:sz w:val="24"/>
        </w:rPr>
        <w:t xml:space="preserve">variable </w:t>
      </w:r>
      <w:r w:rsidR="00465580" w:rsidRPr="00B8073A">
        <w:rPr>
          <w:rFonts w:ascii="Times New Roman" w:eastAsiaTheme="minorEastAsia" w:hAnsi="Times New Roman" w:cs="Times New Roman"/>
          <w:sz w:val="24"/>
        </w:rPr>
        <w:t>indépendante</w:t>
      </w:r>
      <w:r w:rsidRPr="00B8073A">
        <w:rPr>
          <w:rFonts w:ascii="Times New Roman" w:eastAsiaTheme="minorEastAsia" w:hAnsi="Times New Roman" w:cs="Times New Roman"/>
          <w:sz w:val="24"/>
        </w:rPr>
        <w:t xml:space="preserve"> </w:t>
      </w:r>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t</m:t>
            </m:r>
          </m:sub>
        </m:sSub>
      </m:oMath>
      <w:r w:rsidR="00D86479" w:rsidRPr="00B8073A">
        <w:rPr>
          <w:rFonts w:ascii="Times New Roman" w:hAnsi="Times New Roman" w:cs="Times New Roman"/>
          <w:sz w:val="24"/>
        </w:rPr>
        <w:t xml:space="preserve"> </w:t>
      </w:r>
      <w:r w:rsidRPr="00B8073A">
        <w:rPr>
          <w:rFonts w:ascii="Times New Roman" w:eastAsiaTheme="minorEastAsia" w:hAnsi="Times New Roman" w:cs="Times New Roman"/>
          <w:sz w:val="24"/>
        </w:rPr>
        <w:t xml:space="preserve"> dont les retards sont respectivement d’ordre </w:t>
      </w:r>
      <m:oMath>
        <m:r>
          <w:rPr>
            <w:rFonts w:ascii="Cambria Math" w:eastAsiaTheme="minorEastAsia" w:hAnsi="Cambria Math" w:cs="Times New Roman"/>
            <w:sz w:val="24"/>
          </w:rPr>
          <m:t>p</m:t>
        </m:r>
      </m:oMath>
      <w:r w:rsidRPr="00B8073A">
        <w:rPr>
          <w:rFonts w:ascii="Times New Roman" w:eastAsiaTheme="minorEastAsia" w:hAnsi="Times New Roman" w:cs="Times New Roman"/>
          <w:sz w:val="24"/>
        </w:rPr>
        <w:t xml:space="preserve"> </w:t>
      </w:r>
      <w:r w:rsidR="00465580" w:rsidRPr="00B8073A">
        <w:rPr>
          <w:rFonts w:ascii="Times New Roman" w:eastAsiaTheme="minorEastAsia" w:hAnsi="Times New Roman" w:cs="Times New Roman"/>
          <w:sz w:val="24"/>
        </w:rPr>
        <w:t>et</w:t>
      </w:r>
      <m:oMath>
        <m:r>
          <w:rPr>
            <w:rFonts w:ascii="Cambria Math" w:eastAsiaTheme="minorEastAsia" w:hAnsi="Cambria Math" w:cs="Times New Roman"/>
            <w:sz w:val="24"/>
          </w:rPr>
          <m:t xml:space="preserve"> q</m:t>
        </m:r>
      </m:oMath>
      <w:r w:rsidRPr="00B8073A">
        <w:rPr>
          <w:rFonts w:ascii="Times New Roman" w:eastAsiaTheme="minorEastAsia" w:hAnsi="Times New Roman" w:cs="Times New Roman"/>
          <w:sz w:val="24"/>
        </w:rPr>
        <w:t xml:space="preserve">. De cette </w:t>
      </w:r>
      <w:r w:rsidR="00465580" w:rsidRPr="00B8073A">
        <w:rPr>
          <w:rFonts w:ascii="Times New Roman" w:eastAsiaTheme="minorEastAsia" w:hAnsi="Times New Roman" w:cs="Times New Roman"/>
          <w:sz w:val="24"/>
        </w:rPr>
        <w:t>spécification</w:t>
      </w:r>
      <w:r w:rsidR="000D6A90">
        <w:rPr>
          <w:rFonts w:ascii="Times New Roman" w:eastAsiaTheme="minorEastAsia" w:hAnsi="Times New Roman" w:cs="Times New Roman"/>
          <w:sz w:val="24"/>
        </w:rPr>
        <w:t xml:space="preserve">, </w:t>
      </w:r>
      <w:r w:rsidRPr="00B8073A">
        <w:rPr>
          <w:rFonts w:ascii="Times New Roman" w:eastAsiaTheme="minorEastAsia" w:hAnsi="Times New Roman" w:cs="Times New Roman"/>
          <w:sz w:val="24"/>
        </w:rPr>
        <w:t>peu</w:t>
      </w:r>
      <w:r w:rsidR="000D6A90">
        <w:rPr>
          <w:rFonts w:ascii="Times New Roman" w:eastAsiaTheme="minorEastAsia" w:hAnsi="Times New Roman" w:cs="Times New Roman"/>
          <w:sz w:val="24"/>
        </w:rPr>
        <w:t>vent</w:t>
      </w:r>
      <w:r w:rsidRPr="00B8073A">
        <w:rPr>
          <w:rFonts w:ascii="Times New Roman" w:eastAsiaTheme="minorEastAsia" w:hAnsi="Times New Roman" w:cs="Times New Roman"/>
          <w:sz w:val="24"/>
        </w:rPr>
        <w:t xml:space="preserve"> </w:t>
      </w:r>
      <w:r w:rsidR="00465580" w:rsidRPr="00B8073A">
        <w:rPr>
          <w:rFonts w:ascii="Times New Roman" w:eastAsiaTheme="minorEastAsia" w:hAnsi="Times New Roman" w:cs="Times New Roman"/>
          <w:sz w:val="24"/>
        </w:rPr>
        <w:t>découler</w:t>
      </w:r>
      <w:r w:rsidRPr="00B8073A">
        <w:rPr>
          <w:rFonts w:ascii="Times New Roman" w:eastAsiaTheme="minorEastAsia" w:hAnsi="Times New Roman" w:cs="Times New Roman"/>
          <w:sz w:val="24"/>
        </w:rPr>
        <w:t xml:space="preserve"> trois </w:t>
      </w:r>
      <w:r w:rsidR="00465580" w:rsidRPr="00B8073A">
        <w:rPr>
          <w:rFonts w:ascii="Times New Roman" w:eastAsiaTheme="minorEastAsia" w:hAnsi="Times New Roman" w:cs="Times New Roman"/>
          <w:sz w:val="24"/>
        </w:rPr>
        <w:t>catégories</w:t>
      </w:r>
      <w:r w:rsidRPr="00B8073A">
        <w:rPr>
          <w:rFonts w:ascii="Times New Roman" w:eastAsiaTheme="minorEastAsia" w:hAnsi="Times New Roman" w:cs="Times New Roman"/>
          <w:sz w:val="24"/>
        </w:rPr>
        <w:t xml:space="preserve"> de </w:t>
      </w:r>
      <w:r w:rsidR="00465580" w:rsidRPr="00B8073A">
        <w:rPr>
          <w:rFonts w:ascii="Times New Roman" w:eastAsiaTheme="minorEastAsia" w:hAnsi="Times New Roman" w:cs="Times New Roman"/>
          <w:sz w:val="24"/>
        </w:rPr>
        <w:t>modèles</w:t>
      </w:r>
      <w:r w:rsidRPr="00B8073A">
        <w:rPr>
          <w:rFonts w:ascii="Times New Roman" w:eastAsiaTheme="minorEastAsia" w:hAnsi="Times New Roman" w:cs="Times New Roman"/>
          <w:sz w:val="24"/>
        </w:rPr>
        <w:t xml:space="preserve"> pour expliquer la variable </w:t>
      </w:r>
      <w:r w:rsidR="00465580" w:rsidRPr="00B8073A">
        <w:rPr>
          <w:rFonts w:ascii="Times New Roman" w:eastAsiaTheme="minorEastAsia" w:hAnsi="Times New Roman" w:cs="Times New Roman"/>
          <w:sz w:val="24"/>
        </w:rPr>
        <w:t xml:space="preserve">dépendante </w:t>
      </w:r>
      <m:oMath>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t</m:t>
            </m:r>
          </m:sub>
        </m:sSub>
      </m:oMath>
      <w:r w:rsidRPr="00B8073A">
        <w:rPr>
          <w:rFonts w:ascii="Times New Roman" w:eastAsiaTheme="minorEastAsia" w:hAnsi="Times New Roman" w:cs="Times New Roman"/>
          <w:sz w:val="24"/>
        </w:rPr>
        <w:t>:</w:t>
      </w:r>
    </w:p>
    <w:p w14:paraId="46D3D032" w14:textId="77777777" w:rsidR="005E6FDA" w:rsidRPr="00B8073A" w:rsidRDefault="005E6FDA" w:rsidP="005E6FDA">
      <w:pPr>
        <w:pStyle w:val="Paragraphedeliste"/>
        <w:numPr>
          <w:ilvl w:val="0"/>
          <w:numId w:val="2"/>
        </w:numPr>
        <w:jc w:val="both"/>
        <w:rPr>
          <w:rFonts w:ascii="Times New Roman" w:hAnsi="Times New Roman" w:cs="Times New Roman"/>
          <w:sz w:val="24"/>
        </w:rPr>
      </w:pPr>
      <w:r w:rsidRPr="00B8073A">
        <w:rPr>
          <w:rFonts w:ascii="Times New Roman" w:hAnsi="Times New Roman" w:cs="Times New Roman"/>
          <w:sz w:val="24"/>
        </w:rPr>
        <w:t xml:space="preserve">Un </w:t>
      </w:r>
      <w:r w:rsidR="00974655" w:rsidRPr="00B8073A">
        <w:rPr>
          <w:rFonts w:ascii="Times New Roman" w:hAnsi="Times New Roman" w:cs="Times New Roman"/>
          <w:sz w:val="24"/>
        </w:rPr>
        <w:t>modèle</w:t>
      </w:r>
      <w:r w:rsidRPr="00B8073A">
        <w:rPr>
          <w:rFonts w:ascii="Times New Roman" w:hAnsi="Times New Roman" w:cs="Times New Roman"/>
          <w:sz w:val="24"/>
        </w:rPr>
        <w:t xml:space="preserve"> auto </w:t>
      </w:r>
      <w:r w:rsidR="00974655" w:rsidRPr="00B8073A">
        <w:rPr>
          <w:rFonts w:ascii="Times New Roman" w:hAnsi="Times New Roman" w:cs="Times New Roman"/>
          <w:sz w:val="24"/>
        </w:rPr>
        <w:t>régressif</w:t>
      </w:r>
      <w:r w:rsidRPr="00B8073A">
        <w:rPr>
          <w:rFonts w:ascii="Times New Roman" w:hAnsi="Times New Roman" w:cs="Times New Roman"/>
          <w:sz w:val="24"/>
        </w:rPr>
        <w:t xml:space="preserve"> dont l’explication de la variable </w:t>
      </w:r>
      <w:r w:rsidR="00974655" w:rsidRPr="00B8073A">
        <w:rPr>
          <w:rFonts w:ascii="Times New Roman" w:hAnsi="Times New Roman" w:cs="Times New Roman"/>
          <w:sz w:val="24"/>
        </w:rPr>
        <w:t>dépendante</w:t>
      </w:r>
      <w:r w:rsidRPr="00B8073A">
        <w:rPr>
          <w:rFonts w:ascii="Times New Roman" w:hAnsi="Times New Roman" w:cs="Times New Roman"/>
          <w:sz w:val="24"/>
        </w:rPr>
        <w:t xml:space="preserve"> </w:t>
      </w:r>
      <w:r w:rsidR="00974655" w:rsidRPr="00B8073A">
        <w:rPr>
          <w:rFonts w:ascii="Times New Roman" w:hAnsi="Times New Roman" w:cs="Times New Roman"/>
          <w:sz w:val="24"/>
        </w:rPr>
        <w:t>réside</w:t>
      </w:r>
      <w:r w:rsidRPr="00B8073A">
        <w:rPr>
          <w:rFonts w:ascii="Times New Roman" w:hAnsi="Times New Roman" w:cs="Times New Roman"/>
          <w:sz w:val="24"/>
        </w:rPr>
        <w:t xml:space="preserve"> dans  ses propres retard à l’ordre p et qui s’</w:t>
      </w:r>
      <w:r w:rsidR="00974655" w:rsidRPr="00B8073A">
        <w:rPr>
          <w:rFonts w:ascii="Times New Roman" w:hAnsi="Times New Roman" w:cs="Times New Roman"/>
          <w:sz w:val="24"/>
        </w:rPr>
        <w:t>écrit</w:t>
      </w:r>
      <w:r w:rsidRPr="00B8073A">
        <w:rPr>
          <w:rFonts w:ascii="Times New Roman" w:hAnsi="Times New Roman" w:cs="Times New Roman"/>
          <w:sz w:val="24"/>
        </w:rPr>
        <w:t> :</w:t>
      </w:r>
    </w:p>
    <w:p w14:paraId="46E6F950" w14:textId="77777777" w:rsidR="005E6FDA" w:rsidRPr="00B8073A" w:rsidRDefault="000C4BE8" w:rsidP="005E6FDA">
      <w:pPr>
        <w:ind w:left="720"/>
        <w:jc w:val="both"/>
        <w:rPr>
          <w:rFonts w:ascii="Times New Roman" w:eastAsiaTheme="minorEastAsia" w:hAnsi="Times New Roman" w:cs="Times New Roman"/>
          <w:sz w:val="28"/>
        </w:rPr>
      </w:pPr>
      <m:oMathPara>
        <m:oMath>
          <m:sSub>
            <m:sSubPr>
              <m:ctrlPr>
                <w:rPr>
                  <w:rFonts w:ascii="Cambria Math" w:hAnsi="Cambria Math" w:cs="Times New Roman"/>
                  <w:sz w:val="28"/>
                </w:rPr>
              </m:ctrlPr>
            </m:sSubPr>
            <m:e>
              <m:r>
                <w:rPr>
                  <w:rFonts w:ascii="Cambria Math" w:hAnsi="Cambria Math" w:cs="Times New Roman"/>
                  <w:sz w:val="28"/>
                </w:rPr>
                <m:t>Y</m:t>
              </m:r>
            </m:e>
            <m:sub>
              <m:r>
                <w:rPr>
                  <w:rFonts w:ascii="Cambria Math" w:hAnsi="Cambria Math" w:cs="Times New Roman"/>
                  <w:sz w:val="28"/>
                </w:rPr>
                <m:t>t</m:t>
              </m:r>
            </m:sub>
          </m:sSub>
          <m:r>
            <m:rPr>
              <m:sty m:val="p"/>
            </m:rPr>
            <w:rPr>
              <w:rFonts w:ascii="Cambria Math" w:hAnsi="Cambria Math" w:cs="Times New Roman"/>
              <w:sz w:val="28"/>
            </w:rPr>
            <m:t xml:space="preserve">= </m:t>
          </m:r>
          <m:sSub>
            <m:sSubPr>
              <m:ctrlPr>
                <w:rPr>
                  <w:rFonts w:ascii="Cambria Math" w:hAnsi="Cambria Math" w:cs="Times New Roman"/>
                  <w:sz w:val="28"/>
                </w:rPr>
              </m:ctrlPr>
            </m:sSubPr>
            <m:e>
              <m:r>
                <w:rPr>
                  <w:rFonts w:ascii="Cambria Math" w:hAnsi="Cambria Math" w:cs="Times New Roman"/>
                  <w:sz w:val="28"/>
                </w:rPr>
                <m:t>a</m:t>
              </m:r>
            </m:e>
            <m:sub>
              <m:r>
                <m:rPr>
                  <m:sty m:val="p"/>
                </m:rPr>
                <w:rPr>
                  <w:rFonts w:ascii="Cambria Math" w:hAnsi="Cambria Math" w:cs="Times New Roman"/>
                  <w:sz w:val="28"/>
                </w:rPr>
                <m:t>0</m:t>
              </m:r>
            </m:sub>
          </m:sSub>
          <m:r>
            <m:rPr>
              <m:sty m:val="p"/>
            </m:rPr>
            <w:rPr>
              <w:rFonts w:ascii="Cambria Math" w:hAnsi="Cambria Math" w:cs="Times New Roman"/>
              <w:sz w:val="28"/>
            </w:rPr>
            <m:t>+</m:t>
          </m:r>
          <m:nary>
            <m:naryPr>
              <m:chr m:val="∑"/>
              <m:limLoc m:val="undOvr"/>
              <m:ctrlPr>
                <w:rPr>
                  <w:rFonts w:ascii="Cambria Math" w:hAnsi="Cambria Math" w:cs="Times New Roman"/>
                  <w:sz w:val="28"/>
                </w:rPr>
              </m:ctrlPr>
            </m:naryPr>
            <m:sub>
              <m:r>
                <w:rPr>
                  <w:rFonts w:ascii="Cambria Math" w:hAnsi="Cambria Math" w:cs="Times New Roman"/>
                  <w:sz w:val="28"/>
                </w:rPr>
                <m:t>i</m:t>
              </m:r>
              <m:r>
                <m:rPr>
                  <m:sty m:val="p"/>
                </m:rPr>
                <w:rPr>
                  <w:rFonts w:ascii="Cambria Math" w:hAnsi="Cambria Math" w:cs="Times New Roman"/>
                  <w:sz w:val="28"/>
                </w:rPr>
                <m:t>=1</m:t>
              </m:r>
            </m:sub>
            <m:sup>
              <m:r>
                <w:rPr>
                  <w:rFonts w:ascii="Cambria Math" w:hAnsi="Cambria Math" w:cs="Times New Roman"/>
                  <w:sz w:val="28"/>
                </w:rPr>
                <m:t>p</m:t>
              </m:r>
            </m:sup>
            <m:e>
              <m:sSub>
                <m:sSubPr>
                  <m:ctrlPr>
                    <w:rPr>
                      <w:rFonts w:ascii="Cambria Math" w:hAnsi="Cambria Math" w:cs="Times New Roman"/>
                      <w:sz w:val="28"/>
                    </w:rPr>
                  </m:ctrlPr>
                </m:sSubPr>
                <m:e>
                  <m:r>
                    <w:rPr>
                      <w:rFonts w:ascii="Cambria Math" w:hAnsi="Cambria Math" w:cs="Times New Roman"/>
                      <w:sz w:val="28"/>
                    </w:rPr>
                    <m:t>a</m:t>
                  </m:r>
                </m:e>
                <m:sub>
                  <m:r>
                    <w:rPr>
                      <w:rFonts w:ascii="Cambria Math" w:hAnsi="Cambria Math" w:cs="Times New Roman"/>
                      <w:sz w:val="28"/>
                    </w:rPr>
                    <m:t>i</m:t>
                  </m:r>
                </m:sub>
              </m:sSub>
              <m:sSub>
                <m:sSubPr>
                  <m:ctrlPr>
                    <w:rPr>
                      <w:rFonts w:ascii="Cambria Math" w:hAnsi="Cambria Math" w:cs="Times New Roman"/>
                      <w:sz w:val="28"/>
                    </w:rPr>
                  </m:ctrlPr>
                </m:sSubPr>
                <m:e>
                  <m:r>
                    <w:rPr>
                      <w:rFonts w:ascii="Cambria Math" w:hAnsi="Cambria Math" w:cs="Times New Roman"/>
                      <w:sz w:val="28"/>
                    </w:rPr>
                    <m:t>Y</m:t>
                  </m:r>
                </m:e>
                <m:sub>
                  <m:r>
                    <w:rPr>
                      <w:rFonts w:ascii="Cambria Math" w:hAnsi="Cambria Math" w:cs="Times New Roman"/>
                      <w:sz w:val="28"/>
                    </w:rPr>
                    <m:t>t</m:t>
                  </m:r>
                  <m:r>
                    <m:rPr>
                      <m:sty m:val="p"/>
                    </m:rPr>
                    <w:rPr>
                      <w:rFonts w:ascii="Cambria Math" w:hAnsi="Cambria Math" w:cs="Times New Roman"/>
                      <w:sz w:val="28"/>
                    </w:rPr>
                    <m:t>-</m:t>
                  </m:r>
                  <m:r>
                    <w:rPr>
                      <w:rFonts w:ascii="Cambria Math" w:hAnsi="Cambria Math" w:cs="Times New Roman"/>
                      <w:sz w:val="28"/>
                    </w:rPr>
                    <m:t>i</m:t>
                  </m:r>
                </m:sub>
              </m:sSub>
            </m:e>
          </m:nary>
          <m:r>
            <m:rPr>
              <m:sty m:val="p"/>
            </m:rPr>
            <w:rPr>
              <w:rFonts w:ascii="Cambria Math" w:hAnsi="Cambria Math" w:cs="Times New Roman"/>
              <w:sz w:val="28"/>
            </w:rPr>
            <m:t>+</m:t>
          </m:r>
          <m:sSub>
            <m:sSubPr>
              <m:ctrlPr>
                <w:rPr>
                  <w:rFonts w:ascii="Cambria Math" w:hAnsi="Cambria Math" w:cs="Times New Roman"/>
                  <w:sz w:val="28"/>
                </w:rPr>
              </m:ctrlPr>
            </m:sSubPr>
            <m:e>
              <m:r>
                <w:rPr>
                  <w:rFonts w:ascii="Cambria Math" w:hAnsi="Cambria Math" w:cs="Times New Roman"/>
                  <w:sz w:val="28"/>
                </w:rPr>
                <m:t>ε</m:t>
              </m:r>
            </m:e>
            <m:sub>
              <m:r>
                <w:rPr>
                  <w:rFonts w:ascii="Cambria Math" w:hAnsi="Cambria Math" w:cs="Times New Roman"/>
                  <w:sz w:val="28"/>
                </w:rPr>
                <m:t>t</m:t>
              </m:r>
            </m:sub>
          </m:sSub>
          <m:r>
            <m:rPr>
              <m:sty m:val="p"/>
            </m:rPr>
            <w:rPr>
              <w:rFonts w:ascii="Cambria Math" w:hAnsi="Cambria Math" w:cs="Times New Roman"/>
              <w:sz w:val="28"/>
            </w:rPr>
            <m:t xml:space="preserve">     avec     </m:t>
          </m:r>
          <m:sSub>
            <m:sSubPr>
              <m:ctrlPr>
                <w:rPr>
                  <w:rFonts w:ascii="Cambria Math" w:hAnsi="Cambria Math" w:cs="Times New Roman"/>
                  <w:sz w:val="28"/>
                </w:rPr>
              </m:ctrlPr>
            </m:sSubPr>
            <m:e>
              <m:r>
                <w:rPr>
                  <w:rFonts w:ascii="Cambria Math" w:hAnsi="Cambria Math" w:cs="Times New Roman"/>
                  <w:sz w:val="28"/>
                </w:rPr>
                <m:t>ε</m:t>
              </m:r>
            </m:e>
            <m:sub>
              <m:r>
                <w:rPr>
                  <w:rFonts w:ascii="Cambria Math" w:hAnsi="Cambria Math" w:cs="Times New Roman"/>
                  <w:sz w:val="28"/>
                </w:rPr>
                <m:t>t</m:t>
              </m:r>
            </m:sub>
          </m:sSub>
          <m:r>
            <m:rPr>
              <m:sty m:val="p"/>
            </m:rPr>
            <w:rPr>
              <w:rFonts w:ascii="Cambria Math" w:hAnsi="Cambria Math" w:cs="Times New Roman"/>
              <w:sz w:val="28"/>
            </w:rPr>
            <m:t>~</m:t>
          </m:r>
          <m:r>
            <w:rPr>
              <w:rFonts w:ascii="Cambria Math" w:hAnsi="Cambria Math" w:cs="Times New Roman"/>
              <w:sz w:val="28"/>
            </w:rPr>
            <m:t>iid</m:t>
          </m:r>
          <m:d>
            <m:dPr>
              <m:ctrlPr>
                <w:rPr>
                  <w:rFonts w:ascii="Cambria Math" w:hAnsi="Cambria Math" w:cs="Times New Roman"/>
                  <w:sz w:val="28"/>
                </w:rPr>
              </m:ctrlPr>
            </m:dPr>
            <m:e>
              <m:r>
                <m:rPr>
                  <m:sty m:val="p"/>
                </m:rPr>
                <w:rPr>
                  <w:rFonts w:ascii="Cambria Math" w:hAnsi="Cambria Math" w:cs="Times New Roman"/>
                  <w:sz w:val="28"/>
                </w:rPr>
                <m:t>0,</m:t>
              </m:r>
              <m:r>
                <w:rPr>
                  <w:rFonts w:ascii="Cambria Math" w:hAnsi="Cambria Math" w:cs="Times New Roman"/>
                  <w:sz w:val="28"/>
                </w:rPr>
                <m:t>σ</m:t>
              </m:r>
            </m:e>
          </m:d>
          <m:r>
            <m:rPr>
              <m:sty m:val="p"/>
            </m:rPr>
            <w:rPr>
              <w:rFonts w:ascii="Cambria Math" w:hAnsi="Cambria Math" w:cs="Times New Roman"/>
              <w:sz w:val="28"/>
            </w:rPr>
            <m:t xml:space="preserve"> :</m:t>
          </m:r>
          <m:r>
            <w:rPr>
              <w:rFonts w:ascii="Cambria Math" w:hAnsi="Cambria Math" w:cs="Times New Roman"/>
              <w:sz w:val="28"/>
            </w:rPr>
            <m:t>terme</m:t>
          </m:r>
          <m:r>
            <m:rPr>
              <m:sty m:val="p"/>
            </m:rPr>
            <w:rPr>
              <w:rFonts w:ascii="Cambria Math" w:hAnsi="Cambria Math" w:cs="Times New Roman"/>
              <w:sz w:val="28"/>
            </w:rPr>
            <m:t xml:space="preserve"> </m:t>
          </m:r>
          <m:r>
            <w:rPr>
              <w:rFonts w:ascii="Cambria Math" w:hAnsi="Cambria Math" w:cs="Times New Roman"/>
              <w:sz w:val="28"/>
            </w:rPr>
            <m:t>d</m:t>
          </m:r>
          <m:r>
            <m:rPr>
              <m:sty m:val="p"/>
            </m:rPr>
            <w:rPr>
              <w:rFonts w:ascii="Cambria Math" w:hAnsi="Cambria Math" w:cs="Times New Roman"/>
              <w:sz w:val="28"/>
            </w:rPr>
            <m:t>'</m:t>
          </m:r>
          <m:r>
            <w:rPr>
              <w:rFonts w:ascii="Cambria Math" w:hAnsi="Cambria Math" w:cs="Times New Roman"/>
              <w:sz w:val="28"/>
            </w:rPr>
            <m:t>erreur</m:t>
          </m:r>
        </m:oMath>
      </m:oMathPara>
    </w:p>
    <w:p w14:paraId="25F7422A" w14:textId="77777777" w:rsidR="005E6FDA" w:rsidRPr="00B8073A" w:rsidRDefault="005E6FDA" w:rsidP="005E6FDA">
      <w:pPr>
        <w:pStyle w:val="Paragraphedeliste"/>
        <w:numPr>
          <w:ilvl w:val="0"/>
          <w:numId w:val="2"/>
        </w:numPr>
        <w:jc w:val="both"/>
        <w:rPr>
          <w:rFonts w:ascii="Times New Roman" w:hAnsi="Times New Roman" w:cs="Times New Roman"/>
          <w:sz w:val="24"/>
        </w:rPr>
      </w:pPr>
      <w:r w:rsidRPr="00B8073A">
        <w:rPr>
          <w:rFonts w:ascii="Times New Roman" w:hAnsi="Times New Roman" w:cs="Times New Roman"/>
          <w:sz w:val="24"/>
        </w:rPr>
        <w:t xml:space="preserve">Les valeurs </w:t>
      </w:r>
      <w:r w:rsidR="00974655" w:rsidRPr="00B8073A">
        <w:rPr>
          <w:rFonts w:ascii="Times New Roman" w:hAnsi="Times New Roman" w:cs="Times New Roman"/>
          <w:sz w:val="24"/>
        </w:rPr>
        <w:t>présentes</w:t>
      </w:r>
      <w:r w:rsidRPr="00B8073A">
        <w:rPr>
          <w:rFonts w:ascii="Times New Roman" w:hAnsi="Times New Roman" w:cs="Times New Roman"/>
          <w:sz w:val="24"/>
        </w:rPr>
        <w:t xml:space="preserve"> de la variable </w:t>
      </w:r>
      <w:r w:rsidR="00974655" w:rsidRPr="00B8073A">
        <w:rPr>
          <w:rFonts w:ascii="Times New Roman" w:hAnsi="Times New Roman" w:cs="Times New Roman"/>
          <w:sz w:val="24"/>
        </w:rPr>
        <w:t>dépendante</w:t>
      </w:r>
      <w:r w:rsidRPr="00B8073A">
        <w:rPr>
          <w:rFonts w:ascii="Times New Roman" w:hAnsi="Times New Roman" w:cs="Times New Roman"/>
          <w:sz w:val="24"/>
        </w:rPr>
        <w:t xml:space="preserve"> </w:t>
      </w:r>
      <w:r w:rsidR="00974655" w:rsidRPr="00B8073A">
        <w:rPr>
          <w:rFonts w:ascii="Times New Roman" w:hAnsi="Times New Roman" w:cs="Times New Roman"/>
          <w:sz w:val="24"/>
        </w:rPr>
        <w:t>s’expliquent</w:t>
      </w:r>
      <w:r w:rsidRPr="00B8073A">
        <w:rPr>
          <w:rFonts w:ascii="Times New Roman" w:hAnsi="Times New Roman" w:cs="Times New Roman"/>
          <w:sz w:val="24"/>
        </w:rPr>
        <w:t xml:space="preserve"> par la variable </w:t>
      </w:r>
      <w:r w:rsidR="00974655" w:rsidRPr="00B8073A">
        <w:rPr>
          <w:rFonts w:ascii="Times New Roman" w:hAnsi="Times New Roman" w:cs="Times New Roman"/>
          <w:sz w:val="24"/>
        </w:rPr>
        <w:t>indépendante</w:t>
      </w:r>
      <w:r w:rsidRPr="00B8073A">
        <w:rPr>
          <w:rFonts w:ascii="Times New Roman" w:hAnsi="Times New Roman" w:cs="Times New Roman"/>
          <w:sz w:val="24"/>
        </w:rPr>
        <w:t xml:space="preserve"> ainsi que ses retards à l’ordre q. L’expression </w:t>
      </w:r>
      <w:r w:rsidR="00974655" w:rsidRPr="00B8073A">
        <w:rPr>
          <w:rFonts w:ascii="Times New Roman" w:hAnsi="Times New Roman" w:cs="Times New Roman"/>
          <w:sz w:val="24"/>
        </w:rPr>
        <w:t>mathématique</w:t>
      </w:r>
      <w:r w:rsidRPr="00B8073A">
        <w:rPr>
          <w:rFonts w:ascii="Times New Roman" w:hAnsi="Times New Roman" w:cs="Times New Roman"/>
          <w:sz w:val="24"/>
        </w:rPr>
        <w:t xml:space="preserve"> s’</w:t>
      </w:r>
      <w:r w:rsidR="00974655" w:rsidRPr="00B8073A">
        <w:rPr>
          <w:rFonts w:ascii="Times New Roman" w:hAnsi="Times New Roman" w:cs="Times New Roman"/>
          <w:sz w:val="24"/>
        </w:rPr>
        <w:t>écrit</w:t>
      </w:r>
      <w:r w:rsidRPr="00B8073A">
        <w:rPr>
          <w:rFonts w:ascii="Times New Roman" w:hAnsi="Times New Roman" w:cs="Times New Roman"/>
          <w:sz w:val="24"/>
        </w:rPr>
        <w:t xml:space="preserve"> comme suit :</w:t>
      </w:r>
    </w:p>
    <w:p w14:paraId="19B1FF68" w14:textId="77777777" w:rsidR="005E6FDA" w:rsidRPr="00B8073A" w:rsidRDefault="000C4BE8" w:rsidP="005E6FDA">
      <w:pPr>
        <w:ind w:left="720" w:firstLine="720"/>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 β+</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j=0</m:t>
              </m:r>
            </m:sub>
            <m:sup>
              <m:r>
                <w:rPr>
                  <w:rFonts w:ascii="Cambria Math" w:eastAsiaTheme="minorEastAsia" w:hAnsi="Cambria Math" w:cs="Times New Roman"/>
                  <w:sz w:val="24"/>
                  <w:szCs w:val="24"/>
                </w:rPr>
                <m:t>q</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t-j</m:t>
                  </m:r>
                </m:sub>
              </m:sSub>
            </m:e>
          </m:nary>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 xml:space="preserve">  </m:t>
          </m:r>
        </m:oMath>
      </m:oMathPara>
    </w:p>
    <w:p w14:paraId="5C9FEA75" w14:textId="77777777" w:rsidR="005E6FDA" w:rsidRPr="00B8073A" w:rsidRDefault="005E6FDA" w:rsidP="005E6FDA">
      <w:pPr>
        <w:pStyle w:val="Paragraphedeliste"/>
        <w:numPr>
          <w:ilvl w:val="0"/>
          <w:numId w:val="2"/>
        </w:numPr>
        <w:jc w:val="both"/>
        <w:rPr>
          <w:rFonts w:ascii="Times New Roman" w:hAnsi="Times New Roman" w:cs="Times New Roman"/>
          <w:sz w:val="24"/>
        </w:rPr>
      </w:pPr>
      <w:r w:rsidRPr="00B8073A">
        <w:rPr>
          <w:rFonts w:ascii="Times New Roman" w:hAnsi="Times New Roman" w:cs="Times New Roman"/>
          <w:sz w:val="24"/>
        </w:rPr>
        <w:t xml:space="preserve">Enfin, la variable </w:t>
      </w:r>
      <w:r w:rsidR="003A7892" w:rsidRPr="00B8073A">
        <w:rPr>
          <w:rFonts w:ascii="Times New Roman" w:hAnsi="Times New Roman" w:cs="Times New Roman"/>
          <w:sz w:val="24"/>
        </w:rPr>
        <w:t>dépendante</w:t>
      </w:r>
      <w:r w:rsidRPr="00B8073A">
        <w:rPr>
          <w:rFonts w:ascii="Times New Roman" w:hAnsi="Times New Roman" w:cs="Times New Roman"/>
          <w:sz w:val="24"/>
        </w:rPr>
        <w:t xml:space="preserve"> peut s’</w:t>
      </w:r>
      <w:r w:rsidR="003A7892" w:rsidRPr="00B8073A">
        <w:rPr>
          <w:rFonts w:ascii="Times New Roman" w:hAnsi="Times New Roman" w:cs="Times New Roman"/>
          <w:sz w:val="24"/>
        </w:rPr>
        <w:t>écrire</w:t>
      </w:r>
      <w:r w:rsidRPr="00B8073A">
        <w:rPr>
          <w:rFonts w:ascii="Times New Roman" w:hAnsi="Times New Roman" w:cs="Times New Roman"/>
          <w:sz w:val="24"/>
        </w:rPr>
        <w:t xml:space="preserve"> en fonction de ses retards </w:t>
      </w:r>
      <w:r w:rsidR="003A7892" w:rsidRPr="00B8073A">
        <w:rPr>
          <w:rFonts w:ascii="Times New Roman" w:hAnsi="Times New Roman" w:cs="Times New Roman"/>
          <w:sz w:val="24"/>
        </w:rPr>
        <w:t>décalés</w:t>
      </w:r>
      <w:r w:rsidRPr="00B8073A">
        <w:rPr>
          <w:rFonts w:ascii="Times New Roman" w:hAnsi="Times New Roman" w:cs="Times New Roman"/>
          <w:sz w:val="24"/>
        </w:rPr>
        <w:t xml:space="preserve"> à l’ordre p ainsi que les retards de la variable </w:t>
      </w:r>
      <w:r w:rsidR="003A7892" w:rsidRPr="00B8073A">
        <w:rPr>
          <w:rFonts w:ascii="Times New Roman" w:hAnsi="Times New Roman" w:cs="Times New Roman"/>
          <w:sz w:val="24"/>
        </w:rPr>
        <w:t>indépendante</w:t>
      </w:r>
      <w:r w:rsidRPr="00B8073A">
        <w:rPr>
          <w:rFonts w:ascii="Times New Roman" w:hAnsi="Times New Roman" w:cs="Times New Roman"/>
          <w:sz w:val="24"/>
        </w:rPr>
        <w:t xml:space="preserve"> à l’ordre </w:t>
      </w:r>
      <w:r w:rsidR="005A73CE" w:rsidRPr="00B8073A">
        <w:rPr>
          <w:rFonts w:ascii="Times New Roman" w:hAnsi="Times New Roman" w:cs="Times New Roman"/>
          <w:sz w:val="24"/>
        </w:rPr>
        <w:t xml:space="preserve">q. Nous qualifions ce </w:t>
      </w:r>
      <w:r w:rsidR="003A7892" w:rsidRPr="00B8073A">
        <w:rPr>
          <w:rFonts w:ascii="Times New Roman" w:hAnsi="Times New Roman" w:cs="Times New Roman"/>
          <w:sz w:val="24"/>
        </w:rPr>
        <w:t>modèle</w:t>
      </w:r>
      <w:r w:rsidR="005A73CE" w:rsidRPr="00B8073A">
        <w:rPr>
          <w:rFonts w:ascii="Times New Roman" w:hAnsi="Times New Roman" w:cs="Times New Roman"/>
          <w:sz w:val="24"/>
        </w:rPr>
        <w:t xml:space="preserve"> d’ARDL (Auto </w:t>
      </w:r>
      <w:r w:rsidR="003A7892" w:rsidRPr="00B8073A">
        <w:rPr>
          <w:rFonts w:ascii="Times New Roman" w:hAnsi="Times New Roman" w:cs="Times New Roman"/>
          <w:sz w:val="24"/>
        </w:rPr>
        <w:t>Régressif</w:t>
      </w:r>
      <w:r w:rsidR="005A73CE" w:rsidRPr="00B8073A">
        <w:rPr>
          <w:rFonts w:ascii="Times New Roman" w:hAnsi="Times New Roman" w:cs="Times New Roman"/>
          <w:sz w:val="24"/>
        </w:rPr>
        <w:t xml:space="preserve"> à Retards Echelonnés). </w:t>
      </w:r>
      <w:r w:rsidR="003A7892" w:rsidRPr="00B8073A">
        <w:rPr>
          <w:rFonts w:ascii="Times New Roman" w:hAnsi="Times New Roman" w:cs="Times New Roman"/>
          <w:sz w:val="24"/>
        </w:rPr>
        <w:t>Mathématiquement</w:t>
      </w:r>
      <w:r w:rsidR="005A73CE" w:rsidRPr="00B8073A">
        <w:rPr>
          <w:rFonts w:ascii="Times New Roman" w:hAnsi="Times New Roman" w:cs="Times New Roman"/>
          <w:sz w:val="24"/>
        </w:rPr>
        <w:t>, nous l’</w:t>
      </w:r>
      <w:r w:rsidR="003A7892" w:rsidRPr="00B8073A">
        <w:rPr>
          <w:rFonts w:ascii="Times New Roman" w:hAnsi="Times New Roman" w:cs="Times New Roman"/>
          <w:sz w:val="24"/>
        </w:rPr>
        <w:t>écrivons</w:t>
      </w:r>
    </w:p>
    <w:p w14:paraId="7DF274C0" w14:textId="77777777" w:rsidR="005A73CE" w:rsidRPr="00B8073A" w:rsidRDefault="000C4BE8" w:rsidP="005A73CE">
      <w:pPr>
        <w:ind w:left="360"/>
        <w:jc w:val="both"/>
        <w:rPr>
          <w:rFonts w:ascii="Times New Roman" w:eastAsiaTheme="minorEastAsia" w:hAnsi="Times New Roman" w:cs="Times New Roman"/>
        </w:rPr>
      </w:pPr>
      <m:oMathPara>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m:rPr>
              <m:sty m:val="p"/>
            </m:rPr>
            <w:rPr>
              <w:rFonts w:ascii="Cambria Math" w:hAnsi="Cambria Math" w:cs="Times New Roman"/>
            </w:rPr>
            <m:t xml:space="preserve">= </m:t>
          </m:r>
          <m:r>
            <w:rPr>
              <w:rFonts w:ascii="Cambria Math" w:hAnsi="Cambria Math" w:cs="Times New Roman"/>
            </w:rPr>
            <m:t>φ</m:t>
          </m:r>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=1</m:t>
              </m:r>
            </m:sub>
            <m:sup>
              <m:r>
                <w:rPr>
                  <w:rFonts w:ascii="Cambria Math" w:hAnsi="Cambria Math" w:cs="Times New Roman"/>
                </w:rPr>
                <m:t>p</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i</m:t>
                  </m:r>
                </m:sub>
              </m:sSub>
            </m:e>
          </m:nary>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j</m:t>
              </m:r>
              <m:r>
                <m:rPr>
                  <m:sty m:val="p"/>
                </m:rPr>
                <w:rPr>
                  <w:rFonts w:ascii="Cambria Math" w:hAnsi="Cambria Math" w:cs="Times New Roman"/>
                </w:rPr>
                <m:t>=0</m:t>
              </m:r>
            </m:sub>
            <m:sup>
              <m:r>
                <w:rPr>
                  <w:rFonts w:ascii="Cambria Math" w:hAnsi="Cambria Math" w:cs="Times New Roman"/>
                </w:rPr>
                <m:t>q</m:t>
              </m:r>
            </m:sup>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j</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j</m:t>
                  </m:r>
                </m:sub>
              </m:sSub>
            </m:e>
          </m:nary>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r>
            <m:rPr>
              <m:sty m:val="p"/>
            </m:rPr>
            <w:rPr>
              <w:rFonts w:ascii="Cambria Math" w:hAnsi="Cambria Math" w:cs="Times New Roman"/>
            </w:rPr>
            <m:t xml:space="preserve"> </m:t>
          </m:r>
        </m:oMath>
      </m:oMathPara>
    </w:p>
    <w:p w14:paraId="5975D951" w14:textId="1494276E" w:rsidR="005A73CE" w:rsidRPr="00B8073A" w:rsidRDefault="005A73CE" w:rsidP="000F124D">
      <w:pPr>
        <w:jc w:val="both"/>
        <w:rPr>
          <w:rFonts w:ascii="Times New Roman" w:eastAsiaTheme="minorEastAsia" w:hAnsi="Times New Roman" w:cs="Times New Roman"/>
          <w:sz w:val="24"/>
        </w:rPr>
      </w:pPr>
      <w:r w:rsidRPr="00B8073A">
        <w:rPr>
          <w:rFonts w:ascii="Times New Roman" w:eastAsiaTheme="minorEastAsia" w:hAnsi="Times New Roman" w:cs="Times New Roman"/>
          <w:sz w:val="24"/>
        </w:rPr>
        <w:t xml:space="preserve">Dans le cadre de notre </w:t>
      </w:r>
      <w:r w:rsidR="003A7892" w:rsidRPr="00B8073A">
        <w:rPr>
          <w:rFonts w:ascii="Times New Roman" w:eastAsiaTheme="minorEastAsia" w:hAnsi="Times New Roman" w:cs="Times New Roman"/>
          <w:sz w:val="24"/>
        </w:rPr>
        <w:t>étude</w:t>
      </w:r>
      <w:r w:rsidRPr="00B8073A">
        <w:rPr>
          <w:rFonts w:ascii="Times New Roman" w:eastAsiaTheme="minorEastAsia" w:hAnsi="Times New Roman" w:cs="Times New Roman"/>
          <w:sz w:val="24"/>
        </w:rPr>
        <w:t xml:space="preserve">, la variable </w:t>
      </w:r>
      <w:r w:rsidR="003A7892">
        <w:rPr>
          <w:rFonts w:ascii="Times New Roman" w:eastAsiaTheme="minorEastAsia" w:hAnsi="Times New Roman" w:cs="Times New Roman"/>
          <w:sz w:val="24"/>
        </w:rPr>
        <w:t>d</w:t>
      </w:r>
      <w:r w:rsidR="00E52619">
        <w:rPr>
          <w:rFonts w:ascii="Times New Roman" w:eastAsiaTheme="minorEastAsia" w:hAnsi="Times New Roman" w:cs="Times New Roman"/>
          <w:sz w:val="24"/>
        </w:rPr>
        <w:t>’</w:t>
      </w:r>
      <w:r w:rsidR="003A7892" w:rsidRPr="00B8073A">
        <w:rPr>
          <w:rFonts w:ascii="Times New Roman" w:eastAsiaTheme="minorEastAsia" w:hAnsi="Times New Roman" w:cs="Times New Roman"/>
          <w:sz w:val="24"/>
        </w:rPr>
        <w:t>intérêt</w:t>
      </w:r>
      <w:r w:rsidRPr="00B8073A">
        <w:rPr>
          <w:rFonts w:ascii="Times New Roman" w:eastAsiaTheme="minorEastAsia" w:hAnsi="Times New Roman" w:cs="Times New Roman"/>
          <w:sz w:val="24"/>
        </w:rPr>
        <w:t xml:space="preserve"> est la </w:t>
      </w:r>
      <w:r w:rsidR="003A7892" w:rsidRPr="00B8073A">
        <w:rPr>
          <w:rFonts w:ascii="Times New Roman" w:eastAsiaTheme="minorEastAsia" w:hAnsi="Times New Roman" w:cs="Times New Roman"/>
          <w:sz w:val="24"/>
        </w:rPr>
        <w:t>rentabilité</w:t>
      </w:r>
      <w:r w:rsidR="00E52619">
        <w:rPr>
          <w:rFonts w:ascii="Times New Roman" w:eastAsiaTheme="minorEastAsia" w:hAnsi="Times New Roman" w:cs="Times New Roman"/>
          <w:sz w:val="24"/>
        </w:rPr>
        <w:t xml:space="preserve"> économique</w:t>
      </w:r>
      <w:r w:rsidR="00A32D15">
        <w:rPr>
          <w:rFonts w:ascii="Times New Roman" w:eastAsiaTheme="minorEastAsia" w:hAnsi="Times New Roman" w:cs="Times New Roman"/>
          <w:sz w:val="24"/>
        </w:rPr>
        <w:t xml:space="preserve"> </w:t>
      </w:r>
      <w:r w:rsidR="00E52619">
        <w:rPr>
          <w:rFonts w:ascii="Times New Roman" w:eastAsiaTheme="minorEastAsia" w:hAnsi="Times New Roman" w:cs="Times New Roman"/>
          <w:sz w:val="24"/>
        </w:rPr>
        <w:t xml:space="preserve">du service public de transport déterminé à partir des comptes budgétaires d’Île-de-France Mobilités, </w:t>
      </w:r>
      <w:r w:rsidRPr="00B8073A">
        <w:rPr>
          <w:rFonts w:ascii="Times New Roman" w:eastAsiaTheme="minorEastAsia" w:hAnsi="Times New Roman" w:cs="Times New Roman"/>
          <w:sz w:val="24"/>
        </w:rPr>
        <w:t xml:space="preserve">qui nous servira </w:t>
      </w:r>
      <w:r w:rsidR="00E52619">
        <w:rPr>
          <w:rFonts w:ascii="Times New Roman" w:eastAsiaTheme="minorEastAsia" w:hAnsi="Times New Roman" w:cs="Times New Roman"/>
          <w:sz w:val="24"/>
        </w:rPr>
        <w:t xml:space="preserve">également </w:t>
      </w:r>
      <w:r w:rsidRPr="00B8073A">
        <w:rPr>
          <w:rFonts w:ascii="Times New Roman" w:eastAsiaTheme="minorEastAsia" w:hAnsi="Times New Roman" w:cs="Times New Roman"/>
          <w:sz w:val="24"/>
        </w:rPr>
        <w:t xml:space="preserve">de variable </w:t>
      </w:r>
      <w:r w:rsidR="003A7892" w:rsidRPr="00B8073A">
        <w:rPr>
          <w:rFonts w:ascii="Times New Roman" w:eastAsiaTheme="minorEastAsia" w:hAnsi="Times New Roman" w:cs="Times New Roman"/>
          <w:sz w:val="24"/>
        </w:rPr>
        <w:t>dépendante</w:t>
      </w:r>
      <w:r w:rsidRPr="00B8073A">
        <w:rPr>
          <w:rFonts w:ascii="Times New Roman" w:eastAsiaTheme="minorEastAsia" w:hAnsi="Times New Roman" w:cs="Times New Roman"/>
          <w:sz w:val="24"/>
        </w:rPr>
        <w:t xml:space="preserve">. Nous utiliserons </w:t>
      </w:r>
      <w:r w:rsidR="005A4BA3">
        <w:rPr>
          <w:rFonts w:ascii="Times New Roman" w:eastAsiaTheme="minorEastAsia" w:hAnsi="Times New Roman" w:cs="Times New Roman"/>
          <w:sz w:val="24"/>
        </w:rPr>
        <w:t>les dépenses d’</w:t>
      </w:r>
      <w:r w:rsidRPr="00B8073A">
        <w:rPr>
          <w:rFonts w:ascii="Times New Roman" w:eastAsiaTheme="minorEastAsia" w:hAnsi="Times New Roman" w:cs="Times New Roman"/>
          <w:sz w:val="24"/>
        </w:rPr>
        <w:t xml:space="preserve">investissement </w:t>
      </w:r>
      <w:r w:rsidR="005A4BA3">
        <w:rPr>
          <w:rFonts w:ascii="Times New Roman" w:eastAsiaTheme="minorEastAsia" w:hAnsi="Times New Roman" w:cs="Times New Roman"/>
          <w:sz w:val="24"/>
        </w:rPr>
        <w:t xml:space="preserve">en matériel roulant </w:t>
      </w:r>
      <w:r w:rsidRPr="00B8073A">
        <w:rPr>
          <w:rFonts w:ascii="Times New Roman" w:eastAsiaTheme="minorEastAsia" w:hAnsi="Times New Roman" w:cs="Times New Roman"/>
          <w:sz w:val="24"/>
        </w:rPr>
        <w:t>comme proxy pour les investissement</w:t>
      </w:r>
      <w:r w:rsidR="00E75F39" w:rsidRPr="00B8073A">
        <w:rPr>
          <w:rFonts w:ascii="Times New Roman" w:eastAsiaTheme="minorEastAsia" w:hAnsi="Times New Roman" w:cs="Times New Roman"/>
          <w:sz w:val="24"/>
        </w:rPr>
        <w:t>s</w:t>
      </w:r>
      <w:r w:rsidR="00A32D15">
        <w:rPr>
          <w:rFonts w:ascii="Times New Roman" w:eastAsiaTheme="minorEastAsia" w:hAnsi="Times New Roman" w:cs="Times New Roman"/>
          <w:sz w:val="24"/>
        </w:rPr>
        <w:t xml:space="preserve"> </w:t>
      </w:r>
      <w:r w:rsidR="005A4BA3">
        <w:rPr>
          <w:rFonts w:ascii="Times New Roman" w:eastAsiaTheme="minorEastAsia" w:hAnsi="Times New Roman" w:cs="Times New Roman"/>
          <w:sz w:val="24"/>
        </w:rPr>
        <w:t>dans la t</w:t>
      </w:r>
      <w:r w:rsidRPr="00B8073A">
        <w:rPr>
          <w:rFonts w:ascii="Times New Roman" w:eastAsiaTheme="minorEastAsia" w:hAnsi="Times New Roman" w:cs="Times New Roman"/>
          <w:sz w:val="24"/>
        </w:rPr>
        <w:t xml:space="preserve">ransition </w:t>
      </w:r>
      <w:r w:rsidR="005A4BA3">
        <w:rPr>
          <w:rFonts w:ascii="Times New Roman" w:eastAsiaTheme="minorEastAsia" w:hAnsi="Times New Roman" w:cs="Times New Roman"/>
          <w:sz w:val="24"/>
        </w:rPr>
        <w:t xml:space="preserve">énergétique </w:t>
      </w:r>
      <w:r w:rsidRPr="00B8073A">
        <w:rPr>
          <w:rFonts w:ascii="Times New Roman" w:eastAsiaTheme="minorEastAsia" w:hAnsi="Times New Roman" w:cs="Times New Roman"/>
          <w:sz w:val="24"/>
        </w:rPr>
        <w:t xml:space="preserve">ainsi que deux variables de contrôle, les </w:t>
      </w:r>
      <w:r w:rsidR="009467D8">
        <w:rPr>
          <w:rFonts w:ascii="Times New Roman" w:eastAsiaTheme="minorEastAsia" w:hAnsi="Times New Roman" w:cs="Times New Roman"/>
          <w:sz w:val="24"/>
        </w:rPr>
        <w:t>C</w:t>
      </w:r>
      <w:r w:rsidRPr="00B8073A">
        <w:rPr>
          <w:rFonts w:ascii="Times New Roman" w:eastAsiaTheme="minorEastAsia" w:hAnsi="Times New Roman" w:cs="Times New Roman"/>
          <w:sz w:val="24"/>
        </w:rPr>
        <w:t>oncours publics ainsi que l’</w:t>
      </w:r>
      <w:r w:rsidR="009467D8">
        <w:rPr>
          <w:rFonts w:ascii="Times New Roman" w:eastAsiaTheme="minorEastAsia" w:hAnsi="Times New Roman" w:cs="Times New Roman"/>
          <w:sz w:val="24"/>
        </w:rPr>
        <w:t>Of</w:t>
      </w:r>
      <w:r w:rsidRPr="00B8073A">
        <w:rPr>
          <w:rFonts w:ascii="Times New Roman" w:eastAsiaTheme="minorEastAsia" w:hAnsi="Times New Roman" w:cs="Times New Roman"/>
          <w:sz w:val="24"/>
        </w:rPr>
        <w:t>fre</w:t>
      </w:r>
      <w:r w:rsidR="00A32D15">
        <w:rPr>
          <w:rFonts w:ascii="Times New Roman" w:eastAsiaTheme="minorEastAsia" w:hAnsi="Times New Roman" w:cs="Times New Roman"/>
          <w:sz w:val="24"/>
        </w:rPr>
        <w:t xml:space="preserve"> commerciale</w:t>
      </w:r>
      <w:r w:rsidRPr="00B8073A">
        <w:rPr>
          <w:rFonts w:ascii="Times New Roman" w:eastAsiaTheme="minorEastAsia" w:hAnsi="Times New Roman" w:cs="Times New Roman"/>
          <w:sz w:val="24"/>
        </w:rPr>
        <w:t xml:space="preserve"> </w:t>
      </w:r>
      <w:r w:rsidR="009467D8">
        <w:rPr>
          <w:rFonts w:ascii="Times New Roman" w:eastAsiaTheme="minorEastAsia" w:hAnsi="Times New Roman" w:cs="Times New Roman"/>
          <w:sz w:val="24"/>
        </w:rPr>
        <w:t xml:space="preserve">réalisée </w:t>
      </w:r>
      <w:r w:rsidRPr="00B8073A">
        <w:rPr>
          <w:rFonts w:ascii="Times New Roman" w:eastAsiaTheme="minorEastAsia" w:hAnsi="Times New Roman" w:cs="Times New Roman"/>
          <w:sz w:val="24"/>
        </w:rPr>
        <w:t xml:space="preserve">de transports en </w:t>
      </w:r>
      <w:r w:rsidR="009467D8" w:rsidRPr="00B8073A">
        <w:rPr>
          <w:rFonts w:ascii="Times New Roman" w:eastAsiaTheme="minorEastAsia" w:hAnsi="Times New Roman" w:cs="Times New Roman"/>
          <w:sz w:val="24"/>
        </w:rPr>
        <w:t>Île</w:t>
      </w:r>
      <w:r w:rsidR="009467D8">
        <w:rPr>
          <w:rFonts w:ascii="Times New Roman" w:eastAsiaTheme="minorEastAsia" w:hAnsi="Times New Roman" w:cs="Times New Roman"/>
          <w:sz w:val="24"/>
        </w:rPr>
        <w:t>-</w:t>
      </w:r>
      <w:r w:rsidR="009467D8" w:rsidRPr="00B8073A">
        <w:rPr>
          <w:rFonts w:ascii="Times New Roman" w:eastAsiaTheme="minorEastAsia" w:hAnsi="Times New Roman" w:cs="Times New Roman"/>
          <w:sz w:val="24"/>
        </w:rPr>
        <w:t>de</w:t>
      </w:r>
      <w:r w:rsidR="009467D8">
        <w:rPr>
          <w:rFonts w:ascii="Times New Roman" w:eastAsiaTheme="minorEastAsia" w:hAnsi="Times New Roman" w:cs="Times New Roman"/>
          <w:sz w:val="24"/>
        </w:rPr>
        <w:t>-</w:t>
      </w:r>
      <w:r w:rsidR="009467D8" w:rsidRPr="00B8073A">
        <w:rPr>
          <w:rFonts w:ascii="Times New Roman" w:eastAsiaTheme="minorEastAsia" w:hAnsi="Times New Roman" w:cs="Times New Roman"/>
          <w:sz w:val="24"/>
        </w:rPr>
        <w:t>France</w:t>
      </w:r>
      <w:r w:rsidRPr="00B8073A">
        <w:rPr>
          <w:rFonts w:ascii="Times New Roman" w:eastAsiaTheme="minorEastAsia" w:hAnsi="Times New Roman" w:cs="Times New Roman"/>
          <w:sz w:val="24"/>
        </w:rPr>
        <w:t xml:space="preserve">. Nous pouvons donc formaliser la fonction sous </w:t>
      </w:r>
      <w:r w:rsidR="003A7892" w:rsidRPr="00B8073A">
        <w:rPr>
          <w:rFonts w:ascii="Times New Roman" w:eastAsiaTheme="minorEastAsia" w:hAnsi="Times New Roman" w:cs="Times New Roman"/>
          <w:sz w:val="24"/>
        </w:rPr>
        <w:t>étude</w:t>
      </w:r>
      <w:r w:rsidRPr="00B8073A">
        <w:rPr>
          <w:rFonts w:ascii="Times New Roman" w:eastAsiaTheme="minorEastAsia" w:hAnsi="Times New Roman" w:cs="Times New Roman"/>
          <w:sz w:val="24"/>
        </w:rPr>
        <w:t xml:space="preserve"> comme suit : </w:t>
      </w:r>
    </w:p>
    <w:p w14:paraId="191EE41A" w14:textId="77777777" w:rsidR="005A73CE" w:rsidRPr="00B8073A" w:rsidRDefault="005A73CE" w:rsidP="005A73CE">
      <w:pPr>
        <w:ind w:left="360"/>
        <w:jc w:val="both"/>
        <w:rPr>
          <w:rFonts w:ascii="Times New Roman" w:eastAsiaTheme="minorEastAsia" w:hAnsi="Times New Roman" w:cs="Times New Roman"/>
        </w:rPr>
      </w:pPr>
      <m:oMathPara>
        <m:oMath>
          <m:r>
            <w:rPr>
              <w:rFonts w:ascii="Cambria Math" w:eastAsiaTheme="minorEastAsia" w:hAnsi="Cambria Math" w:cs="Times New Roman"/>
            </w:rPr>
            <m:t>Rentabilite=f(Investissement, concoursPublics, offreTransport)</m:t>
          </m:r>
        </m:oMath>
      </m:oMathPara>
    </w:p>
    <w:p w14:paraId="51216D98" w14:textId="77777777" w:rsidR="005A73CE" w:rsidRPr="00B8073A" w:rsidRDefault="005A73CE" w:rsidP="005A73CE">
      <w:pPr>
        <w:jc w:val="both"/>
        <w:rPr>
          <w:rFonts w:ascii="Times New Roman" w:eastAsiaTheme="minorEastAsia" w:hAnsi="Times New Roman" w:cs="Times New Roman"/>
          <w:sz w:val="24"/>
        </w:rPr>
      </w:pPr>
      <w:r w:rsidRPr="00B8073A">
        <w:rPr>
          <w:rFonts w:ascii="Times New Roman" w:eastAsiaTheme="minorEastAsia" w:hAnsi="Times New Roman" w:cs="Times New Roman"/>
          <w:sz w:val="24"/>
        </w:rPr>
        <w:t xml:space="preserve">En ayant recours au </w:t>
      </w:r>
      <w:r w:rsidR="003A7892" w:rsidRPr="00B8073A">
        <w:rPr>
          <w:rFonts w:ascii="Times New Roman" w:eastAsiaTheme="minorEastAsia" w:hAnsi="Times New Roman" w:cs="Times New Roman"/>
          <w:sz w:val="24"/>
        </w:rPr>
        <w:t>modèle</w:t>
      </w:r>
      <w:r w:rsidRPr="00B8073A">
        <w:rPr>
          <w:rFonts w:ascii="Times New Roman" w:eastAsiaTheme="minorEastAsia" w:hAnsi="Times New Roman" w:cs="Times New Roman"/>
          <w:sz w:val="24"/>
        </w:rPr>
        <w:t xml:space="preserve"> ARDL nous </w:t>
      </w:r>
      <w:r w:rsidR="003A7892" w:rsidRPr="00B8073A">
        <w:rPr>
          <w:rFonts w:ascii="Times New Roman" w:eastAsiaTheme="minorEastAsia" w:hAnsi="Times New Roman" w:cs="Times New Roman"/>
          <w:sz w:val="24"/>
        </w:rPr>
        <w:t>réécrivons</w:t>
      </w:r>
      <w:r w:rsidRPr="00B8073A">
        <w:rPr>
          <w:rFonts w:ascii="Times New Roman" w:eastAsiaTheme="minorEastAsia" w:hAnsi="Times New Roman" w:cs="Times New Roman"/>
          <w:sz w:val="24"/>
        </w:rPr>
        <w:t xml:space="preserve"> l’</w:t>
      </w:r>
      <w:r w:rsidR="003A7892" w:rsidRPr="00B8073A">
        <w:rPr>
          <w:rFonts w:ascii="Times New Roman" w:eastAsiaTheme="minorEastAsia" w:hAnsi="Times New Roman" w:cs="Times New Roman"/>
          <w:sz w:val="24"/>
        </w:rPr>
        <w:t>équation</w:t>
      </w:r>
      <w:r w:rsidRPr="00B8073A">
        <w:rPr>
          <w:rFonts w:ascii="Times New Roman" w:eastAsiaTheme="minorEastAsia" w:hAnsi="Times New Roman" w:cs="Times New Roman"/>
          <w:sz w:val="24"/>
        </w:rPr>
        <w:t xml:space="preserve"> ci-dessus </w:t>
      </w:r>
    </w:p>
    <w:p w14:paraId="0A764A3F" w14:textId="77777777" w:rsidR="005A73CE" w:rsidRPr="00B8073A" w:rsidRDefault="000C4BE8" w:rsidP="005A73CE">
      <w:pPr>
        <w:jc w:val="both"/>
        <w:rPr>
          <w:rFonts w:ascii="Times New Roman" w:eastAsiaTheme="minorEastAsia" w:hAnsi="Times New Roman" w:cs="Times New Roman"/>
        </w:rPr>
      </w:pPr>
      <m:oMathPara>
        <m:oMath>
          <m:sSub>
            <m:sSubPr>
              <m:ctrlPr>
                <w:rPr>
                  <w:rFonts w:ascii="Cambria Math" w:hAnsi="Cambria Math" w:cs="Times New Roman"/>
                </w:rPr>
              </m:ctrlPr>
            </m:sSubPr>
            <m:e>
              <m:r>
                <w:rPr>
                  <w:rFonts w:ascii="Cambria Math" w:hAnsi="Cambria Math" w:cs="Times New Roman"/>
                </w:rPr>
                <m:t>Rentabilite</m:t>
              </m:r>
            </m:e>
            <m:sub>
              <m:r>
                <w:rPr>
                  <w:rFonts w:ascii="Cambria Math" w:hAnsi="Cambria Math" w:cs="Times New Roman"/>
                </w:rPr>
                <m:t>t</m:t>
              </m:r>
            </m:sub>
          </m:sSub>
          <m:r>
            <m:rPr>
              <m:sty m:val="p"/>
            </m:rPr>
            <w:rPr>
              <w:rFonts w:ascii="Cambria Math" w:hAnsi="Cambria Math" w:cs="Times New Roman"/>
            </w:rPr>
            <m:t xml:space="preserve">= </m:t>
          </m:r>
          <m:r>
            <w:rPr>
              <w:rFonts w:ascii="Cambria Math" w:hAnsi="Cambria Math" w:cs="Times New Roman"/>
            </w:rPr>
            <m:t>φ</m:t>
          </m:r>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=1</m:t>
              </m:r>
            </m:sub>
            <m:sup>
              <m:r>
                <w:rPr>
                  <w:rFonts w:ascii="Cambria Math" w:hAnsi="Cambria Math" w:cs="Times New Roman"/>
                </w:rPr>
                <m:t>p</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sSub>
                <m:sSubPr>
                  <m:ctrlPr>
                    <w:rPr>
                      <w:rFonts w:ascii="Cambria Math" w:hAnsi="Cambria Math" w:cs="Times New Roman"/>
                    </w:rPr>
                  </m:ctrlPr>
                </m:sSubPr>
                <m:e>
                  <m:r>
                    <w:rPr>
                      <w:rFonts w:ascii="Cambria Math" w:hAnsi="Cambria Math" w:cs="Times New Roman"/>
                    </w:rPr>
                    <m:t>Rentabilite</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i</m:t>
                  </m:r>
                </m:sub>
              </m:sSub>
            </m:e>
          </m:nary>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j</m:t>
              </m:r>
              <m:r>
                <m:rPr>
                  <m:sty m:val="p"/>
                </m:rPr>
                <w:rPr>
                  <w:rFonts w:ascii="Cambria Math" w:hAnsi="Cambria Math" w:cs="Times New Roman"/>
                </w:rPr>
                <m:t>=0</m:t>
              </m:r>
            </m:sub>
            <m:sup>
              <m:r>
                <w:rPr>
                  <w:rFonts w:ascii="Cambria Math" w:hAnsi="Cambria Math" w:cs="Times New Roman"/>
                </w:rPr>
                <m:t>q</m:t>
              </m:r>
            </m:sup>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j</m:t>
                  </m:r>
                </m:sub>
              </m:sSub>
              <m:sSub>
                <m:sSubPr>
                  <m:ctrlPr>
                    <w:rPr>
                      <w:rFonts w:ascii="Cambria Math" w:hAnsi="Cambria Math" w:cs="Times New Roman"/>
                    </w:rPr>
                  </m:ctrlPr>
                </m:sSubPr>
                <m:e>
                  <m:r>
                    <w:rPr>
                      <w:rFonts w:ascii="Cambria Math" w:hAnsi="Cambria Math" w:cs="Times New Roman"/>
                    </w:rPr>
                    <m:t>Investissement</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j</m:t>
                  </m:r>
                </m:sub>
              </m:sSub>
            </m:e>
          </m:nary>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j</m:t>
              </m:r>
              <m:r>
                <m:rPr>
                  <m:sty m:val="p"/>
                </m:rPr>
                <w:rPr>
                  <w:rFonts w:ascii="Cambria Math" w:hAnsi="Cambria Math" w:cs="Times New Roman"/>
                </w:rPr>
                <m:t>=0</m:t>
              </m:r>
            </m:sub>
            <m:sup>
              <m:r>
                <w:rPr>
                  <w:rFonts w:ascii="Cambria Math" w:hAnsi="Cambria Math" w:cs="Times New Roman"/>
                </w:rPr>
                <m:t>q'</m:t>
              </m:r>
            </m:sup>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j</m:t>
                  </m:r>
                </m:sub>
              </m:sSub>
              <m:sSub>
                <m:sSubPr>
                  <m:ctrlPr>
                    <w:rPr>
                      <w:rFonts w:ascii="Cambria Math" w:hAnsi="Cambria Math" w:cs="Times New Roman"/>
                    </w:rPr>
                  </m:ctrlPr>
                </m:sSubPr>
                <m:e>
                  <m:r>
                    <w:rPr>
                      <w:rFonts w:ascii="Cambria Math" w:hAnsi="Cambria Math" w:cs="Times New Roman"/>
                    </w:rPr>
                    <m:t>concoursPublics</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j</m:t>
                  </m:r>
                </m:sub>
              </m:sSub>
              <m:r>
                <w:rPr>
                  <w:rFonts w:ascii="Cambria Math" w:hAnsi="Cambria Math" w:cs="Times New Roman"/>
                </w:rPr>
                <m:t xml:space="preserve">+ </m:t>
              </m:r>
              <m:nary>
                <m:naryPr>
                  <m:chr m:val="∑"/>
                  <m:limLoc m:val="undOvr"/>
                  <m:ctrlPr>
                    <w:rPr>
                      <w:rFonts w:ascii="Cambria Math" w:hAnsi="Cambria Math" w:cs="Times New Roman"/>
                    </w:rPr>
                  </m:ctrlPr>
                </m:naryPr>
                <m:sub>
                  <m:r>
                    <w:rPr>
                      <w:rFonts w:ascii="Cambria Math" w:hAnsi="Cambria Math" w:cs="Times New Roman"/>
                    </w:rPr>
                    <m:t>j</m:t>
                  </m:r>
                  <m:r>
                    <m:rPr>
                      <m:sty m:val="p"/>
                    </m:rPr>
                    <w:rPr>
                      <w:rFonts w:ascii="Cambria Math" w:hAnsi="Cambria Math" w:cs="Times New Roman"/>
                    </w:rPr>
                    <m:t>=0</m:t>
                  </m:r>
                </m:sub>
                <m:sup>
                  <m:r>
                    <w:rPr>
                      <w:rFonts w:ascii="Cambria Math" w:hAnsi="Cambria Math" w:cs="Times New Roman"/>
                    </w:rPr>
                    <m:t>q''</m:t>
                  </m:r>
                </m:sup>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j</m:t>
                      </m:r>
                    </m:sub>
                  </m:sSub>
                  <m:sSub>
                    <m:sSubPr>
                      <m:ctrlPr>
                        <w:rPr>
                          <w:rFonts w:ascii="Cambria Math" w:hAnsi="Cambria Math" w:cs="Times New Roman"/>
                        </w:rPr>
                      </m:ctrlPr>
                    </m:sSubPr>
                    <m:e>
                      <m:r>
                        <w:rPr>
                          <w:rFonts w:ascii="Cambria Math" w:hAnsi="Cambria Math" w:cs="Times New Roman"/>
                        </w:rPr>
                        <m:t>offreTransport</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j</m:t>
                      </m:r>
                    </m:sub>
                  </m:sSub>
                </m:e>
              </m:nary>
              <m:r>
                <w:rPr>
                  <w:rFonts w:ascii="Cambria Math" w:hAnsi="Cambria Math" w:cs="Times New Roman"/>
                </w:rPr>
                <m:t>+</m:t>
              </m:r>
            </m:e>
          </m:nary>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m:oMathPara>
    </w:p>
    <w:p w14:paraId="770B072F" w14:textId="7D1FB027" w:rsidR="00E75F39" w:rsidRDefault="00E75F39" w:rsidP="005A73CE">
      <w:pPr>
        <w:jc w:val="both"/>
        <w:rPr>
          <w:rFonts w:ascii="Times New Roman" w:eastAsiaTheme="minorEastAsia" w:hAnsi="Times New Roman" w:cs="Times New Roman"/>
          <w:sz w:val="24"/>
        </w:rPr>
      </w:pPr>
      <w:r w:rsidRPr="00B8073A">
        <w:rPr>
          <w:rFonts w:ascii="Times New Roman" w:eastAsiaTheme="minorEastAsia" w:hAnsi="Times New Roman" w:cs="Times New Roman"/>
          <w:sz w:val="24"/>
        </w:rPr>
        <w:t xml:space="preserve">De cette </w:t>
      </w:r>
      <w:r w:rsidR="00C9608B" w:rsidRPr="00B8073A">
        <w:rPr>
          <w:rFonts w:ascii="Times New Roman" w:eastAsiaTheme="minorEastAsia" w:hAnsi="Times New Roman" w:cs="Times New Roman"/>
          <w:sz w:val="24"/>
        </w:rPr>
        <w:t>relation</w:t>
      </w:r>
      <w:r w:rsidRPr="00B8073A">
        <w:rPr>
          <w:rFonts w:ascii="Times New Roman" w:eastAsiaTheme="minorEastAsia" w:hAnsi="Times New Roman" w:cs="Times New Roman"/>
          <w:sz w:val="24"/>
        </w:rPr>
        <w:t>, nous pouvons postuler d’</w:t>
      </w:r>
      <w:r w:rsidR="00C9608B" w:rsidRPr="00B8073A">
        <w:rPr>
          <w:rFonts w:ascii="Times New Roman" w:eastAsiaTheme="minorEastAsia" w:hAnsi="Times New Roman" w:cs="Times New Roman"/>
          <w:sz w:val="24"/>
        </w:rPr>
        <w:t>éventuels</w:t>
      </w:r>
      <w:r w:rsidRPr="00B8073A">
        <w:rPr>
          <w:rFonts w:ascii="Times New Roman" w:eastAsiaTheme="minorEastAsia" w:hAnsi="Times New Roman" w:cs="Times New Roman"/>
          <w:sz w:val="24"/>
        </w:rPr>
        <w:t xml:space="preserve"> </w:t>
      </w:r>
      <w:r w:rsidR="00C9608B" w:rsidRPr="00B8073A">
        <w:rPr>
          <w:rFonts w:ascii="Times New Roman" w:eastAsiaTheme="minorEastAsia" w:hAnsi="Times New Roman" w:cs="Times New Roman"/>
          <w:sz w:val="24"/>
        </w:rPr>
        <w:t>problèmes</w:t>
      </w:r>
      <w:r w:rsidRPr="00B8073A">
        <w:rPr>
          <w:rFonts w:ascii="Times New Roman" w:eastAsiaTheme="minorEastAsia" w:hAnsi="Times New Roman" w:cs="Times New Roman"/>
          <w:sz w:val="24"/>
        </w:rPr>
        <w:t xml:space="preserve"> lors de l’estimation des </w:t>
      </w:r>
      <w:r w:rsidR="00C9608B" w:rsidRPr="00B8073A">
        <w:rPr>
          <w:rFonts w:ascii="Times New Roman" w:eastAsiaTheme="minorEastAsia" w:hAnsi="Times New Roman" w:cs="Times New Roman"/>
          <w:sz w:val="24"/>
        </w:rPr>
        <w:t>paramètres</w:t>
      </w:r>
      <w:r w:rsidRPr="00B8073A">
        <w:rPr>
          <w:rFonts w:ascii="Times New Roman" w:eastAsiaTheme="minorEastAsia" w:hAnsi="Times New Roman" w:cs="Times New Roman"/>
          <w:sz w:val="24"/>
        </w:rPr>
        <w:t xml:space="preserve">. Ce </w:t>
      </w:r>
      <w:r w:rsidR="00C9608B" w:rsidRPr="00B8073A">
        <w:rPr>
          <w:rFonts w:ascii="Times New Roman" w:eastAsiaTheme="minorEastAsia" w:hAnsi="Times New Roman" w:cs="Times New Roman"/>
          <w:sz w:val="24"/>
        </w:rPr>
        <w:t>modèle</w:t>
      </w:r>
      <w:r w:rsidRPr="00B8073A">
        <w:rPr>
          <w:rFonts w:ascii="Times New Roman" w:eastAsiaTheme="minorEastAsia" w:hAnsi="Times New Roman" w:cs="Times New Roman"/>
          <w:sz w:val="24"/>
        </w:rPr>
        <w:t xml:space="preserve"> peut </w:t>
      </w:r>
      <w:r w:rsidR="00A408B7">
        <w:rPr>
          <w:rFonts w:ascii="Times New Roman" w:eastAsiaTheme="minorEastAsia" w:hAnsi="Times New Roman" w:cs="Times New Roman"/>
          <w:sz w:val="24"/>
        </w:rPr>
        <w:t>donc rencontrer des problèmes</w:t>
      </w:r>
      <w:r w:rsidRPr="00B8073A">
        <w:rPr>
          <w:rFonts w:ascii="Times New Roman" w:eastAsiaTheme="minorEastAsia" w:hAnsi="Times New Roman" w:cs="Times New Roman"/>
          <w:sz w:val="24"/>
        </w:rPr>
        <w:t xml:space="preserve"> de </w:t>
      </w:r>
      <w:r w:rsidR="00C9608B" w:rsidRPr="00B8073A">
        <w:rPr>
          <w:rFonts w:ascii="Times New Roman" w:eastAsiaTheme="minorEastAsia" w:hAnsi="Times New Roman" w:cs="Times New Roman"/>
          <w:sz w:val="24"/>
        </w:rPr>
        <w:t>multi colinéarité</w:t>
      </w:r>
      <w:r w:rsidRPr="00B8073A">
        <w:rPr>
          <w:rFonts w:ascii="Times New Roman" w:eastAsiaTheme="minorEastAsia" w:hAnsi="Times New Roman" w:cs="Times New Roman"/>
          <w:sz w:val="24"/>
        </w:rPr>
        <w:t xml:space="preserve"> des variables explicatives à cause de la composante  (DL) ainsi qu</w:t>
      </w:r>
      <w:r w:rsidR="00A408B7">
        <w:rPr>
          <w:rFonts w:ascii="Times New Roman" w:eastAsiaTheme="minorEastAsia" w:hAnsi="Times New Roman" w:cs="Times New Roman"/>
          <w:sz w:val="24"/>
        </w:rPr>
        <w:t>e d</w:t>
      </w:r>
      <w:r w:rsidRPr="00B8073A">
        <w:rPr>
          <w:rFonts w:ascii="Times New Roman" w:eastAsiaTheme="minorEastAsia" w:hAnsi="Times New Roman" w:cs="Times New Roman"/>
          <w:sz w:val="24"/>
        </w:rPr>
        <w:t xml:space="preserve">’une auto </w:t>
      </w:r>
      <w:r w:rsidR="00C9608B" w:rsidRPr="00B8073A">
        <w:rPr>
          <w:rFonts w:ascii="Times New Roman" w:eastAsiaTheme="minorEastAsia" w:hAnsi="Times New Roman" w:cs="Times New Roman"/>
          <w:sz w:val="24"/>
        </w:rPr>
        <w:t>corrélation</w:t>
      </w:r>
      <w:r w:rsidRPr="00B8073A">
        <w:rPr>
          <w:rFonts w:ascii="Times New Roman" w:eastAsiaTheme="minorEastAsia" w:hAnsi="Times New Roman" w:cs="Times New Roman"/>
          <w:sz w:val="24"/>
        </w:rPr>
        <w:t xml:space="preserve"> des erreurs du fait de la </w:t>
      </w:r>
      <w:r w:rsidR="00C9608B" w:rsidRPr="00B8073A">
        <w:rPr>
          <w:rFonts w:ascii="Times New Roman" w:eastAsiaTheme="minorEastAsia" w:hAnsi="Times New Roman" w:cs="Times New Roman"/>
          <w:sz w:val="24"/>
        </w:rPr>
        <w:t>présence</w:t>
      </w:r>
      <w:r w:rsidRPr="00B8073A">
        <w:rPr>
          <w:rFonts w:ascii="Times New Roman" w:eastAsiaTheme="minorEastAsia" w:hAnsi="Times New Roman" w:cs="Times New Roman"/>
          <w:sz w:val="24"/>
        </w:rPr>
        <w:t xml:space="preserve"> d’AR.  </w:t>
      </w:r>
    </w:p>
    <w:p w14:paraId="43B5CD2A" w14:textId="77777777" w:rsidR="0062435C" w:rsidRPr="00B8073A" w:rsidRDefault="0062435C" w:rsidP="005A73CE">
      <w:pPr>
        <w:jc w:val="both"/>
        <w:rPr>
          <w:rFonts w:ascii="Times New Roman" w:eastAsiaTheme="minorEastAsia" w:hAnsi="Times New Roman" w:cs="Times New Roman"/>
          <w:sz w:val="24"/>
        </w:rPr>
      </w:pPr>
    </w:p>
    <w:p w14:paraId="7D1F8E08" w14:textId="02216C64" w:rsidR="00E75F39" w:rsidRDefault="008D18D0" w:rsidP="00E55A18">
      <w:pPr>
        <w:pStyle w:val="Titre3"/>
        <w:numPr>
          <w:ilvl w:val="0"/>
          <w:numId w:val="13"/>
        </w:numPr>
        <w:rPr>
          <w:rFonts w:ascii="Times New Roman" w:eastAsiaTheme="minorEastAsia" w:hAnsi="Times New Roman" w:cs="Times New Roman"/>
          <w:b/>
          <w:bCs/>
        </w:rPr>
      </w:pPr>
      <w:bookmarkStart w:id="33" w:name="_Toc70937412"/>
      <w:r w:rsidRPr="0017252F">
        <w:rPr>
          <w:rFonts w:ascii="Times New Roman" w:eastAsiaTheme="minorEastAsia" w:hAnsi="Times New Roman" w:cs="Times New Roman"/>
          <w:b/>
          <w:bCs/>
        </w:rPr>
        <w:t>Relation de court et de Long terme</w:t>
      </w:r>
      <w:bookmarkEnd w:id="33"/>
      <w:r w:rsidRPr="0017252F">
        <w:rPr>
          <w:rFonts w:ascii="Times New Roman" w:eastAsiaTheme="minorEastAsia" w:hAnsi="Times New Roman" w:cs="Times New Roman"/>
          <w:b/>
          <w:bCs/>
        </w:rPr>
        <w:t xml:space="preserve"> </w:t>
      </w:r>
    </w:p>
    <w:p w14:paraId="5747EB6E" w14:textId="77777777" w:rsidR="0062435C" w:rsidRPr="0062435C" w:rsidRDefault="0062435C" w:rsidP="0062435C"/>
    <w:p w14:paraId="6348FD11" w14:textId="77777777" w:rsidR="0062435C" w:rsidRDefault="008D18D0" w:rsidP="0062435C">
      <w:pPr>
        <w:autoSpaceDE w:val="0"/>
        <w:autoSpaceDN w:val="0"/>
        <w:adjustRightInd w:val="0"/>
        <w:spacing w:after="0" w:line="240" w:lineRule="auto"/>
        <w:jc w:val="both"/>
        <w:rPr>
          <w:rFonts w:ascii="Times New Roman" w:eastAsiaTheme="minorEastAsia" w:hAnsi="Times New Roman" w:cs="Times New Roman"/>
          <w:sz w:val="24"/>
        </w:rPr>
      </w:pPr>
      <w:r w:rsidRPr="00B8073A">
        <w:rPr>
          <w:rFonts w:ascii="Times New Roman" w:eastAsiaTheme="minorEastAsia" w:hAnsi="Times New Roman" w:cs="Times New Roman"/>
          <w:sz w:val="24"/>
        </w:rPr>
        <w:t xml:space="preserve">L’un des avantages du </w:t>
      </w:r>
      <w:r w:rsidR="00EF1E04" w:rsidRPr="00B8073A">
        <w:rPr>
          <w:rFonts w:ascii="Times New Roman" w:eastAsiaTheme="minorEastAsia" w:hAnsi="Times New Roman" w:cs="Times New Roman"/>
          <w:sz w:val="24"/>
        </w:rPr>
        <w:t>modèle</w:t>
      </w:r>
      <w:r w:rsidRPr="00B8073A">
        <w:rPr>
          <w:rFonts w:ascii="Times New Roman" w:eastAsiaTheme="minorEastAsia" w:hAnsi="Times New Roman" w:cs="Times New Roman"/>
          <w:sz w:val="24"/>
        </w:rPr>
        <w:t xml:space="preserve"> ARDL est </w:t>
      </w:r>
      <w:r w:rsidR="00B2511D">
        <w:rPr>
          <w:rFonts w:ascii="Times New Roman" w:eastAsiaTheme="minorEastAsia" w:hAnsi="Times New Roman" w:cs="Times New Roman"/>
          <w:sz w:val="24"/>
        </w:rPr>
        <w:t xml:space="preserve">qu’il peut en </w:t>
      </w:r>
      <w:r w:rsidR="00EF1E04" w:rsidRPr="00B8073A">
        <w:rPr>
          <w:rFonts w:ascii="Times New Roman" w:eastAsiaTheme="minorEastAsia" w:hAnsi="Times New Roman" w:cs="Times New Roman"/>
          <w:sz w:val="24"/>
        </w:rPr>
        <w:t>découler</w:t>
      </w:r>
      <w:r w:rsidRPr="00B8073A">
        <w:rPr>
          <w:rFonts w:ascii="Times New Roman" w:eastAsiaTheme="minorEastAsia" w:hAnsi="Times New Roman" w:cs="Times New Roman"/>
          <w:sz w:val="24"/>
        </w:rPr>
        <w:t xml:space="preserve"> un </w:t>
      </w:r>
      <w:r w:rsidR="00EF1E04" w:rsidRPr="00B8073A">
        <w:rPr>
          <w:rFonts w:ascii="Times New Roman" w:eastAsiaTheme="minorEastAsia" w:hAnsi="Times New Roman" w:cs="Times New Roman"/>
          <w:sz w:val="24"/>
        </w:rPr>
        <w:t>modèle</w:t>
      </w:r>
      <w:r w:rsidRPr="00B8073A">
        <w:rPr>
          <w:rFonts w:ascii="Times New Roman" w:eastAsiaTheme="minorEastAsia" w:hAnsi="Times New Roman" w:cs="Times New Roman"/>
          <w:sz w:val="24"/>
        </w:rPr>
        <w:t xml:space="preserve"> à correction d</w:t>
      </w:r>
      <w:r w:rsidR="00EF1E04">
        <w:rPr>
          <w:rFonts w:ascii="Times New Roman" w:eastAsiaTheme="minorEastAsia" w:hAnsi="Times New Roman" w:cs="Times New Roman"/>
          <w:sz w:val="24"/>
        </w:rPr>
        <w:t xml:space="preserve">’erreur en cas de </w:t>
      </w:r>
      <w:r w:rsidR="00FD577E">
        <w:rPr>
          <w:rFonts w:ascii="Times New Roman" w:eastAsiaTheme="minorEastAsia" w:hAnsi="Times New Roman" w:cs="Times New Roman"/>
          <w:sz w:val="24"/>
        </w:rPr>
        <w:t>Coi</w:t>
      </w:r>
      <w:r w:rsidR="00FD577E" w:rsidRPr="00B8073A">
        <w:rPr>
          <w:rFonts w:ascii="Times New Roman" w:eastAsiaTheme="minorEastAsia" w:hAnsi="Times New Roman" w:cs="Times New Roman"/>
          <w:sz w:val="24"/>
        </w:rPr>
        <w:t>ntégration</w:t>
      </w:r>
      <w:r w:rsidR="00B2511D">
        <w:rPr>
          <w:rFonts w:ascii="Times New Roman" w:eastAsiaTheme="minorEastAsia" w:hAnsi="Times New Roman" w:cs="Times New Roman"/>
          <w:sz w:val="24"/>
        </w:rPr>
        <w:t>, ce modèle à correction d’erreur</w:t>
      </w:r>
      <w:r w:rsidRPr="00B8073A">
        <w:rPr>
          <w:rFonts w:ascii="Times New Roman" w:eastAsiaTheme="minorEastAsia" w:hAnsi="Times New Roman" w:cs="Times New Roman"/>
          <w:sz w:val="24"/>
        </w:rPr>
        <w:t xml:space="preserve"> conditionn</w:t>
      </w:r>
      <w:r w:rsidR="006E7927">
        <w:rPr>
          <w:rFonts w:ascii="Times New Roman" w:eastAsiaTheme="minorEastAsia" w:hAnsi="Times New Roman" w:cs="Times New Roman"/>
          <w:sz w:val="24"/>
        </w:rPr>
        <w:t>ant</w:t>
      </w:r>
      <w:r w:rsidRPr="00B8073A">
        <w:rPr>
          <w:rFonts w:ascii="Times New Roman" w:eastAsiaTheme="minorEastAsia" w:hAnsi="Times New Roman" w:cs="Times New Roman"/>
          <w:sz w:val="24"/>
        </w:rPr>
        <w:t xml:space="preserve"> les estimations de court et de long terme. </w:t>
      </w:r>
      <w:r w:rsidR="00300C60" w:rsidRPr="00B8073A">
        <w:rPr>
          <w:rFonts w:ascii="Times New Roman" w:eastAsiaTheme="minorEastAsia" w:hAnsi="Times New Roman" w:cs="Times New Roman"/>
          <w:sz w:val="24"/>
        </w:rPr>
        <w:t xml:space="preserve">Nous </w:t>
      </w:r>
      <w:r w:rsidR="007C6650">
        <w:rPr>
          <w:rFonts w:ascii="Times New Roman" w:eastAsiaTheme="minorEastAsia" w:hAnsi="Times New Roman" w:cs="Times New Roman"/>
          <w:sz w:val="24"/>
        </w:rPr>
        <w:t>disposons de</w:t>
      </w:r>
      <w:r w:rsidR="00300C60" w:rsidRPr="00B8073A">
        <w:rPr>
          <w:rFonts w:ascii="Times New Roman" w:eastAsiaTheme="minorEastAsia" w:hAnsi="Times New Roman" w:cs="Times New Roman"/>
          <w:sz w:val="24"/>
        </w:rPr>
        <w:t xml:space="preserve"> plusieurs tests qui nous permett</w:t>
      </w:r>
      <w:r w:rsidR="002174DE">
        <w:rPr>
          <w:rFonts w:ascii="Times New Roman" w:eastAsiaTheme="minorEastAsia" w:hAnsi="Times New Roman" w:cs="Times New Roman"/>
          <w:sz w:val="24"/>
        </w:rPr>
        <w:t>en</w:t>
      </w:r>
      <w:r w:rsidR="00300C60" w:rsidRPr="00B8073A">
        <w:rPr>
          <w:rFonts w:ascii="Times New Roman" w:eastAsiaTheme="minorEastAsia" w:hAnsi="Times New Roman" w:cs="Times New Roman"/>
          <w:sz w:val="24"/>
        </w:rPr>
        <w:t>t d’</w:t>
      </w:r>
      <w:r w:rsidR="00EF1E04" w:rsidRPr="00B8073A">
        <w:rPr>
          <w:rFonts w:ascii="Times New Roman" w:eastAsiaTheme="minorEastAsia" w:hAnsi="Times New Roman" w:cs="Times New Roman"/>
          <w:sz w:val="24"/>
        </w:rPr>
        <w:t>établir</w:t>
      </w:r>
      <w:r w:rsidR="00300C60" w:rsidRPr="00B8073A">
        <w:rPr>
          <w:rFonts w:ascii="Times New Roman" w:eastAsiaTheme="minorEastAsia" w:hAnsi="Times New Roman" w:cs="Times New Roman"/>
          <w:sz w:val="24"/>
        </w:rPr>
        <w:t xml:space="preserve"> la </w:t>
      </w:r>
      <w:r w:rsidR="00EF1E04" w:rsidRPr="00B8073A">
        <w:rPr>
          <w:rFonts w:ascii="Times New Roman" w:eastAsiaTheme="minorEastAsia" w:hAnsi="Times New Roman" w:cs="Times New Roman"/>
          <w:sz w:val="24"/>
        </w:rPr>
        <w:t>présence</w:t>
      </w:r>
      <w:r w:rsidR="00300C60" w:rsidRPr="00B8073A">
        <w:rPr>
          <w:rFonts w:ascii="Times New Roman" w:eastAsiaTheme="minorEastAsia" w:hAnsi="Times New Roman" w:cs="Times New Roman"/>
          <w:sz w:val="24"/>
        </w:rPr>
        <w:t xml:space="preserve"> ou non de </w:t>
      </w:r>
      <w:r w:rsidR="00FD577E" w:rsidRPr="00B8073A">
        <w:rPr>
          <w:rFonts w:ascii="Times New Roman" w:eastAsiaTheme="minorEastAsia" w:hAnsi="Times New Roman" w:cs="Times New Roman"/>
          <w:sz w:val="24"/>
        </w:rPr>
        <w:t>Co</w:t>
      </w:r>
      <w:r w:rsidR="00FD577E">
        <w:rPr>
          <w:rFonts w:ascii="Times New Roman" w:eastAsiaTheme="minorEastAsia" w:hAnsi="Times New Roman" w:cs="Times New Roman"/>
          <w:sz w:val="24"/>
        </w:rPr>
        <w:t>i</w:t>
      </w:r>
      <w:r w:rsidR="00FD577E" w:rsidRPr="00B8073A">
        <w:rPr>
          <w:rFonts w:ascii="Times New Roman" w:eastAsiaTheme="minorEastAsia" w:hAnsi="Times New Roman" w:cs="Times New Roman"/>
          <w:sz w:val="24"/>
        </w:rPr>
        <w:t>ntégration</w:t>
      </w:r>
      <w:r w:rsidR="00300C60" w:rsidRPr="00B8073A">
        <w:rPr>
          <w:rFonts w:ascii="Times New Roman" w:eastAsiaTheme="minorEastAsia" w:hAnsi="Times New Roman" w:cs="Times New Roman"/>
          <w:sz w:val="24"/>
        </w:rPr>
        <w:t>, entre autre</w:t>
      </w:r>
      <w:r w:rsidR="00234C3D">
        <w:rPr>
          <w:rFonts w:ascii="Times New Roman" w:eastAsiaTheme="minorEastAsia" w:hAnsi="Times New Roman" w:cs="Times New Roman"/>
          <w:sz w:val="24"/>
        </w:rPr>
        <w:t>s</w:t>
      </w:r>
      <w:r w:rsidR="00300C60" w:rsidRPr="00B8073A">
        <w:rPr>
          <w:rFonts w:ascii="Times New Roman" w:eastAsiaTheme="minorEastAsia" w:hAnsi="Times New Roman" w:cs="Times New Roman"/>
          <w:sz w:val="24"/>
        </w:rPr>
        <w:t xml:space="preserve"> celui de Engel et Granger (1987), de S Johansen (1988, 1991)</w:t>
      </w:r>
      <w:r w:rsidR="000D575C" w:rsidRPr="00B8073A">
        <w:rPr>
          <w:rFonts w:ascii="Times New Roman" w:eastAsiaTheme="minorEastAsia" w:hAnsi="Times New Roman" w:cs="Times New Roman"/>
          <w:sz w:val="24"/>
        </w:rPr>
        <w:t xml:space="preserve"> et celui de </w:t>
      </w:r>
      <w:r w:rsidR="000D575C" w:rsidRPr="00B8073A">
        <w:rPr>
          <w:rFonts w:ascii="Times New Roman" w:hAnsi="Times New Roman" w:cs="Times New Roman"/>
          <w:color w:val="000000"/>
          <w:sz w:val="28"/>
          <w:szCs w:val="24"/>
          <w:lang w:val="fr-CA"/>
        </w:rPr>
        <w:t>M</w:t>
      </w:r>
      <w:r w:rsidR="000D575C" w:rsidRPr="00B8073A">
        <w:rPr>
          <w:rFonts w:ascii="Times New Roman" w:eastAsiaTheme="minorEastAsia" w:hAnsi="Times New Roman" w:cs="Times New Roman"/>
          <w:sz w:val="24"/>
        </w:rPr>
        <w:t xml:space="preserve">. H. </w:t>
      </w:r>
      <w:proofErr w:type="spellStart"/>
      <w:r w:rsidR="000D575C" w:rsidRPr="00B8073A">
        <w:rPr>
          <w:rFonts w:ascii="Times New Roman" w:eastAsiaTheme="minorEastAsia" w:hAnsi="Times New Roman" w:cs="Times New Roman"/>
          <w:sz w:val="24"/>
        </w:rPr>
        <w:t>Pesaran</w:t>
      </w:r>
      <w:proofErr w:type="spellEnd"/>
      <w:r w:rsidR="000D575C" w:rsidRPr="00B8073A">
        <w:rPr>
          <w:rFonts w:ascii="Times New Roman" w:eastAsiaTheme="minorEastAsia" w:hAnsi="Times New Roman" w:cs="Times New Roman"/>
          <w:sz w:val="24"/>
        </w:rPr>
        <w:t xml:space="preserve"> et al. (2001). </w:t>
      </w:r>
      <w:r w:rsidR="00227293">
        <w:rPr>
          <w:rFonts w:ascii="Times New Roman" w:eastAsiaTheme="minorEastAsia" w:hAnsi="Times New Roman" w:cs="Times New Roman"/>
          <w:sz w:val="24"/>
        </w:rPr>
        <w:t>Par ailleurs, l</w:t>
      </w:r>
      <w:r w:rsidR="000D575C" w:rsidRPr="00B8073A">
        <w:rPr>
          <w:rFonts w:ascii="Times New Roman" w:eastAsiaTheme="minorEastAsia" w:hAnsi="Times New Roman" w:cs="Times New Roman"/>
          <w:sz w:val="24"/>
        </w:rPr>
        <w:t xml:space="preserve">e test de </w:t>
      </w:r>
      <w:r w:rsidR="00CD2B8E" w:rsidRPr="00B8073A">
        <w:rPr>
          <w:rFonts w:ascii="Times New Roman" w:eastAsiaTheme="minorEastAsia" w:hAnsi="Times New Roman" w:cs="Times New Roman"/>
          <w:sz w:val="24"/>
        </w:rPr>
        <w:t>Co</w:t>
      </w:r>
      <w:r w:rsidR="000D575C" w:rsidRPr="00B8073A">
        <w:rPr>
          <w:rFonts w:ascii="Times New Roman" w:eastAsiaTheme="minorEastAsia" w:hAnsi="Times New Roman" w:cs="Times New Roman"/>
          <w:sz w:val="24"/>
        </w:rPr>
        <w:t xml:space="preserve"> intégration d</w:t>
      </w:r>
      <w:r w:rsidR="00234C3D">
        <w:rPr>
          <w:rFonts w:ascii="Times New Roman" w:eastAsiaTheme="minorEastAsia" w:hAnsi="Times New Roman" w:cs="Times New Roman"/>
          <w:sz w:val="24"/>
        </w:rPr>
        <w:t>’</w:t>
      </w:r>
      <w:proofErr w:type="spellStart"/>
      <w:r w:rsidR="000D575C" w:rsidRPr="00B8073A">
        <w:rPr>
          <w:rFonts w:ascii="Times New Roman" w:eastAsiaTheme="minorEastAsia" w:hAnsi="Times New Roman" w:cs="Times New Roman"/>
          <w:sz w:val="24"/>
        </w:rPr>
        <w:t>Engle</w:t>
      </w:r>
      <w:proofErr w:type="spellEnd"/>
      <w:r w:rsidR="000D575C" w:rsidRPr="00B8073A">
        <w:rPr>
          <w:rFonts w:ascii="Times New Roman" w:eastAsiaTheme="minorEastAsia" w:hAnsi="Times New Roman" w:cs="Times New Roman"/>
          <w:sz w:val="24"/>
        </w:rPr>
        <w:t xml:space="preserve"> et Granger (1991) n’est valide que pour deux variables intégrées de même ordre (soit ordre d’intégration = 1), il est ainsi moins efficace pour des cas </w:t>
      </w:r>
      <w:r w:rsidR="00AB3E60">
        <w:rPr>
          <w:rFonts w:ascii="Times New Roman" w:eastAsiaTheme="minorEastAsia" w:hAnsi="Times New Roman" w:cs="Times New Roman"/>
          <w:sz w:val="24"/>
        </w:rPr>
        <w:t>multi</w:t>
      </w:r>
      <w:r w:rsidR="00EF1E04" w:rsidRPr="00B8073A">
        <w:rPr>
          <w:rFonts w:ascii="Times New Roman" w:eastAsiaTheme="minorEastAsia" w:hAnsi="Times New Roman" w:cs="Times New Roman"/>
          <w:sz w:val="24"/>
        </w:rPr>
        <w:t>variés</w:t>
      </w:r>
      <w:r w:rsidR="000D575C" w:rsidRPr="00B8073A">
        <w:rPr>
          <w:rFonts w:ascii="Times New Roman" w:eastAsiaTheme="minorEastAsia" w:hAnsi="Times New Roman" w:cs="Times New Roman"/>
          <w:sz w:val="24"/>
        </w:rPr>
        <w:t>. Bien que le test de Johansen</w:t>
      </w:r>
      <w:r w:rsidR="00234C3D">
        <w:rPr>
          <w:rFonts w:ascii="Times New Roman" w:eastAsiaTheme="minorEastAsia" w:hAnsi="Times New Roman" w:cs="Times New Roman"/>
          <w:sz w:val="24"/>
        </w:rPr>
        <w:t xml:space="preserve">, </w:t>
      </w:r>
      <w:r w:rsidR="000D575C" w:rsidRPr="00B8073A">
        <w:rPr>
          <w:rFonts w:ascii="Times New Roman" w:eastAsiaTheme="minorEastAsia" w:hAnsi="Times New Roman" w:cs="Times New Roman"/>
          <w:sz w:val="24"/>
        </w:rPr>
        <w:t>fondé sur une modélisation vectorielle autorégressive à correction d’erreur (VECM),</w:t>
      </w:r>
      <w:r w:rsidR="00234C3D">
        <w:rPr>
          <w:rFonts w:ascii="Times New Roman" w:eastAsiaTheme="minorEastAsia" w:hAnsi="Times New Roman" w:cs="Times New Roman"/>
          <w:sz w:val="24"/>
        </w:rPr>
        <w:t xml:space="preserve"> </w:t>
      </w:r>
      <w:r w:rsidR="00234C3D" w:rsidRPr="00B8073A">
        <w:rPr>
          <w:rFonts w:ascii="Times New Roman" w:eastAsiaTheme="minorEastAsia" w:hAnsi="Times New Roman" w:cs="Times New Roman"/>
          <w:sz w:val="24"/>
        </w:rPr>
        <w:t xml:space="preserve">pallie ce souci, </w:t>
      </w:r>
      <w:r w:rsidR="000D575C" w:rsidRPr="00B8073A">
        <w:rPr>
          <w:rFonts w:ascii="Times New Roman" w:eastAsiaTheme="minorEastAsia" w:hAnsi="Times New Roman" w:cs="Times New Roman"/>
          <w:sz w:val="24"/>
        </w:rPr>
        <w:t xml:space="preserve">il exige aussi que toutes les variables soient intégrées de même ordre. </w:t>
      </w:r>
      <w:r w:rsidR="0034072C">
        <w:rPr>
          <w:rFonts w:ascii="Times New Roman" w:eastAsiaTheme="minorEastAsia" w:hAnsi="Times New Roman" w:cs="Times New Roman"/>
          <w:sz w:val="24"/>
        </w:rPr>
        <w:t>Ainsi, l</w:t>
      </w:r>
      <w:r w:rsidR="000D575C" w:rsidRPr="00B8073A">
        <w:rPr>
          <w:rFonts w:ascii="Times New Roman" w:eastAsiaTheme="minorEastAsia" w:hAnsi="Times New Roman" w:cs="Times New Roman"/>
          <w:sz w:val="24"/>
        </w:rPr>
        <w:t xml:space="preserve">orsque </w:t>
      </w:r>
      <w:r w:rsidR="00AB3E60">
        <w:rPr>
          <w:rFonts w:ascii="Times New Roman" w:eastAsiaTheme="minorEastAsia" w:hAnsi="Times New Roman" w:cs="Times New Roman"/>
          <w:sz w:val="24"/>
        </w:rPr>
        <w:t xml:space="preserve">nous </w:t>
      </w:r>
      <w:r w:rsidR="00F57C64">
        <w:rPr>
          <w:rFonts w:ascii="Times New Roman" w:eastAsiaTheme="minorEastAsia" w:hAnsi="Times New Roman" w:cs="Times New Roman"/>
          <w:sz w:val="24"/>
        </w:rPr>
        <w:t xml:space="preserve">faisons face à </w:t>
      </w:r>
      <w:r w:rsidR="000D575C" w:rsidRPr="00B8073A">
        <w:rPr>
          <w:rFonts w:ascii="Times New Roman" w:eastAsiaTheme="minorEastAsia" w:hAnsi="Times New Roman" w:cs="Times New Roman"/>
          <w:sz w:val="24"/>
        </w:rPr>
        <w:lastRenderedPageBreak/>
        <w:t>de</w:t>
      </w:r>
      <w:r w:rsidR="00F57C64">
        <w:rPr>
          <w:rFonts w:ascii="Times New Roman" w:eastAsiaTheme="minorEastAsia" w:hAnsi="Times New Roman" w:cs="Times New Roman"/>
          <w:sz w:val="24"/>
        </w:rPr>
        <w:t>s</w:t>
      </w:r>
      <w:r w:rsidR="000D575C" w:rsidRPr="00B8073A">
        <w:rPr>
          <w:rFonts w:ascii="Times New Roman" w:eastAsiaTheme="minorEastAsia" w:hAnsi="Times New Roman" w:cs="Times New Roman"/>
          <w:sz w:val="24"/>
        </w:rPr>
        <w:t xml:space="preserve"> variable</w:t>
      </w:r>
      <w:r w:rsidR="00A624D5">
        <w:rPr>
          <w:rFonts w:ascii="Times New Roman" w:eastAsiaTheme="minorEastAsia" w:hAnsi="Times New Roman" w:cs="Times New Roman"/>
          <w:sz w:val="24"/>
        </w:rPr>
        <w:t>s</w:t>
      </w:r>
      <w:r w:rsidR="000D575C" w:rsidRPr="00B8073A">
        <w:rPr>
          <w:rFonts w:ascii="Times New Roman" w:eastAsiaTheme="minorEastAsia" w:hAnsi="Times New Roman" w:cs="Times New Roman"/>
          <w:sz w:val="24"/>
        </w:rPr>
        <w:t xml:space="preserve"> </w:t>
      </w:r>
      <w:r w:rsidR="00EF1E04" w:rsidRPr="00B8073A">
        <w:rPr>
          <w:rFonts w:ascii="Times New Roman" w:eastAsiaTheme="minorEastAsia" w:hAnsi="Times New Roman" w:cs="Times New Roman"/>
          <w:sz w:val="24"/>
        </w:rPr>
        <w:t>intégré</w:t>
      </w:r>
      <w:r w:rsidR="00AB3E60">
        <w:rPr>
          <w:rFonts w:ascii="Times New Roman" w:eastAsiaTheme="minorEastAsia" w:hAnsi="Times New Roman" w:cs="Times New Roman"/>
          <w:sz w:val="24"/>
        </w:rPr>
        <w:t>e</w:t>
      </w:r>
      <w:r w:rsidR="00EF1E04" w:rsidRPr="00B8073A">
        <w:rPr>
          <w:rFonts w:ascii="Times New Roman" w:eastAsiaTheme="minorEastAsia" w:hAnsi="Times New Roman" w:cs="Times New Roman"/>
          <w:sz w:val="24"/>
        </w:rPr>
        <w:t>s</w:t>
      </w:r>
      <w:r w:rsidR="000D575C" w:rsidRPr="00B8073A">
        <w:rPr>
          <w:rFonts w:ascii="Times New Roman" w:eastAsiaTheme="minorEastAsia" w:hAnsi="Times New Roman" w:cs="Times New Roman"/>
          <w:sz w:val="24"/>
        </w:rPr>
        <w:t xml:space="preserve"> à des ordre</w:t>
      </w:r>
      <w:r w:rsidR="00EF1E04">
        <w:rPr>
          <w:rFonts w:ascii="Times New Roman" w:eastAsiaTheme="minorEastAsia" w:hAnsi="Times New Roman" w:cs="Times New Roman"/>
          <w:sz w:val="24"/>
        </w:rPr>
        <w:t>s</w:t>
      </w:r>
      <w:r w:rsidR="000D575C" w:rsidRPr="00B8073A">
        <w:rPr>
          <w:rFonts w:ascii="Times New Roman" w:eastAsiaTheme="minorEastAsia" w:hAnsi="Times New Roman" w:cs="Times New Roman"/>
          <w:sz w:val="24"/>
        </w:rPr>
        <w:t xml:space="preserve"> </w:t>
      </w:r>
      <w:r w:rsidR="00EF1E04" w:rsidRPr="00B8073A">
        <w:rPr>
          <w:rFonts w:ascii="Times New Roman" w:eastAsiaTheme="minorEastAsia" w:hAnsi="Times New Roman" w:cs="Times New Roman"/>
          <w:sz w:val="24"/>
        </w:rPr>
        <w:t>différents</w:t>
      </w:r>
      <w:r w:rsidR="000D575C" w:rsidRPr="00B8073A">
        <w:rPr>
          <w:rFonts w:ascii="Times New Roman" w:eastAsiaTheme="minorEastAsia" w:hAnsi="Times New Roman" w:cs="Times New Roman"/>
          <w:sz w:val="24"/>
        </w:rPr>
        <w:t xml:space="preserve"> (ordre</w:t>
      </w:r>
      <w:r w:rsidR="00637F6C">
        <w:rPr>
          <w:rFonts w:ascii="Times New Roman" w:eastAsiaTheme="minorEastAsia" w:hAnsi="Times New Roman" w:cs="Times New Roman"/>
          <w:sz w:val="24"/>
        </w:rPr>
        <w:t>s</w:t>
      </w:r>
      <w:r w:rsidR="000D575C" w:rsidRPr="00B8073A">
        <w:rPr>
          <w:rFonts w:ascii="Times New Roman" w:eastAsiaTheme="minorEastAsia" w:hAnsi="Times New Roman" w:cs="Times New Roman"/>
          <w:sz w:val="24"/>
        </w:rPr>
        <w:t xml:space="preserve"> 0 et 1), nous utilisons le test de </w:t>
      </w:r>
      <w:r w:rsidR="00FD577E" w:rsidRPr="00B8073A">
        <w:rPr>
          <w:rFonts w:ascii="Times New Roman" w:eastAsiaTheme="minorEastAsia" w:hAnsi="Times New Roman" w:cs="Times New Roman"/>
          <w:sz w:val="24"/>
        </w:rPr>
        <w:t>Co</w:t>
      </w:r>
      <w:r w:rsidR="00FD577E">
        <w:rPr>
          <w:rFonts w:ascii="Times New Roman" w:eastAsiaTheme="minorEastAsia" w:hAnsi="Times New Roman" w:cs="Times New Roman"/>
          <w:sz w:val="24"/>
        </w:rPr>
        <w:t>i</w:t>
      </w:r>
      <w:r w:rsidR="00FD577E" w:rsidRPr="00B8073A">
        <w:rPr>
          <w:rFonts w:ascii="Times New Roman" w:eastAsiaTheme="minorEastAsia" w:hAnsi="Times New Roman" w:cs="Times New Roman"/>
          <w:sz w:val="24"/>
        </w:rPr>
        <w:t>ntégration</w:t>
      </w:r>
      <w:r w:rsidR="000D575C" w:rsidRPr="00B8073A">
        <w:rPr>
          <w:rFonts w:ascii="Times New Roman" w:eastAsiaTheme="minorEastAsia" w:hAnsi="Times New Roman" w:cs="Times New Roman"/>
          <w:sz w:val="24"/>
        </w:rPr>
        <w:t xml:space="preserve"> de </w:t>
      </w:r>
      <w:r w:rsidR="000D575C" w:rsidRPr="00B8073A">
        <w:rPr>
          <w:rFonts w:ascii="Times New Roman" w:hAnsi="Times New Roman" w:cs="Times New Roman"/>
          <w:color w:val="000000"/>
          <w:sz w:val="28"/>
          <w:szCs w:val="24"/>
          <w:lang w:val="fr-CA"/>
        </w:rPr>
        <w:t>M</w:t>
      </w:r>
      <w:r w:rsidR="000D575C" w:rsidRPr="00B8073A">
        <w:rPr>
          <w:rFonts w:ascii="Times New Roman" w:eastAsiaTheme="minorEastAsia" w:hAnsi="Times New Roman" w:cs="Times New Roman"/>
          <w:sz w:val="24"/>
        </w:rPr>
        <w:t xml:space="preserve">. H. </w:t>
      </w:r>
      <w:proofErr w:type="spellStart"/>
      <w:r w:rsidR="000D575C" w:rsidRPr="00B8073A">
        <w:rPr>
          <w:rFonts w:ascii="Times New Roman" w:eastAsiaTheme="minorEastAsia" w:hAnsi="Times New Roman" w:cs="Times New Roman"/>
          <w:sz w:val="24"/>
        </w:rPr>
        <w:t>Pesaran</w:t>
      </w:r>
      <w:proofErr w:type="spellEnd"/>
      <w:r w:rsidR="000D575C" w:rsidRPr="00B8073A">
        <w:rPr>
          <w:rFonts w:ascii="Times New Roman" w:eastAsiaTheme="minorEastAsia" w:hAnsi="Times New Roman" w:cs="Times New Roman"/>
          <w:sz w:val="24"/>
        </w:rPr>
        <w:t xml:space="preserve"> et al. (2001) que nous </w:t>
      </w:r>
      <w:r w:rsidR="00C57B4F" w:rsidRPr="00B8073A">
        <w:rPr>
          <w:rFonts w:ascii="Times New Roman" w:eastAsiaTheme="minorEastAsia" w:hAnsi="Times New Roman" w:cs="Times New Roman"/>
          <w:sz w:val="24"/>
        </w:rPr>
        <w:t>appellerons</w:t>
      </w:r>
      <w:r w:rsidR="000D575C" w:rsidRPr="00B8073A">
        <w:rPr>
          <w:rFonts w:ascii="Times New Roman" w:eastAsiaTheme="minorEastAsia" w:hAnsi="Times New Roman" w:cs="Times New Roman"/>
          <w:sz w:val="24"/>
        </w:rPr>
        <w:t xml:space="preserve"> test de </w:t>
      </w:r>
      <w:r w:rsidR="00FD577E" w:rsidRPr="00B8073A">
        <w:rPr>
          <w:rFonts w:ascii="Times New Roman" w:eastAsiaTheme="minorEastAsia" w:hAnsi="Times New Roman" w:cs="Times New Roman"/>
          <w:sz w:val="24"/>
        </w:rPr>
        <w:t>Co</w:t>
      </w:r>
      <w:r w:rsidR="00FD577E">
        <w:rPr>
          <w:rFonts w:ascii="Times New Roman" w:eastAsiaTheme="minorEastAsia" w:hAnsi="Times New Roman" w:cs="Times New Roman"/>
          <w:sz w:val="24"/>
        </w:rPr>
        <w:t>i</w:t>
      </w:r>
      <w:r w:rsidR="00FD577E" w:rsidRPr="00B8073A">
        <w:rPr>
          <w:rFonts w:ascii="Times New Roman" w:eastAsiaTheme="minorEastAsia" w:hAnsi="Times New Roman" w:cs="Times New Roman"/>
          <w:sz w:val="24"/>
        </w:rPr>
        <w:t>ntégration</w:t>
      </w:r>
      <w:r w:rsidR="005F1556" w:rsidRPr="00B8073A">
        <w:rPr>
          <w:rFonts w:ascii="Times New Roman" w:eastAsiaTheme="minorEastAsia" w:hAnsi="Times New Roman" w:cs="Times New Roman"/>
          <w:sz w:val="24"/>
        </w:rPr>
        <w:t xml:space="preserve"> aux bornes. </w:t>
      </w:r>
      <w:r w:rsidR="00600EEA">
        <w:rPr>
          <w:rFonts w:ascii="Times New Roman" w:eastAsiaTheme="minorEastAsia" w:hAnsi="Times New Roman" w:cs="Times New Roman"/>
          <w:sz w:val="24"/>
        </w:rPr>
        <w:t xml:space="preserve">De plus, si </w:t>
      </w:r>
      <w:r w:rsidR="005F1556" w:rsidRPr="00B8073A">
        <w:rPr>
          <w:rFonts w:ascii="Times New Roman" w:eastAsiaTheme="minorEastAsia" w:hAnsi="Times New Roman" w:cs="Times New Roman"/>
          <w:sz w:val="24"/>
        </w:rPr>
        <w:t xml:space="preserve">notre </w:t>
      </w:r>
      <w:r w:rsidR="00C57B4F" w:rsidRPr="00B8073A">
        <w:rPr>
          <w:rFonts w:ascii="Times New Roman" w:eastAsiaTheme="minorEastAsia" w:hAnsi="Times New Roman" w:cs="Times New Roman"/>
          <w:sz w:val="24"/>
        </w:rPr>
        <w:t>modèle</w:t>
      </w:r>
      <w:r w:rsidR="005F1556" w:rsidRPr="00B8073A">
        <w:rPr>
          <w:rFonts w:ascii="Times New Roman" w:eastAsiaTheme="minorEastAsia" w:hAnsi="Times New Roman" w:cs="Times New Roman"/>
          <w:sz w:val="24"/>
        </w:rPr>
        <w:t xml:space="preserve"> </w:t>
      </w:r>
      <w:r w:rsidR="00F54688">
        <w:rPr>
          <w:rFonts w:ascii="Times New Roman" w:eastAsiaTheme="minorEastAsia" w:hAnsi="Times New Roman" w:cs="Times New Roman"/>
          <w:sz w:val="24"/>
        </w:rPr>
        <w:t xml:space="preserve">présente </w:t>
      </w:r>
      <w:r w:rsidR="005F1556" w:rsidRPr="00B8073A">
        <w:rPr>
          <w:rFonts w:ascii="Times New Roman" w:eastAsiaTheme="minorEastAsia" w:hAnsi="Times New Roman" w:cs="Times New Roman"/>
          <w:sz w:val="24"/>
        </w:rPr>
        <w:t xml:space="preserve">au moins une relation de </w:t>
      </w:r>
      <w:r w:rsidR="00FD577E" w:rsidRPr="00B8073A">
        <w:rPr>
          <w:rFonts w:ascii="Times New Roman" w:eastAsiaTheme="minorEastAsia" w:hAnsi="Times New Roman" w:cs="Times New Roman"/>
          <w:sz w:val="24"/>
        </w:rPr>
        <w:t>Co</w:t>
      </w:r>
      <w:r w:rsidR="00FD577E">
        <w:rPr>
          <w:rFonts w:ascii="Times New Roman" w:eastAsiaTheme="minorEastAsia" w:hAnsi="Times New Roman" w:cs="Times New Roman"/>
          <w:sz w:val="24"/>
        </w:rPr>
        <w:t>i</w:t>
      </w:r>
      <w:r w:rsidR="00FD577E" w:rsidRPr="00B8073A">
        <w:rPr>
          <w:rFonts w:ascii="Times New Roman" w:eastAsiaTheme="minorEastAsia" w:hAnsi="Times New Roman" w:cs="Times New Roman"/>
          <w:sz w:val="24"/>
        </w:rPr>
        <w:t>ntégration</w:t>
      </w:r>
      <w:r w:rsidR="005F1556" w:rsidRPr="00B8073A">
        <w:rPr>
          <w:rFonts w:ascii="Times New Roman" w:eastAsiaTheme="minorEastAsia" w:hAnsi="Times New Roman" w:cs="Times New Roman"/>
          <w:sz w:val="24"/>
        </w:rPr>
        <w:t xml:space="preserve">, cela voudrait dire que le </w:t>
      </w:r>
      <w:r w:rsidR="00C57B4F" w:rsidRPr="00B8073A">
        <w:rPr>
          <w:rFonts w:ascii="Times New Roman" w:eastAsiaTheme="minorEastAsia" w:hAnsi="Times New Roman" w:cs="Times New Roman"/>
          <w:sz w:val="24"/>
        </w:rPr>
        <w:t>modèle</w:t>
      </w:r>
      <w:r w:rsidR="005F1556" w:rsidRPr="00B8073A">
        <w:rPr>
          <w:rFonts w:ascii="Times New Roman" w:eastAsiaTheme="minorEastAsia" w:hAnsi="Times New Roman" w:cs="Times New Roman"/>
          <w:sz w:val="24"/>
        </w:rPr>
        <w:t xml:space="preserve"> dispose d’un </w:t>
      </w:r>
      <w:r w:rsidR="00C57B4F" w:rsidRPr="00B8073A">
        <w:rPr>
          <w:rFonts w:ascii="Times New Roman" w:eastAsiaTheme="minorEastAsia" w:hAnsi="Times New Roman" w:cs="Times New Roman"/>
          <w:sz w:val="24"/>
        </w:rPr>
        <w:t>équilibre</w:t>
      </w:r>
      <w:r w:rsidR="005F1556" w:rsidRPr="00B8073A">
        <w:rPr>
          <w:rFonts w:ascii="Times New Roman" w:eastAsiaTheme="minorEastAsia" w:hAnsi="Times New Roman" w:cs="Times New Roman"/>
          <w:sz w:val="24"/>
        </w:rPr>
        <w:t xml:space="preserve"> de </w:t>
      </w:r>
      <w:r w:rsidR="00C57B4F" w:rsidRPr="00B8073A">
        <w:rPr>
          <w:rFonts w:ascii="Times New Roman" w:eastAsiaTheme="minorEastAsia" w:hAnsi="Times New Roman" w:cs="Times New Roman"/>
          <w:sz w:val="24"/>
        </w:rPr>
        <w:t>long terme différent</w:t>
      </w:r>
      <w:r w:rsidR="005F1556" w:rsidRPr="00B8073A">
        <w:rPr>
          <w:rFonts w:ascii="Times New Roman" w:eastAsiaTheme="minorEastAsia" w:hAnsi="Times New Roman" w:cs="Times New Roman"/>
          <w:sz w:val="24"/>
        </w:rPr>
        <w:t xml:space="preserve"> de la relation de court terme. Dans le cas contraire, les </w:t>
      </w:r>
      <w:r w:rsidR="00C57B4F" w:rsidRPr="00B8073A">
        <w:rPr>
          <w:rFonts w:ascii="Times New Roman" w:eastAsiaTheme="minorEastAsia" w:hAnsi="Times New Roman" w:cs="Times New Roman"/>
          <w:sz w:val="24"/>
        </w:rPr>
        <w:t>mêmes</w:t>
      </w:r>
      <w:r w:rsidR="005F1556" w:rsidRPr="00B8073A">
        <w:rPr>
          <w:rFonts w:ascii="Times New Roman" w:eastAsiaTheme="minorEastAsia" w:hAnsi="Times New Roman" w:cs="Times New Roman"/>
          <w:sz w:val="24"/>
        </w:rPr>
        <w:t xml:space="preserve"> coefficients de l’estimation peuvent </w:t>
      </w:r>
      <w:r w:rsidR="00C57B4F" w:rsidRPr="00B8073A">
        <w:rPr>
          <w:rFonts w:ascii="Times New Roman" w:eastAsiaTheme="minorEastAsia" w:hAnsi="Times New Roman" w:cs="Times New Roman"/>
          <w:sz w:val="24"/>
        </w:rPr>
        <w:t>décrire</w:t>
      </w:r>
      <w:r w:rsidR="005F1556" w:rsidRPr="00B8073A">
        <w:rPr>
          <w:rFonts w:ascii="Times New Roman" w:eastAsiaTheme="minorEastAsia" w:hAnsi="Times New Roman" w:cs="Times New Roman"/>
          <w:sz w:val="24"/>
        </w:rPr>
        <w:t xml:space="preserve"> les relations de court et de long terme.</w:t>
      </w:r>
    </w:p>
    <w:p w14:paraId="29367672" w14:textId="7DDB5B42" w:rsidR="000D575C" w:rsidRDefault="005F1556" w:rsidP="0062435C">
      <w:pPr>
        <w:autoSpaceDE w:val="0"/>
        <w:autoSpaceDN w:val="0"/>
        <w:adjustRightInd w:val="0"/>
        <w:spacing w:after="0" w:line="240" w:lineRule="auto"/>
        <w:jc w:val="both"/>
        <w:rPr>
          <w:rFonts w:ascii="Times New Roman" w:eastAsiaTheme="minorEastAsia" w:hAnsi="Times New Roman" w:cs="Times New Roman"/>
          <w:sz w:val="24"/>
        </w:rPr>
      </w:pPr>
      <w:r w:rsidRPr="00B8073A">
        <w:rPr>
          <w:rFonts w:ascii="Times New Roman" w:eastAsiaTheme="minorEastAsia" w:hAnsi="Times New Roman" w:cs="Times New Roman"/>
          <w:sz w:val="24"/>
        </w:rPr>
        <w:t xml:space="preserve"> </w:t>
      </w:r>
    </w:p>
    <w:p w14:paraId="20A0EEBE" w14:textId="6DA5AD79" w:rsidR="0076429E" w:rsidRDefault="001B74E6" w:rsidP="005A73CE">
      <w:pPr>
        <w:jc w:val="both"/>
        <w:rPr>
          <w:rFonts w:ascii="Times New Roman" w:eastAsiaTheme="minorEastAsia" w:hAnsi="Times New Roman" w:cs="Times New Roman"/>
          <w:sz w:val="24"/>
        </w:rPr>
      </w:pPr>
      <w:r>
        <w:rPr>
          <w:rFonts w:ascii="Times New Roman" w:eastAsiaTheme="minorEastAsia" w:hAnsi="Times New Roman" w:cs="Times New Roman"/>
          <w:sz w:val="24"/>
        </w:rPr>
        <w:t>Dans la section suivante, nous étudierons les séries en présentant les caractéristiques descriptives</w:t>
      </w:r>
      <w:r w:rsidR="008E7EAD">
        <w:rPr>
          <w:rFonts w:ascii="Times New Roman" w:eastAsiaTheme="minorEastAsia" w:hAnsi="Times New Roman" w:cs="Times New Roman"/>
          <w:sz w:val="24"/>
        </w:rPr>
        <w:t xml:space="preserve"> des variables, l’évolution graphique des séries et nuages de points et enfin l’analyse de corrélation des variables. </w:t>
      </w:r>
    </w:p>
    <w:p w14:paraId="64F5F44A" w14:textId="77777777" w:rsidR="00A67D27" w:rsidRPr="00B8073A" w:rsidRDefault="00A67D27" w:rsidP="005A73CE">
      <w:pPr>
        <w:jc w:val="both"/>
        <w:rPr>
          <w:rFonts w:ascii="Times New Roman" w:eastAsiaTheme="minorEastAsia" w:hAnsi="Times New Roman" w:cs="Times New Roman"/>
          <w:sz w:val="24"/>
        </w:rPr>
      </w:pPr>
    </w:p>
    <w:p w14:paraId="666AAA9F" w14:textId="52A941B1" w:rsidR="00412016" w:rsidRPr="0017252F" w:rsidRDefault="00D47724" w:rsidP="00E55A18">
      <w:pPr>
        <w:pStyle w:val="Titre2"/>
        <w:numPr>
          <w:ilvl w:val="1"/>
          <w:numId w:val="12"/>
        </w:numPr>
        <w:rPr>
          <w:rFonts w:ascii="Times New Roman" w:hAnsi="Times New Roman" w:cs="Times New Roman"/>
          <w:b/>
          <w:bCs/>
        </w:rPr>
      </w:pPr>
      <w:bookmarkStart w:id="34" w:name="_Toc70937413"/>
      <w:r w:rsidRPr="0017252F">
        <w:rPr>
          <w:rFonts w:ascii="Times New Roman" w:hAnsi="Times New Roman" w:cs="Times New Roman"/>
          <w:b/>
          <w:bCs/>
        </w:rPr>
        <w:t xml:space="preserve">Etude sur les </w:t>
      </w:r>
      <w:r w:rsidR="00D50AD9" w:rsidRPr="0017252F">
        <w:rPr>
          <w:rFonts w:ascii="Times New Roman" w:hAnsi="Times New Roman" w:cs="Times New Roman"/>
          <w:b/>
          <w:bCs/>
        </w:rPr>
        <w:t>séries</w:t>
      </w:r>
      <w:bookmarkEnd w:id="34"/>
      <w:r w:rsidRPr="0017252F">
        <w:rPr>
          <w:rFonts w:ascii="Times New Roman" w:hAnsi="Times New Roman" w:cs="Times New Roman"/>
          <w:b/>
          <w:bCs/>
        </w:rPr>
        <w:t xml:space="preserve"> </w:t>
      </w:r>
    </w:p>
    <w:p w14:paraId="62261FD3" w14:textId="02E05BEC" w:rsidR="00D47724" w:rsidRPr="0017252F" w:rsidRDefault="00D50AD9" w:rsidP="00343426">
      <w:pPr>
        <w:pStyle w:val="Titre3"/>
        <w:numPr>
          <w:ilvl w:val="0"/>
          <w:numId w:val="14"/>
        </w:numPr>
        <w:rPr>
          <w:rFonts w:ascii="Times New Roman" w:hAnsi="Times New Roman" w:cs="Times New Roman"/>
          <w:b/>
          <w:bCs/>
        </w:rPr>
      </w:pPr>
      <w:bookmarkStart w:id="35" w:name="_Toc70937414"/>
      <w:r w:rsidRPr="0017252F">
        <w:rPr>
          <w:rFonts w:ascii="Times New Roman" w:hAnsi="Times New Roman" w:cs="Times New Roman"/>
          <w:b/>
          <w:bCs/>
        </w:rPr>
        <w:t>Caractéristique</w:t>
      </w:r>
      <w:r w:rsidR="001B74E6" w:rsidRPr="0017252F">
        <w:rPr>
          <w:rFonts w:ascii="Times New Roman" w:hAnsi="Times New Roman" w:cs="Times New Roman"/>
          <w:b/>
          <w:bCs/>
        </w:rPr>
        <w:t>s</w:t>
      </w:r>
      <w:r w:rsidR="00D47724" w:rsidRPr="0017252F">
        <w:rPr>
          <w:rFonts w:ascii="Times New Roman" w:hAnsi="Times New Roman" w:cs="Times New Roman"/>
          <w:b/>
          <w:bCs/>
        </w:rPr>
        <w:t xml:space="preserve"> descriptive</w:t>
      </w:r>
      <w:r w:rsidR="001B74E6" w:rsidRPr="0017252F">
        <w:rPr>
          <w:rFonts w:ascii="Times New Roman" w:hAnsi="Times New Roman" w:cs="Times New Roman"/>
          <w:b/>
          <w:bCs/>
        </w:rPr>
        <w:t>s</w:t>
      </w:r>
      <w:bookmarkEnd w:id="35"/>
      <w:r w:rsidR="00D47724" w:rsidRPr="0017252F">
        <w:rPr>
          <w:rFonts w:ascii="Times New Roman" w:hAnsi="Times New Roman" w:cs="Times New Roman"/>
          <w:b/>
          <w:bCs/>
        </w:rPr>
        <w:t xml:space="preserve"> </w:t>
      </w:r>
    </w:p>
    <w:p w14:paraId="32566780" w14:textId="52C578BF" w:rsidR="003A5352" w:rsidRPr="003A5352" w:rsidRDefault="003A5352" w:rsidP="003A5352">
      <w:pPr>
        <w:rPr>
          <w:rFonts w:ascii="Times New Roman" w:hAnsi="Times New Roman" w:cs="Times New Roman"/>
          <w:b/>
          <w:sz w:val="32"/>
          <w:szCs w:val="26"/>
        </w:rPr>
      </w:pPr>
      <w:r w:rsidRPr="003A5352">
        <w:rPr>
          <w:rFonts w:ascii="Times New Roman" w:eastAsia="Times New Roman" w:hAnsi="Times New Roman" w:cs="Times New Roman"/>
          <w:b/>
          <w:color w:val="000000"/>
          <w:sz w:val="24"/>
          <w:szCs w:val="20"/>
          <w:lang w:eastAsia="fr-FR"/>
        </w:rPr>
        <w:t>Tableau 1 : Caractéristique descriptive des variables</w:t>
      </w:r>
    </w:p>
    <w:tbl>
      <w:tblPr>
        <w:tblStyle w:val="Tableausimple2"/>
        <w:tblW w:w="9396" w:type="dxa"/>
        <w:tblLook w:val="04A0" w:firstRow="1" w:lastRow="0" w:firstColumn="1" w:lastColumn="0" w:noHBand="0" w:noVBand="1"/>
      </w:tblPr>
      <w:tblGrid>
        <w:gridCol w:w="1312"/>
        <w:gridCol w:w="2328"/>
        <w:gridCol w:w="1995"/>
        <w:gridCol w:w="2583"/>
        <w:gridCol w:w="1606"/>
      </w:tblGrid>
      <w:tr w:rsidR="000711C1" w:rsidRPr="00CD2B8E" w14:paraId="0790B1CF" w14:textId="77777777" w:rsidTr="003A5352">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1312" w:type="dxa"/>
            <w:noWrap/>
            <w:vAlign w:val="center"/>
            <w:hideMark/>
          </w:tcPr>
          <w:p w14:paraId="0CDA16D6" w14:textId="77777777" w:rsidR="000711C1" w:rsidRPr="00CD2B8E" w:rsidRDefault="000711C1" w:rsidP="00E37933">
            <w:pPr>
              <w:jc w:val="center"/>
              <w:rPr>
                <w:rFonts w:ascii="Times New Roman" w:eastAsia="Times New Roman" w:hAnsi="Times New Roman" w:cs="Times New Roman"/>
                <w:sz w:val="20"/>
                <w:szCs w:val="20"/>
                <w:lang w:eastAsia="fr-FR"/>
              </w:rPr>
            </w:pPr>
          </w:p>
        </w:tc>
        <w:tc>
          <w:tcPr>
            <w:tcW w:w="2232" w:type="dxa"/>
            <w:noWrap/>
            <w:vAlign w:val="center"/>
            <w:hideMark/>
          </w:tcPr>
          <w:p w14:paraId="25AACC70" w14:textId="77777777" w:rsidR="000711C1" w:rsidRPr="00CD2B8E" w:rsidRDefault="000711C1" w:rsidP="00E3793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D2B8E">
              <w:rPr>
                <w:rFonts w:ascii="Times New Roman" w:eastAsia="Times New Roman" w:hAnsi="Times New Roman" w:cs="Times New Roman"/>
                <w:color w:val="000000"/>
                <w:sz w:val="20"/>
                <w:szCs w:val="20"/>
                <w:lang w:eastAsia="fr-FR"/>
              </w:rPr>
              <w:t>CONCOURS_PUBLICS</w:t>
            </w:r>
          </w:p>
        </w:tc>
        <w:tc>
          <w:tcPr>
            <w:tcW w:w="1909" w:type="dxa"/>
            <w:noWrap/>
            <w:vAlign w:val="center"/>
            <w:hideMark/>
          </w:tcPr>
          <w:p w14:paraId="24719D1C" w14:textId="77777777" w:rsidR="000711C1" w:rsidRPr="00CD2B8E" w:rsidRDefault="000711C1" w:rsidP="00E3793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D2B8E">
              <w:rPr>
                <w:rFonts w:ascii="Times New Roman" w:eastAsia="Times New Roman" w:hAnsi="Times New Roman" w:cs="Times New Roman"/>
                <w:color w:val="000000"/>
                <w:sz w:val="20"/>
                <w:szCs w:val="20"/>
                <w:lang w:eastAsia="fr-FR"/>
              </w:rPr>
              <w:t>INVESTISSEMENT</w:t>
            </w:r>
          </w:p>
        </w:tc>
        <w:tc>
          <w:tcPr>
            <w:tcW w:w="2422" w:type="dxa"/>
            <w:noWrap/>
            <w:vAlign w:val="center"/>
            <w:hideMark/>
          </w:tcPr>
          <w:p w14:paraId="35A50C65" w14:textId="77777777" w:rsidR="000711C1" w:rsidRPr="00CD2B8E" w:rsidRDefault="000711C1" w:rsidP="00E3793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D2B8E">
              <w:rPr>
                <w:rFonts w:ascii="Times New Roman" w:eastAsia="Times New Roman" w:hAnsi="Times New Roman" w:cs="Times New Roman"/>
                <w:color w:val="000000"/>
                <w:sz w:val="20"/>
                <w:szCs w:val="20"/>
                <w:lang w:eastAsia="fr-FR"/>
              </w:rPr>
              <w:t>OFFRE_COMMERCIALE</w:t>
            </w:r>
          </w:p>
        </w:tc>
        <w:tc>
          <w:tcPr>
            <w:tcW w:w="1521" w:type="dxa"/>
            <w:noWrap/>
            <w:vAlign w:val="center"/>
            <w:hideMark/>
          </w:tcPr>
          <w:p w14:paraId="17D954A3" w14:textId="77777777" w:rsidR="000711C1" w:rsidRPr="00CD2B8E" w:rsidRDefault="000711C1" w:rsidP="00E3793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D2B8E">
              <w:rPr>
                <w:rFonts w:ascii="Times New Roman" w:eastAsia="Times New Roman" w:hAnsi="Times New Roman" w:cs="Times New Roman"/>
                <w:color w:val="000000"/>
                <w:sz w:val="20"/>
                <w:szCs w:val="20"/>
                <w:lang w:eastAsia="fr-FR"/>
              </w:rPr>
              <w:t>RENTABILITE</w:t>
            </w:r>
          </w:p>
        </w:tc>
      </w:tr>
      <w:tr w:rsidR="000711C1" w:rsidRPr="00CD2B8E" w14:paraId="2DE74890" w14:textId="77777777" w:rsidTr="003A5352">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1312" w:type="dxa"/>
            <w:noWrap/>
            <w:vAlign w:val="center"/>
            <w:hideMark/>
          </w:tcPr>
          <w:p w14:paraId="5501F557" w14:textId="77777777" w:rsidR="000711C1" w:rsidRPr="00CD2B8E" w:rsidRDefault="000711C1" w:rsidP="00E37933">
            <w:pPr>
              <w:jc w:val="center"/>
              <w:rPr>
                <w:rFonts w:ascii="Times New Roman" w:eastAsia="Times New Roman" w:hAnsi="Times New Roman" w:cs="Times New Roman"/>
                <w:color w:val="000000"/>
                <w:sz w:val="20"/>
                <w:szCs w:val="20"/>
                <w:lang w:eastAsia="fr-FR"/>
              </w:rPr>
            </w:pPr>
            <w:r w:rsidRPr="00CD2B8E">
              <w:rPr>
                <w:rFonts w:ascii="Times New Roman" w:eastAsia="Times New Roman" w:hAnsi="Times New Roman" w:cs="Times New Roman"/>
                <w:color w:val="000000"/>
                <w:sz w:val="20"/>
                <w:szCs w:val="20"/>
                <w:lang w:eastAsia="fr-FR"/>
              </w:rPr>
              <w:t>Moyenne</w:t>
            </w:r>
          </w:p>
        </w:tc>
        <w:tc>
          <w:tcPr>
            <w:tcW w:w="2232" w:type="dxa"/>
            <w:noWrap/>
            <w:vAlign w:val="center"/>
            <w:hideMark/>
          </w:tcPr>
          <w:p w14:paraId="472DEBB6" w14:textId="77777777" w:rsidR="000711C1" w:rsidRPr="00CD2B8E" w:rsidRDefault="000711C1" w:rsidP="00E379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D2B8E">
              <w:rPr>
                <w:rFonts w:ascii="Times New Roman" w:eastAsia="Times New Roman" w:hAnsi="Times New Roman" w:cs="Times New Roman"/>
                <w:color w:val="000000"/>
                <w:sz w:val="20"/>
                <w:szCs w:val="20"/>
                <w:lang w:eastAsia="fr-FR"/>
              </w:rPr>
              <w:t>1, 760, 000,000.00</w:t>
            </w:r>
          </w:p>
        </w:tc>
        <w:tc>
          <w:tcPr>
            <w:tcW w:w="1909" w:type="dxa"/>
            <w:noWrap/>
            <w:vAlign w:val="center"/>
            <w:hideMark/>
          </w:tcPr>
          <w:p w14:paraId="47B88E8B" w14:textId="77777777" w:rsidR="000711C1" w:rsidRPr="00CD2B8E" w:rsidRDefault="000711C1" w:rsidP="00E379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D2B8E">
              <w:rPr>
                <w:rFonts w:ascii="Times New Roman" w:eastAsia="Times New Roman" w:hAnsi="Times New Roman" w:cs="Times New Roman"/>
                <w:color w:val="000000"/>
                <w:sz w:val="20"/>
                <w:szCs w:val="20"/>
                <w:lang w:eastAsia="fr-FR"/>
              </w:rPr>
              <w:t>869, 000,000.00</w:t>
            </w:r>
          </w:p>
        </w:tc>
        <w:tc>
          <w:tcPr>
            <w:tcW w:w="2422" w:type="dxa"/>
            <w:noWrap/>
            <w:vAlign w:val="center"/>
            <w:hideMark/>
          </w:tcPr>
          <w:p w14:paraId="0E4133C8" w14:textId="77777777" w:rsidR="000711C1" w:rsidRPr="00CD2B8E" w:rsidRDefault="000711C1" w:rsidP="00E379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D2B8E">
              <w:rPr>
                <w:rFonts w:ascii="Times New Roman" w:eastAsia="Times New Roman" w:hAnsi="Times New Roman" w:cs="Times New Roman"/>
                <w:color w:val="000000"/>
                <w:sz w:val="20"/>
                <w:szCs w:val="20"/>
                <w:lang w:eastAsia="fr-FR"/>
              </w:rPr>
              <w:t>158, 000,000.00</w:t>
            </w:r>
          </w:p>
        </w:tc>
        <w:tc>
          <w:tcPr>
            <w:tcW w:w="1521" w:type="dxa"/>
            <w:noWrap/>
            <w:vAlign w:val="center"/>
            <w:hideMark/>
          </w:tcPr>
          <w:p w14:paraId="766C257E" w14:textId="77777777" w:rsidR="000711C1" w:rsidRPr="00CD2B8E" w:rsidRDefault="000711C1" w:rsidP="00E379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D2B8E">
              <w:rPr>
                <w:rFonts w:ascii="Times New Roman" w:eastAsia="Times New Roman" w:hAnsi="Times New Roman" w:cs="Times New Roman"/>
                <w:color w:val="000000"/>
                <w:sz w:val="20"/>
                <w:szCs w:val="20"/>
                <w:lang w:eastAsia="fr-FR"/>
              </w:rPr>
              <w:t>-0.103313</w:t>
            </w:r>
          </w:p>
        </w:tc>
      </w:tr>
      <w:tr w:rsidR="000711C1" w:rsidRPr="00CD2B8E" w14:paraId="1A72ED31" w14:textId="77777777" w:rsidTr="003A5352">
        <w:trPr>
          <w:trHeight w:val="371"/>
        </w:trPr>
        <w:tc>
          <w:tcPr>
            <w:cnfStyle w:val="001000000000" w:firstRow="0" w:lastRow="0" w:firstColumn="1" w:lastColumn="0" w:oddVBand="0" w:evenVBand="0" w:oddHBand="0" w:evenHBand="0" w:firstRowFirstColumn="0" w:firstRowLastColumn="0" w:lastRowFirstColumn="0" w:lastRowLastColumn="0"/>
            <w:tcW w:w="1312" w:type="dxa"/>
            <w:noWrap/>
            <w:vAlign w:val="center"/>
            <w:hideMark/>
          </w:tcPr>
          <w:p w14:paraId="1CD78479" w14:textId="77777777" w:rsidR="000711C1" w:rsidRPr="00CD2B8E" w:rsidRDefault="000711C1" w:rsidP="00E37933">
            <w:pPr>
              <w:jc w:val="center"/>
              <w:rPr>
                <w:rFonts w:ascii="Times New Roman" w:eastAsia="Times New Roman" w:hAnsi="Times New Roman" w:cs="Times New Roman"/>
                <w:color w:val="000000"/>
                <w:sz w:val="20"/>
                <w:szCs w:val="20"/>
                <w:lang w:eastAsia="fr-FR"/>
              </w:rPr>
            </w:pPr>
            <w:r w:rsidRPr="00CD2B8E">
              <w:rPr>
                <w:rFonts w:ascii="Times New Roman" w:eastAsia="Times New Roman" w:hAnsi="Times New Roman" w:cs="Times New Roman"/>
                <w:color w:val="000000"/>
                <w:sz w:val="20"/>
                <w:szCs w:val="20"/>
                <w:lang w:eastAsia="fr-FR"/>
              </w:rPr>
              <w:t>Médiane</w:t>
            </w:r>
          </w:p>
        </w:tc>
        <w:tc>
          <w:tcPr>
            <w:tcW w:w="2232" w:type="dxa"/>
            <w:noWrap/>
            <w:vAlign w:val="center"/>
            <w:hideMark/>
          </w:tcPr>
          <w:p w14:paraId="1301C65D" w14:textId="77777777" w:rsidR="000711C1" w:rsidRPr="00CD2B8E" w:rsidRDefault="000711C1" w:rsidP="00E37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D2B8E">
              <w:rPr>
                <w:rFonts w:ascii="Times New Roman" w:eastAsia="Times New Roman" w:hAnsi="Times New Roman" w:cs="Times New Roman"/>
                <w:color w:val="000000"/>
                <w:sz w:val="20"/>
                <w:szCs w:val="20"/>
                <w:lang w:eastAsia="fr-FR"/>
              </w:rPr>
              <w:t>1, 810, 000,000.00</w:t>
            </w:r>
          </w:p>
        </w:tc>
        <w:tc>
          <w:tcPr>
            <w:tcW w:w="1909" w:type="dxa"/>
            <w:noWrap/>
            <w:vAlign w:val="center"/>
            <w:hideMark/>
          </w:tcPr>
          <w:p w14:paraId="46239E4C" w14:textId="77777777" w:rsidR="000711C1" w:rsidRPr="00CD2B8E" w:rsidRDefault="000711C1" w:rsidP="00E37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D2B8E">
              <w:rPr>
                <w:rFonts w:ascii="Times New Roman" w:eastAsia="Times New Roman" w:hAnsi="Times New Roman" w:cs="Times New Roman"/>
                <w:color w:val="000000"/>
                <w:sz w:val="20"/>
                <w:szCs w:val="20"/>
                <w:lang w:eastAsia="fr-FR"/>
              </w:rPr>
              <w:t>902, 000,000.00</w:t>
            </w:r>
          </w:p>
        </w:tc>
        <w:tc>
          <w:tcPr>
            <w:tcW w:w="2422" w:type="dxa"/>
            <w:noWrap/>
            <w:vAlign w:val="center"/>
            <w:hideMark/>
          </w:tcPr>
          <w:p w14:paraId="5F7CB282" w14:textId="77777777" w:rsidR="000711C1" w:rsidRPr="00CD2B8E" w:rsidRDefault="000711C1" w:rsidP="00E37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D2B8E">
              <w:rPr>
                <w:rFonts w:ascii="Times New Roman" w:eastAsia="Times New Roman" w:hAnsi="Times New Roman" w:cs="Times New Roman"/>
                <w:color w:val="000000"/>
                <w:sz w:val="20"/>
                <w:szCs w:val="20"/>
                <w:lang w:eastAsia="fr-FR"/>
              </w:rPr>
              <w:t>159, 000,000.00</w:t>
            </w:r>
          </w:p>
        </w:tc>
        <w:tc>
          <w:tcPr>
            <w:tcW w:w="1521" w:type="dxa"/>
            <w:noWrap/>
            <w:vAlign w:val="center"/>
            <w:hideMark/>
          </w:tcPr>
          <w:p w14:paraId="4DD90A74" w14:textId="77777777" w:rsidR="000711C1" w:rsidRPr="00CD2B8E" w:rsidRDefault="000711C1" w:rsidP="00E37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D2B8E">
              <w:rPr>
                <w:rFonts w:ascii="Times New Roman" w:eastAsia="Times New Roman" w:hAnsi="Times New Roman" w:cs="Times New Roman"/>
                <w:color w:val="000000"/>
                <w:sz w:val="20"/>
                <w:szCs w:val="20"/>
                <w:lang w:eastAsia="fr-FR"/>
              </w:rPr>
              <w:t>-0.096144</w:t>
            </w:r>
          </w:p>
        </w:tc>
      </w:tr>
      <w:tr w:rsidR="000711C1" w:rsidRPr="00CD2B8E" w14:paraId="0647C4EF" w14:textId="77777777" w:rsidTr="003A5352">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1312" w:type="dxa"/>
            <w:noWrap/>
            <w:vAlign w:val="center"/>
            <w:hideMark/>
          </w:tcPr>
          <w:p w14:paraId="46023D9A" w14:textId="77777777" w:rsidR="000711C1" w:rsidRPr="00CD2B8E" w:rsidRDefault="000711C1" w:rsidP="00E37933">
            <w:pPr>
              <w:jc w:val="center"/>
              <w:rPr>
                <w:rFonts w:ascii="Times New Roman" w:eastAsia="Times New Roman" w:hAnsi="Times New Roman" w:cs="Times New Roman"/>
                <w:color w:val="000000"/>
                <w:sz w:val="20"/>
                <w:szCs w:val="20"/>
                <w:lang w:eastAsia="fr-FR"/>
              </w:rPr>
            </w:pPr>
            <w:r w:rsidRPr="00CD2B8E">
              <w:rPr>
                <w:rFonts w:ascii="Times New Roman" w:eastAsia="Times New Roman" w:hAnsi="Times New Roman" w:cs="Times New Roman"/>
                <w:color w:val="000000"/>
                <w:sz w:val="20"/>
                <w:szCs w:val="20"/>
                <w:lang w:eastAsia="fr-FR"/>
              </w:rPr>
              <w:t>Maximum</w:t>
            </w:r>
          </w:p>
        </w:tc>
        <w:tc>
          <w:tcPr>
            <w:tcW w:w="2232" w:type="dxa"/>
            <w:noWrap/>
            <w:vAlign w:val="center"/>
            <w:hideMark/>
          </w:tcPr>
          <w:p w14:paraId="5F021DC0" w14:textId="77777777" w:rsidR="000711C1" w:rsidRPr="00CD2B8E" w:rsidRDefault="000711C1" w:rsidP="00E379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D2B8E">
              <w:rPr>
                <w:rFonts w:ascii="Times New Roman" w:eastAsia="Times New Roman" w:hAnsi="Times New Roman" w:cs="Times New Roman"/>
                <w:color w:val="000000"/>
                <w:sz w:val="20"/>
                <w:szCs w:val="20"/>
                <w:lang w:eastAsia="fr-FR"/>
              </w:rPr>
              <w:t>1, 940, 000,000.00</w:t>
            </w:r>
          </w:p>
        </w:tc>
        <w:tc>
          <w:tcPr>
            <w:tcW w:w="1909" w:type="dxa"/>
            <w:noWrap/>
            <w:vAlign w:val="center"/>
            <w:hideMark/>
          </w:tcPr>
          <w:p w14:paraId="6F3C42A9" w14:textId="77777777" w:rsidR="000711C1" w:rsidRPr="00CD2B8E" w:rsidRDefault="000711C1" w:rsidP="00E379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D2B8E">
              <w:rPr>
                <w:rFonts w:ascii="Times New Roman" w:eastAsia="Times New Roman" w:hAnsi="Times New Roman" w:cs="Times New Roman"/>
                <w:color w:val="000000"/>
                <w:sz w:val="20"/>
                <w:szCs w:val="20"/>
                <w:lang w:eastAsia="fr-FR"/>
              </w:rPr>
              <w:t>1, 330, 000,000.00</w:t>
            </w:r>
          </w:p>
        </w:tc>
        <w:tc>
          <w:tcPr>
            <w:tcW w:w="2422" w:type="dxa"/>
            <w:noWrap/>
            <w:vAlign w:val="center"/>
            <w:hideMark/>
          </w:tcPr>
          <w:p w14:paraId="75D64D85" w14:textId="77777777" w:rsidR="000711C1" w:rsidRPr="00CD2B8E" w:rsidRDefault="000711C1" w:rsidP="00E379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D2B8E">
              <w:rPr>
                <w:rFonts w:ascii="Times New Roman" w:eastAsia="Times New Roman" w:hAnsi="Times New Roman" w:cs="Times New Roman"/>
                <w:color w:val="000000"/>
                <w:sz w:val="20"/>
                <w:szCs w:val="20"/>
                <w:lang w:eastAsia="fr-FR"/>
              </w:rPr>
              <w:t>170, 000,000.00</w:t>
            </w:r>
          </w:p>
        </w:tc>
        <w:tc>
          <w:tcPr>
            <w:tcW w:w="1521" w:type="dxa"/>
            <w:noWrap/>
            <w:vAlign w:val="center"/>
            <w:hideMark/>
          </w:tcPr>
          <w:p w14:paraId="3968D889" w14:textId="77777777" w:rsidR="000711C1" w:rsidRPr="00CD2B8E" w:rsidRDefault="000711C1" w:rsidP="00E379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D2B8E">
              <w:rPr>
                <w:rFonts w:ascii="Times New Roman" w:eastAsia="Times New Roman" w:hAnsi="Times New Roman" w:cs="Times New Roman"/>
                <w:color w:val="000000"/>
                <w:sz w:val="20"/>
                <w:szCs w:val="20"/>
                <w:lang w:eastAsia="fr-FR"/>
              </w:rPr>
              <w:t>-0.039241</w:t>
            </w:r>
          </w:p>
        </w:tc>
      </w:tr>
      <w:tr w:rsidR="000711C1" w:rsidRPr="00CD2B8E" w14:paraId="5552DDD9" w14:textId="77777777" w:rsidTr="003A5352">
        <w:trPr>
          <w:trHeight w:val="371"/>
        </w:trPr>
        <w:tc>
          <w:tcPr>
            <w:cnfStyle w:val="001000000000" w:firstRow="0" w:lastRow="0" w:firstColumn="1" w:lastColumn="0" w:oddVBand="0" w:evenVBand="0" w:oddHBand="0" w:evenHBand="0" w:firstRowFirstColumn="0" w:firstRowLastColumn="0" w:lastRowFirstColumn="0" w:lastRowLastColumn="0"/>
            <w:tcW w:w="1312" w:type="dxa"/>
            <w:noWrap/>
            <w:vAlign w:val="center"/>
            <w:hideMark/>
          </w:tcPr>
          <w:p w14:paraId="0A5AAB0B" w14:textId="77777777" w:rsidR="000711C1" w:rsidRPr="00CD2B8E" w:rsidRDefault="000711C1" w:rsidP="00E37933">
            <w:pPr>
              <w:jc w:val="center"/>
              <w:rPr>
                <w:rFonts w:ascii="Times New Roman" w:eastAsia="Times New Roman" w:hAnsi="Times New Roman" w:cs="Times New Roman"/>
                <w:color w:val="000000"/>
                <w:sz w:val="20"/>
                <w:szCs w:val="20"/>
                <w:lang w:eastAsia="fr-FR"/>
              </w:rPr>
            </w:pPr>
            <w:r w:rsidRPr="00CD2B8E">
              <w:rPr>
                <w:rFonts w:ascii="Times New Roman" w:eastAsia="Times New Roman" w:hAnsi="Times New Roman" w:cs="Times New Roman"/>
                <w:color w:val="000000"/>
                <w:sz w:val="20"/>
                <w:szCs w:val="20"/>
                <w:lang w:eastAsia="fr-FR"/>
              </w:rPr>
              <w:t>Minimum</w:t>
            </w:r>
          </w:p>
        </w:tc>
        <w:tc>
          <w:tcPr>
            <w:tcW w:w="2232" w:type="dxa"/>
            <w:noWrap/>
            <w:vAlign w:val="center"/>
            <w:hideMark/>
          </w:tcPr>
          <w:p w14:paraId="53606A89" w14:textId="77777777" w:rsidR="000711C1" w:rsidRPr="00CD2B8E" w:rsidRDefault="000711C1" w:rsidP="00E37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D2B8E">
              <w:rPr>
                <w:rFonts w:ascii="Times New Roman" w:eastAsia="Times New Roman" w:hAnsi="Times New Roman" w:cs="Times New Roman"/>
                <w:color w:val="000000"/>
                <w:sz w:val="20"/>
                <w:szCs w:val="20"/>
                <w:lang w:eastAsia="fr-FR"/>
              </w:rPr>
              <w:t>1, 420, 000,000.00</w:t>
            </w:r>
          </w:p>
        </w:tc>
        <w:tc>
          <w:tcPr>
            <w:tcW w:w="1909" w:type="dxa"/>
            <w:noWrap/>
            <w:vAlign w:val="center"/>
            <w:hideMark/>
          </w:tcPr>
          <w:p w14:paraId="34E3E3AF" w14:textId="77777777" w:rsidR="000711C1" w:rsidRPr="00CD2B8E" w:rsidRDefault="000711C1" w:rsidP="00E37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D2B8E">
              <w:rPr>
                <w:rFonts w:ascii="Times New Roman" w:eastAsia="Times New Roman" w:hAnsi="Times New Roman" w:cs="Times New Roman"/>
                <w:color w:val="000000"/>
                <w:sz w:val="20"/>
                <w:szCs w:val="20"/>
                <w:lang w:eastAsia="fr-FR"/>
              </w:rPr>
              <w:t>470, 000,000.00</w:t>
            </w:r>
          </w:p>
        </w:tc>
        <w:tc>
          <w:tcPr>
            <w:tcW w:w="2422" w:type="dxa"/>
            <w:noWrap/>
            <w:vAlign w:val="center"/>
            <w:hideMark/>
          </w:tcPr>
          <w:p w14:paraId="25A28937" w14:textId="77777777" w:rsidR="000711C1" w:rsidRPr="00CD2B8E" w:rsidRDefault="000711C1" w:rsidP="00E37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D2B8E">
              <w:rPr>
                <w:rFonts w:ascii="Times New Roman" w:eastAsia="Times New Roman" w:hAnsi="Times New Roman" w:cs="Times New Roman"/>
                <w:color w:val="000000"/>
                <w:sz w:val="20"/>
                <w:szCs w:val="20"/>
                <w:lang w:eastAsia="fr-FR"/>
              </w:rPr>
              <w:t>144, 000,000.00</w:t>
            </w:r>
          </w:p>
        </w:tc>
        <w:tc>
          <w:tcPr>
            <w:tcW w:w="1521" w:type="dxa"/>
            <w:noWrap/>
            <w:vAlign w:val="center"/>
            <w:hideMark/>
          </w:tcPr>
          <w:p w14:paraId="6776D83F" w14:textId="77777777" w:rsidR="000711C1" w:rsidRPr="00CD2B8E" w:rsidRDefault="000711C1" w:rsidP="00E37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D2B8E">
              <w:rPr>
                <w:rFonts w:ascii="Times New Roman" w:eastAsia="Times New Roman" w:hAnsi="Times New Roman" w:cs="Times New Roman"/>
                <w:color w:val="000000"/>
                <w:sz w:val="20"/>
                <w:szCs w:val="20"/>
                <w:lang w:eastAsia="fr-FR"/>
              </w:rPr>
              <w:t>-0.172237</w:t>
            </w:r>
          </w:p>
        </w:tc>
      </w:tr>
      <w:tr w:rsidR="000711C1" w:rsidRPr="00CD2B8E" w14:paraId="2D18E453" w14:textId="77777777" w:rsidTr="003A5352">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1312" w:type="dxa"/>
            <w:noWrap/>
            <w:vAlign w:val="center"/>
            <w:hideMark/>
          </w:tcPr>
          <w:p w14:paraId="6715BC6D" w14:textId="77777777" w:rsidR="000711C1" w:rsidRPr="00CD2B8E" w:rsidRDefault="000711C1" w:rsidP="00E37933">
            <w:pPr>
              <w:jc w:val="center"/>
              <w:rPr>
                <w:rFonts w:ascii="Times New Roman" w:eastAsia="Times New Roman" w:hAnsi="Times New Roman" w:cs="Times New Roman"/>
                <w:color w:val="000000"/>
                <w:sz w:val="20"/>
                <w:szCs w:val="20"/>
                <w:lang w:eastAsia="fr-FR"/>
              </w:rPr>
            </w:pPr>
            <w:r w:rsidRPr="00CD2B8E">
              <w:rPr>
                <w:rFonts w:ascii="Times New Roman" w:eastAsia="Times New Roman" w:hAnsi="Times New Roman" w:cs="Times New Roman"/>
                <w:color w:val="000000"/>
                <w:sz w:val="20"/>
                <w:szCs w:val="20"/>
                <w:lang w:eastAsia="fr-FR"/>
              </w:rPr>
              <w:t>Ecart-type</w:t>
            </w:r>
          </w:p>
        </w:tc>
        <w:tc>
          <w:tcPr>
            <w:tcW w:w="2232" w:type="dxa"/>
            <w:noWrap/>
            <w:vAlign w:val="center"/>
            <w:hideMark/>
          </w:tcPr>
          <w:p w14:paraId="47EA7F55" w14:textId="77777777" w:rsidR="000711C1" w:rsidRPr="00CD2B8E" w:rsidRDefault="000711C1" w:rsidP="00E379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D2B8E">
              <w:rPr>
                <w:rFonts w:ascii="Times New Roman" w:eastAsia="Times New Roman" w:hAnsi="Times New Roman" w:cs="Times New Roman"/>
                <w:color w:val="000000"/>
                <w:sz w:val="20"/>
                <w:szCs w:val="20"/>
                <w:lang w:eastAsia="fr-FR"/>
              </w:rPr>
              <w:t>141, 000,000.00</w:t>
            </w:r>
          </w:p>
        </w:tc>
        <w:tc>
          <w:tcPr>
            <w:tcW w:w="1909" w:type="dxa"/>
            <w:noWrap/>
            <w:vAlign w:val="center"/>
            <w:hideMark/>
          </w:tcPr>
          <w:p w14:paraId="0A23C2A3" w14:textId="77777777" w:rsidR="000711C1" w:rsidRPr="00CD2B8E" w:rsidRDefault="000711C1" w:rsidP="00E379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D2B8E">
              <w:rPr>
                <w:rFonts w:ascii="Times New Roman" w:eastAsia="Times New Roman" w:hAnsi="Times New Roman" w:cs="Times New Roman"/>
                <w:color w:val="000000"/>
                <w:sz w:val="20"/>
                <w:szCs w:val="20"/>
                <w:lang w:eastAsia="fr-FR"/>
              </w:rPr>
              <w:t>314, 000,000.00</w:t>
            </w:r>
          </w:p>
        </w:tc>
        <w:tc>
          <w:tcPr>
            <w:tcW w:w="2422" w:type="dxa"/>
            <w:noWrap/>
            <w:vAlign w:val="center"/>
            <w:hideMark/>
          </w:tcPr>
          <w:p w14:paraId="18EEAA21" w14:textId="77777777" w:rsidR="000711C1" w:rsidRPr="00CD2B8E" w:rsidRDefault="000711C1" w:rsidP="00E379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D2B8E">
              <w:rPr>
                <w:rFonts w:ascii="Times New Roman" w:eastAsia="Times New Roman" w:hAnsi="Times New Roman" w:cs="Times New Roman"/>
                <w:color w:val="000000"/>
                <w:sz w:val="20"/>
                <w:szCs w:val="20"/>
                <w:lang w:eastAsia="fr-FR"/>
              </w:rPr>
              <w:t>8, 873,829.00</w:t>
            </w:r>
          </w:p>
        </w:tc>
        <w:tc>
          <w:tcPr>
            <w:tcW w:w="1521" w:type="dxa"/>
            <w:noWrap/>
            <w:vAlign w:val="center"/>
            <w:hideMark/>
          </w:tcPr>
          <w:p w14:paraId="17016F56" w14:textId="77777777" w:rsidR="000711C1" w:rsidRPr="00CD2B8E" w:rsidRDefault="000711C1" w:rsidP="00E379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D2B8E">
              <w:rPr>
                <w:rFonts w:ascii="Times New Roman" w:eastAsia="Times New Roman" w:hAnsi="Times New Roman" w:cs="Times New Roman"/>
                <w:color w:val="000000"/>
                <w:sz w:val="20"/>
                <w:szCs w:val="20"/>
                <w:lang w:eastAsia="fr-FR"/>
              </w:rPr>
              <w:t>0.047687</w:t>
            </w:r>
          </w:p>
        </w:tc>
      </w:tr>
      <w:tr w:rsidR="000711C1" w:rsidRPr="00CD2B8E" w14:paraId="3FE9503E" w14:textId="77777777" w:rsidTr="003A5352">
        <w:trPr>
          <w:trHeight w:val="371"/>
        </w:trPr>
        <w:tc>
          <w:tcPr>
            <w:cnfStyle w:val="001000000000" w:firstRow="0" w:lastRow="0" w:firstColumn="1" w:lastColumn="0" w:oddVBand="0" w:evenVBand="0" w:oddHBand="0" w:evenHBand="0" w:firstRowFirstColumn="0" w:firstRowLastColumn="0" w:lastRowFirstColumn="0" w:lastRowLastColumn="0"/>
            <w:tcW w:w="1312" w:type="dxa"/>
            <w:noWrap/>
            <w:vAlign w:val="center"/>
            <w:hideMark/>
          </w:tcPr>
          <w:p w14:paraId="2EFC12D4" w14:textId="77777777" w:rsidR="000711C1" w:rsidRPr="00CD2B8E" w:rsidRDefault="000711C1" w:rsidP="00E37933">
            <w:pPr>
              <w:jc w:val="center"/>
              <w:rPr>
                <w:rFonts w:ascii="Times New Roman" w:eastAsia="Times New Roman" w:hAnsi="Times New Roman" w:cs="Times New Roman"/>
                <w:color w:val="000000"/>
                <w:sz w:val="20"/>
                <w:szCs w:val="20"/>
                <w:lang w:eastAsia="fr-FR"/>
              </w:rPr>
            </w:pPr>
            <w:proofErr w:type="spellStart"/>
            <w:r w:rsidRPr="00CD2B8E">
              <w:rPr>
                <w:rFonts w:ascii="Times New Roman" w:eastAsia="Times New Roman" w:hAnsi="Times New Roman" w:cs="Times New Roman"/>
                <w:color w:val="000000"/>
                <w:sz w:val="20"/>
                <w:szCs w:val="20"/>
                <w:lang w:eastAsia="fr-FR"/>
              </w:rPr>
              <w:t>Skewness</w:t>
            </w:r>
            <w:proofErr w:type="spellEnd"/>
          </w:p>
        </w:tc>
        <w:tc>
          <w:tcPr>
            <w:tcW w:w="2232" w:type="dxa"/>
            <w:noWrap/>
            <w:vAlign w:val="center"/>
            <w:hideMark/>
          </w:tcPr>
          <w:p w14:paraId="176B1E38" w14:textId="77777777" w:rsidR="000711C1" w:rsidRPr="00CD2B8E" w:rsidRDefault="000711C1" w:rsidP="00E37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D2B8E">
              <w:rPr>
                <w:rFonts w:ascii="Times New Roman" w:eastAsia="Times New Roman" w:hAnsi="Times New Roman" w:cs="Times New Roman"/>
                <w:color w:val="000000"/>
                <w:sz w:val="20"/>
                <w:szCs w:val="20"/>
                <w:lang w:eastAsia="fr-FR"/>
              </w:rPr>
              <w:t>-1.173994</w:t>
            </w:r>
          </w:p>
        </w:tc>
        <w:tc>
          <w:tcPr>
            <w:tcW w:w="1909" w:type="dxa"/>
            <w:noWrap/>
            <w:vAlign w:val="center"/>
            <w:hideMark/>
          </w:tcPr>
          <w:p w14:paraId="0372FD99" w14:textId="77777777" w:rsidR="000711C1" w:rsidRPr="00CD2B8E" w:rsidRDefault="000711C1" w:rsidP="00E37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D2B8E">
              <w:rPr>
                <w:rFonts w:ascii="Times New Roman" w:eastAsia="Times New Roman" w:hAnsi="Times New Roman" w:cs="Times New Roman"/>
                <w:color w:val="000000"/>
                <w:sz w:val="20"/>
                <w:szCs w:val="20"/>
                <w:lang w:eastAsia="fr-FR"/>
              </w:rPr>
              <w:t>0.124282</w:t>
            </w:r>
          </w:p>
        </w:tc>
        <w:tc>
          <w:tcPr>
            <w:tcW w:w="2422" w:type="dxa"/>
            <w:noWrap/>
            <w:vAlign w:val="center"/>
            <w:hideMark/>
          </w:tcPr>
          <w:p w14:paraId="6D779359" w14:textId="77777777" w:rsidR="000711C1" w:rsidRPr="00CD2B8E" w:rsidRDefault="000711C1" w:rsidP="00E37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D2B8E">
              <w:rPr>
                <w:rFonts w:ascii="Times New Roman" w:eastAsia="Times New Roman" w:hAnsi="Times New Roman" w:cs="Times New Roman"/>
                <w:color w:val="000000"/>
                <w:sz w:val="20"/>
                <w:szCs w:val="20"/>
                <w:lang w:eastAsia="fr-FR"/>
              </w:rPr>
              <w:t>-0.26511</w:t>
            </w:r>
          </w:p>
        </w:tc>
        <w:tc>
          <w:tcPr>
            <w:tcW w:w="1521" w:type="dxa"/>
            <w:noWrap/>
            <w:vAlign w:val="center"/>
            <w:hideMark/>
          </w:tcPr>
          <w:p w14:paraId="1F5CA316" w14:textId="77777777" w:rsidR="000711C1" w:rsidRPr="00CD2B8E" w:rsidRDefault="000711C1" w:rsidP="00E37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D2B8E">
              <w:rPr>
                <w:rFonts w:ascii="Times New Roman" w:eastAsia="Times New Roman" w:hAnsi="Times New Roman" w:cs="Times New Roman"/>
                <w:color w:val="000000"/>
                <w:sz w:val="20"/>
                <w:szCs w:val="20"/>
                <w:lang w:eastAsia="fr-FR"/>
              </w:rPr>
              <w:t>-0.163354</w:t>
            </w:r>
          </w:p>
        </w:tc>
      </w:tr>
      <w:tr w:rsidR="000711C1" w:rsidRPr="00CD2B8E" w14:paraId="39615F4D" w14:textId="77777777" w:rsidTr="003A5352">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1312" w:type="dxa"/>
            <w:noWrap/>
            <w:vAlign w:val="center"/>
            <w:hideMark/>
          </w:tcPr>
          <w:p w14:paraId="74B83EC6" w14:textId="77777777" w:rsidR="000711C1" w:rsidRPr="00CD2B8E" w:rsidRDefault="000711C1" w:rsidP="00E37933">
            <w:pPr>
              <w:jc w:val="center"/>
              <w:rPr>
                <w:rFonts w:ascii="Times New Roman" w:eastAsia="Times New Roman" w:hAnsi="Times New Roman" w:cs="Times New Roman"/>
                <w:color w:val="000000"/>
                <w:sz w:val="20"/>
                <w:szCs w:val="20"/>
                <w:lang w:eastAsia="fr-FR"/>
              </w:rPr>
            </w:pPr>
            <w:r w:rsidRPr="00CD2B8E">
              <w:rPr>
                <w:rFonts w:ascii="Times New Roman" w:eastAsia="Times New Roman" w:hAnsi="Times New Roman" w:cs="Times New Roman"/>
                <w:color w:val="000000"/>
                <w:sz w:val="20"/>
                <w:szCs w:val="20"/>
                <w:lang w:eastAsia="fr-FR"/>
              </w:rPr>
              <w:t>Kurtosis</w:t>
            </w:r>
          </w:p>
        </w:tc>
        <w:tc>
          <w:tcPr>
            <w:tcW w:w="2232" w:type="dxa"/>
            <w:noWrap/>
            <w:vAlign w:val="center"/>
            <w:hideMark/>
          </w:tcPr>
          <w:p w14:paraId="5B4D337B" w14:textId="77777777" w:rsidR="000711C1" w:rsidRPr="00CD2B8E" w:rsidRDefault="000711C1" w:rsidP="00E379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D2B8E">
              <w:rPr>
                <w:rFonts w:ascii="Times New Roman" w:eastAsia="Times New Roman" w:hAnsi="Times New Roman" w:cs="Times New Roman"/>
                <w:color w:val="000000"/>
                <w:sz w:val="20"/>
                <w:szCs w:val="20"/>
                <w:lang w:eastAsia="fr-FR"/>
              </w:rPr>
              <w:t>3.812797</w:t>
            </w:r>
          </w:p>
        </w:tc>
        <w:tc>
          <w:tcPr>
            <w:tcW w:w="1909" w:type="dxa"/>
            <w:noWrap/>
            <w:vAlign w:val="center"/>
            <w:hideMark/>
          </w:tcPr>
          <w:p w14:paraId="3BBCD1C5" w14:textId="77777777" w:rsidR="000711C1" w:rsidRPr="00CD2B8E" w:rsidRDefault="000711C1" w:rsidP="00E379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D2B8E">
              <w:rPr>
                <w:rFonts w:ascii="Times New Roman" w:eastAsia="Times New Roman" w:hAnsi="Times New Roman" w:cs="Times New Roman"/>
                <w:color w:val="000000"/>
                <w:sz w:val="20"/>
                <w:szCs w:val="20"/>
                <w:lang w:eastAsia="fr-FR"/>
              </w:rPr>
              <w:t>1.479902</w:t>
            </w:r>
          </w:p>
        </w:tc>
        <w:tc>
          <w:tcPr>
            <w:tcW w:w="2422" w:type="dxa"/>
            <w:noWrap/>
            <w:vAlign w:val="center"/>
            <w:hideMark/>
          </w:tcPr>
          <w:p w14:paraId="55C85579" w14:textId="77777777" w:rsidR="000711C1" w:rsidRPr="00CD2B8E" w:rsidRDefault="000711C1" w:rsidP="00E379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D2B8E">
              <w:rPr>
                <w:rFonts w:ascii="Times New Roman" w:eastAsia="Times New Roman" w:hAnsi="Times New Roman" w:cs="Times New Roman"/>
                <w:color w:val="000000"/>
                <w:sz w:val="20"/>
                <w:szCs w:val="20"/>
                <w:lang w:eastAsia="fr-FR"/>
              </w:rPr>
              <w:t>1.802153</w:t>
            </w:r>
          </w:p>
        </w:tc>
        <w:tc>
          <w:tcPr>
            <w:tcW w:w="1521" w:type="dxa"/>
            <w:noWrap/>
            <w:vAlign w:val="center"/>
            <w:hideMark/>
          </w:tcPr>
          <w:p w14:paraId="0183D3CF" w14:textId="77777777" w:rsidR="000711C1" w:rsidRPr="00CD2B8E" w:rsidRDefault="000711C1" w:rsidP="00E379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D2B8E">
              <w:rPr>
                <w:rFonts w:ascii="Times New Roman" w:eastAsia="Times New Roman" w:hAnsi="Times New Roman" w:cs="Times New Roman"/>
                <w:color w:val="000000"/>
                <w:sz w:val="20"/>
                <w:szCs w:val="20"/>
                <w:lang w:eastAsia="fr-FR"/>
              </w:rPr>
              <w:t>1.504037</w:t>
            </w:r>
          </w:p>
        </w:tc>
      </w:tr>
      <w:tr w:rsidR="000711C1" w:rsidRPr="00CD2B8E" w14:paraId="03AEC6C6" w14:textId="77777777" w:rsidTr="003A5352">
        <w:trPr>
          <w:trHeight w:val="305"/>
        </w:trPr>
        <w:tc>
          <w:tcPr>
            <w:cnfStyle w:val="001000000000" w:firstRow="0" w:lastRow="0" w:firstColumn="1" w:lastColumn="0" w:oddVBand="0" w:evenVBand="0" w:oddHBand="0" w:evenHBand="0" w:firstRowFirstColumn="0" w:firstRowLastColumn="0" w:lastRowFirstColumn="0" w:lastRowLastColumn="0"/>
            <w:tcW w:w="1312" w:type="dxa"/>
            <w:noWrap/>
            <w:vAlign w:val="center"/>
            <w:hideMark/>
          </w:tcPr>
          <w:p w14:paraId="6791E22A" w14:textId="77777777" w:rsidR="000711C1" w:rsidRPr="00CD2B8E" w:rsidRDefault="000711C1" w:rsidP="00E37933">
            <w:pPr>
              <w:jc w:val="center"/>
              <w:rPr>
                <w:rFonts w:ascii="Times New Roman" w:eastAsia="Times New Roman" w:hAnsi="Times New Roman" w:cs="Times New Roman"/>
                <w:color w:val="000000"/>
                <w:sz w:val="20"/>
                <w:szCs w:val="20"/>
                <w:lang w:eastAsia="fr-FR"/>
              </w:rPr>
            </w:pPr>
          </w:p>
        </w:tc>
        <w:tc>
          <w:tcPr>
            <w:tcW w:w="2232" w:type="dxa"/>
            <w:noWrap/>
            <w:vAlign w:val="center"/>
            <w:hideMark/>
          </w:tcPr>
          <w:p w14:paraId="629E5EB7" w14:textId="77777777" w:rsidR="000711C1" w:rsidRPr="00CD2B8E" w:rsidRDefault="000711C1" w:rsidP="00E37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fr-FR"/>
              </w:rPr>
            </w:pPr>
          </w:p>
        </w:tc>
        <w:tc>
          <w:tcPr>
            <w:tcW w:w="1909" w:type="dxa"/>
            <w:noWrap/>
            <w:vAlign w:val="center"/>
            <w:hideMark/>
          </w:tcPr>
          <w:p w14:paraId="70A47D2D" w14:textId="77777777" w:rsidR="000711C1" w:rsidRPr="00CD2B8E" w:rsidRDefault="000711C1" w:rsidP="00E37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fr-FR"/>
              </w:rPr>
            </w:pPr>
          </w:p>
        </w:tc>
        <w:tc>
          <w:tcPr>
            <w:tcW w:w="2422" w:type="dxa"/>
            <w:noWrap/>
            <w:vAlign w:val="center"/>
            <w:hideMark/>
          </w:tcPr>
          <w:p w14:paraId="71631A5C" w14:textId="77777777" w:rsidR="000711C1" w:rsidRPr="00CD2B8E" w:rsidRDefault="000711C1" w:rsidP="00E37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fr-FR"/>
              </w:rPr>
            </w:pPr>
          </w:p>
        </w:tc>
        <w:tc>
          <w:tcPr>
            <w:tcW w:w="1521" w:type="dxa"/>
            <w:noWrap/>
            <w:vAlign w:val="center"/>
            <w:hideMark/>
          </w:tcPr>
          <w:p w14:paraId="01F734BC" w14:textId="77777777" w:rsidR="000711C1" w:rsidRPr="00CD2B8E" w:rsidRDefault="000711C1" w:rsidP="00E37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fr-FR"/>
              </w:rPr>
            </w:pPr>
          </w:p>
        </w:tc>
      </w:tr>
      <w:tr w:rsidR="000711C1" w:rsidRPr="00CD2B8E" w14:paraId="60E29A0B" w14:textId="77777777" w:rsidTr="003A5352">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1312" w:type="dxa"/>
            <w:noWrap/>
            <w:vAlign w:val="center"/>
            <w:hideMark/>
          </w:tcPr>
          <w:p w14:paraId="630C4F6E" w14:textId="77777777" w:rsidR="000711C1" w:rsidRPr="00CD2B8E" w:rsidRDefault="000711C1" w:rsidP="00E37933">
            <w:pPr>
              <w:jc w:val="center"/>
              <w:rPr>
                <w:rFonts w:ascii="Times New Roman" w:eastAsia="Times New Roman" w:hAnsi="Times New Roman" w:cs="Times New Roman"/>
                <w:color w:val="000000"/>
                <w:sz w:val="20"/>
                <w:szCs w:val="20"/>
                <w:lang w:eastAsia="fr-FR"/>
              </w:rPr>
            </w:pPr>
            <w:proofErr w:type="spellStart"/>
            <w:r w:rsidRPr="00CD2B8E">
              <w:rPr>
                <w:rFonts w:ascii="Times New Roman" w:eastAsia="Times New Roman" w:hAnsi="Times New Roman" w:cs="Times New Roman"/>
                <w:color w:val="000000"/>
                <w:sz w:val="20"/>
                <w:szCs w:val="20"/>
                <w:lang w:eastAsia="fr-FR"/>
              </w:rPr>
              <w:t>Jarque-Bera</w:t>
            </w:r>
            <w:proofErr w:type="spellEnd"/>
          </w:p>
        </w:tc>
        <w:tc>
          <w:tcPr>
            <w:tcW w:w="2232" w:type="dxa"/>
            <w:noWrap/>
            <w:vAlign w:val="center"/>
            <w:hideMark/>
          </w:tcPr>
          <w:p w14:paraId="6A5013F4" w14:textId="77777777" w:rsidR="000711C1" w:rsidRPr="00CD2B8E" w:rsidRDefault="000711C1" w:rsidP="00E379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D2B8E">
              <w:rPr>
                <w:rFonts w:ascii="Times New Roman" w:eastAsia="Times New Roman" w:hAnsi="Times New Roman" w:cs="Times New Roman"/>
                <w:color w:val="000000"/>
                <w:sz w:val="20"/>
                <w:szCs w:val="20"/>
                <w:lang w:eastAsia="fr-FR"/>
              </w:rPr>
              <w:t>5.144739</w:t>
            </w:r>
          </w:p>
        </w:tc>
        <w:tc>
          <w:tcPr>
            <w:tcW w:w="1909" w:type="dxa"/>
            <w:noWrap/>
            <w:vAlign w:val="center"/>
            <w:hideMark/>
          </w:tcPr>
          <w:p w14:paraId="1D1A62DE" w14:textId="77777777" w:rsidR="000711C1" w:rsidRPr="00CD2B8E" w:rsidRDefault="000711C1" w:rsidP="00E379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D2B8E">
              <w:rPr>
                <w:rFonts w:ascii="Times New Roman" w:eastAsia="Times New Roman" w:hAnsi="Times New Roman" w:cs="Times New Roman"/>
                <w:color w:val="000000"/>
                <w:sz w:val="20"/>
                <w:szCs w:val="20"/>
                <w:lang w:eastAsia="fr-FR"/>
              </w:rPr>
              <w:t>1.977068</w:t>
            </w:r>
          </w:p>
        </w:tc>
        <w:tc>
          <w:tcPr>
            <w:tcW w:w="2422" w:type="dxa"/>
            <w:noWrap/>
            <w:vAlign w:val="center"/>
            <w:hideMark/>
          </w:tcPr>
          <w:p w14:paraId="184F8F5B" w14:textId="77777777" w:rsidR="000711C1" w:rsidRPr="00CD2B8E" w:rsidRDefault="000711C1" w:rsidP="00E379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D2B8E">
              <w:rPr>
                <w:rFonts w:ascii="Times New Roman" w:eastAsia="Times New Roman" w:hAnsi="Times New Roman" w:cs="Times New Roman"/>
                <w:color w:val="000000"/>
                <w:sz w:val="20"/>
                <w:szCs w:val="20"/>
                <w:lang w:eastAsia="fr-FR"/>
              </w:rPr>
              <w:t>1.429976</w:t>
            </w:r>
          </w:p>
        </w:tc>
        <w:tc>
          <w:tcPr>
            <w:tcW w:w="1521" w:type="dxa"/>
            <w:noWrap/>
            <w:vAlign w:val="center"/>
            <w:hideMark/>
          </w:tcPr>
          <w:p w14:paraId="3F3B4C15" w14:textId="77777777" w:rsidR="000711C1" w:rsidRPr="00CD2B8E" w:rsidRDefault="000711C1" w:rsidP="00E379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D2B8E">
              <w:rPr>
                <w:rFonts w:ascii="Times New Roman" w:eastAsia="Times New Roman" w:hAnsi="Times New Roman" w:cs="Times New Roman"/>
                <w:color w:val="000000"/>
                <w:sz w:val="20"/>
                <w:szCs w:val="20"/>
                <w:lang w:eastAsia="fr-FR"/>
              </w:rPr>
              <w:t>1.95387</w:t>
            </w:r>
          </w:p>
        </w:tc>
      </w:tr>
      <w:tr w:rsidR="000711C1" w:rsidRPr="00CD2B8E" w14:paraId="09AC1470" w14:textId="77777777" w:rsidTr="003A5352">
        <w:trPr>
          <w:trHeight w:val="371"/>
        </w:trPr>
        <w:tc>
          <w:tcPr>
            <w:cnfStyle w:val="001000000000" w:firstRow="0" w:lastRow="0" w:firstColumn="1" w:lastColumn="0" w:oddVBand="0" w:evenVBand="0" w:oddHBand="0" w:evenHBand="0" w:firstRowFirstColumn="0" w:firstRowLastColumn="0" w:lastRowFirstColumn="0" w:lastRowLastColumn="0"/>
            <w:tcW w:w="1312" w:type="dxa"/>
            <w:noWrap/>
            <w:vAlign w:val="center"/>
            <w:hideMark/>
          </w:tcPr>
          <w:p w14:paraId="703C7EB8" w14:textId="77777777" w:rsidR="000711C1" w:rsidRPr="00CD2B8E" w:rsidRDefault="000711C1" w:rsidP="00E37933">
            <w:pPr>
              <w:jc w:val="center"/>
              <w:rPr>
                <w:rFonts w:ascii="Times New Roman" w:eastAsia="Times New Roman" w:hAnsi="Times New Roman" w:cs="Times New Roman"/>
                <w:color w:val="000000"/>
                <w:sz w:val="20"/>
                <w:szCs w:val="20"/>
                <w:lang w:eastAsia="fr-FR"/>
              </w:rPr>
            </w:pPr>
            <w:r w:rsidRPr="00CD2B8E">
              <w:rPr>
                <w:rFonts w:ascii="Times New Roman" w:eastAsia="Times New Roman" w:hAnsi="Times New Roman" w:cs="Times New Roman"/>
                <w:color w:val="000000"/>
                <w:sz w:val="20"/>
                <w:szCs w:val="20"/>
                <w:lang w:eastAsia="fr-FR"/>
              </w:rPr>
              <w:t>Probabilité</w:t>
            </w:r>
          </w:p>
        </w:tc>
        <w:tc>
          <w:tcPr>
            <w:tcW w:w="2232" w:type="dxa"/>
            <w:noWrap/>
            <w:vAlign w:val="center"/>
            <w:hideMark/>
          </w:tcPr>
          <w:p w14:paraId="5BD65A2B" w14:textId="77777777" w:rsidR="000711C1" w:rsidRPr="00CD2B8E" w:rsidRDefault="000711C1" w:rsidP="00E37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D2B8E">
              <w:rPr>
                <w:rFonts w:ascii="Times New Roman" w:eastAsia="Times New Roman" w:hAnsi="Times New Roman" w:cs="Times New Roman"/>
                <w:color w:val="000000"/>
                <w:sz w:val="20"/>
                <w:szCs w:val="20"/>
                <w:lang w:eastAsia="fr-FR"/>
              </w:rPr>
              <w:t>0.076354</w:t>
            </w:r>
          </w:p>
        </w:tc>
        <w:tc>
          <w:tcPr>
            <w:tcW w:w="1909" w:type="dxa"/>
            <w:noWrap/>
            <w:vAlign w:val="center"/>
            <w:hideMark/>
          </w:tcPr>
          <w:p w14:paraId="494E113E" w14:textId="77777777" w:rsidR="000711C1" w:rsidRPr="00CD2B8E" w:rsidRDefault="000711C1" w:rsidP="00E37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D2B8E">
              <w:rPr>
                <w:rFonts w:ascii="Times New Roman" w:eastAsia="Times New Roman" w:hAnsi="Times New Roman" w:cs="Times New Roman"/>
                <w:color w:val="000000"/>
                <w:sz w:val="20"/>
                <w:szCs w:val="20"/>
                <w:lang w:eastAsia="fr-FR"/>
              </w:rPr>
              <w:t>0.372122</w:t>
            </w:r>
          </w:p>
        </w:tc>
        <w:tc>
          <w:tcPr>
            <w:tcW w:w="2422" w:type="dxa"/>
            <w:noWrap/>
            <w:vAlign w:val="center"/>
            <w:hideMark/>
          </w:tcPr>
          <w:p w14:paraId="52F84765" w14:textId="77777777" w:rsidR="000711C1" w:rsidRPr="00CD2B8E" w:rsidRDefault="000711C1" w:rsidP="00E37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D2B8E">
              <w:rPr>
                <w:rFonts w:ascii="Times New Roman" w:eastAsia="Times New Roman" w:hAnsi="Times New Roman" w:cs="Times New Roman"/>
                <w:color w:val="000000"/>
                <w:sz w:val="20"/>
                <w:szCs w:val="20"/>
                <w:lang w:eastAsia="fr-FR"/>
              </w:rPr>
              <w:t>0.489198</w:t>
            </w:r>
          </w:p>
        </w:tc>
        <w:tc>
          <w:tcPr>
            <w:tcW w:w="1521" w:type="dxa"/>
            <w:noWrap/>
            <w:vAlign w:val="center"/>
            <w:hideMark/>
          </w:tcPr>
          <w:p w14:paraId="19D7DFA9" w14:textId="77777777" w:rsidR="000711C1" w:rsidRPr="00CD2B8E" w:rsidRDefault="000711C1" w:rsidP="00E37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D2B8E">
              <w:rPr>
                <w:rFonts w:ascii="Times New Roman" w:eastAsia="Times New Roman" w:hAnsi="Times New Roman" w:cs="Times New Roman"/>
                <w:color w:val="000000"/>
                <w:sz w:val="20"/>
                <w:szCs w:val="20"/>
                <w:lang w:eastAsia="fr-FR"/>
              </w:rPr>
              <w:t>0.376463</w:t>
            </w:r>
          </w:p>
        </w:tc>
      </w:tr>
    </w:tbl>
    <w:p w14:paraId="2998CF73" w14:textId="5674A108" w:rsidR="000711C1" w:rsidRPr="00441522" w:rsidRDefault="00441522" w:rsidP="002A06AC">
      <w:pPr>
        <w:rPr>
          <w:rFonts w:ascii="Times New Roman" w:hAnsi="Times New Roman" w:cs="Times New Roman"/>
          <w:b/>
        </w:rPr>
      </w:pPr>
      <w:r w:rsidRPr="00441522">
        <w:rPr>
          <w:rFonts w:ascii="Times New Roman" w:eastAsia="Times New Roman" w:hAnsi="Times New Roman" w:cs="Times New Roman"/>
          <w:b/>
          <w:color w:val="000000"/>
          <w:lang w:eastAsia="fr-FR"/>
        </w:rPr>
        <w:t xml:space="preserve">Source : </w:t>
      </w:r>
      <w:r w:rsidR="008D5987" w:rsidRPr="008D5987">
        <w:rPr>
          <w:rFonts w:ascii="Times New Roman" w:eastAsia="Times New Roman" w:hAnsi="Times New Roman" w:cs="Times New Roman"/>
          <w:b/>
          <w:color w:val="000000"/>
          <w:lang w:eastAsia="fr-FR"/>
        </w:rPr>
        <w:t>Compte déplacements des voyageurs en Île-de-France (Île de France Mobilités)</w:t>
      </w:r>
      <w:r w:rsidR="008D5987">
        <w:rPr>
          <w:rFonts w:ascii="Times New Roman" w:eastAsia="Times New Roman" w:hAnsi="Times New Roman" w:cs="Times New Roman"/>
          <w:b/>
          <w:color w:val="000000"/>
          <w:lang w:eastAsia="fr-FR"/>
        </w:rPr>
        <w:t xml:space="preserve"> et </w:t>
      </w:r>
      <w:r w:rsidR="008D5987" w:rsidRPr="008D5987">
        <w:rPr>
          <w:rFonts w:ascii="Times New Roman" w:eastAsia="Times New Roman" w:hAnsi="Times New Roman" w:cs="Times New Roman"/>
          <w:b/>
          <w:color w:val="000000"/>
          <w:lang w:eastAsia="fr-FR"/>
        </w:rPr>
        <w:t xml:space="preserve">Île-de-France Mobilités, d'après RATP, </w:t>
      </w:r>
      <w:proofErr w:type="spellStart"/>
      <w:r w:rsidR="008D5987" w:rsidRPr="008D5987">
        <w:rPr>
          <w:rFonts w:ascii="Times New Roman" w:eastAsia="Times New Roman" w:hAnsi="Times New Roman" w:cs="Times New Roman"/>
          <w:b/>
          <w:color w:val="000000"/>
          <w:lang w:eastAsia="fr-FR"/>
        </w:rPr>
        <w:t>Optile</w:t>
      </w:r>
      <w:proofErr w:type="spellEnd"/>
      <w:r w:rsidR="008D5987" w:rsidRPr="008D5987">
        <w:rPr>
          <w:rFonts w:ascii="Times New Roman" w:eastAsia="Times New Roman" w:hAnsi="Times New Roman" w:cs="Times New Roman"/>
          <w:b/>
          <w:color w:val="000000"/>
          <w:lang w:eastAsia="fr-FR"/>
        </w:rPr>
        <w:t xml:space="preserve"> et SNCF</w:t>
      </w:r>
    </w:p>
    <w:p w14:paraId="371BB32C" w14:textId="0C62D453" w:rsidR="00B506F6" w:rsidRPr="00B0493C" w:rsidRDefault="000711C1" w:rsidP="00441522">
      <w:pPr>
        <w:tabs>
          <w:tab w:val="left" w:pos="8730"/>
        </w:tabs>
        <w:jc w:val="both"/>
        <w:rPr>
          <w:rFonts w:ascii="Times New Roman" w:hAnsi="Times New Roman" w:cs="Times New Roman"/>
          <w:sz w:val="24"/>
        </w:rPr>
      </w:pPr>
      <w:r w:rsidRPr="00B0493C">
        <w:rPr>
          <w:rFonts w:ascii="Times New Roman" w:hAnsi="Times New Roman" w:cs="Times New Roman"/>
          <w:sz w:val="24"/>
        </w:rPr>
        <w:t>Il ressort du tableau que la moyenne des investissements</w:t>
      </w:r>
      <w:r w:rsidR="006F094C">
        <w:rPr>
          <w:rFonts w:ascii="Times New Roman" w:hAnsi="Times New Roman" w:cs="Times New Roman"/>
          <w:sz w:val="24"/>
        </w:rPr>
        <w:t xml:space="preserve"> dans la transition énergétique</w:t>
      </w:r>
      <w:r w:rsidRPr="00B0493C">
        <w:rPr>
          <w:rFonts w:ascii="Times New Roman" w:hAnsi="Times New Roman" w:cs="Times New Roman"/>
          <w:sz w:val="24"/>
        </w:rPr>
        <w:t xml:space="preserve"> est de 869 MM d’euros sur la </w:t>
      </w:r>
      <w:r w:rsidR="00D81051" w:rsidRPr="00B0493C">
        <w:rPr>
          <w:rFonts w:ascii="Times New Roman" w:hAnsi="Times New Roman" w:cs="Times New Roman"/>
          <w:sz w:val="24"/>
        </w:rPr>
        <w:t>période</w:t>
      </w:r>
      <w:r w:rsidRPr="00B0493C">
        <w:rPr>
          <w:rFonts w:ascii="Times New Roman" w:hAnsi="Times New Roman" w:cs="Times New Roman"/>
          <w:sz w:val="24"/>
        </w:rPr>
        <w:t xml:space="preserve"> 2000 à 2019. Le plus grand niveau d’investissement est </w:t>
      </w:r>
      <w:r w:rsidR="00733456">
        <w:rPr>
          <w:rFonts w:ascii="Times New Roman" w:hAnsi="Times New Roman" w:cs="Times New Roman"/>
          <w:sz w:val="24"/>
        </w:rPr>
        <w:t xml:space="preserve">de </w:t>
      </w:r>
      <w:r w:rsidRPr="00B0493C">
        <w:rPr>
          <w:rFonts w:ascii="Times New Roman" w:hAnsi="Times New Roman" w:cs="Times New Roman"/>
          <w:sz w:val="24"/>
        </w:rPr>
        <w:t>1,330 MM d’euro</w:t>
      </w:r>
      <w:r w:rsidR="00733456">
        <w:rPr>
          <w:rFonts w:ascii="Times New Roman" w:hAnsi="Times New Roman" w:cs="Times New Roman"/>
          <w:sz w:val="24"/>
        </w:rPr>
        <w:t>s</w:t>
      </w:r>
      <w:r w:rsidRPr="00B0493C">
        <w:rPr>
          <w:rFonts w:ascii="Times New Roman" w:hAnsi="Times New Roman" w:cs="Times New Roman"/>
          <w:sz w:val="24"/>
        </w:rPr>
        <w:t xml:space="preserve"> et le niveau d’investissement le plus faible est </w:t>
      </w:r>
      <w:r w:rsidR="00D81051" w:rsidRPr="00B0493C">
        <w:rPr>
          <w:rFonts w:ascii="Times New Roman" w:hAnsi="Times New Roman" w:cs="Times New Roman"/>
          <w:sz w:val="24"/>
        </w:rPr>
        <w:t>de 470 MM d’euros. La rentabilité</w:t>
      </w:r>
      <w:r w:rsidR="00FA2A53">
        <w:rPr>
          <w:rFonts w:ascii="Times New Roman" w:hAnsi="Times New Roman" w:cs="Times New Roman"/>
          <w:sz w:val="24"/>
        </w:rPr>
        <w:t xml:space="preserve"> d’</w:t>
      </w:r>
      <w:r w:rsidR="00B506F6">
        <w:rPr>
          <w:rFonts w:ascii="Times New Roman" w:hAnsi="Times New Roman" w:cs="Times New Roman"/>
          <w:sz w:val="24"/>
        </w:rPr>
        <w:t>Île-de-France</w:t>
      </w:r>
      <w:r w:rsidR="006F094C">
        <w:rPr>
          <w:rFonts w:ascii="Times New Roman" w:hAnsi="Times New Roman" w:cs="Times New Roman"/>
          <w:sz w:val="24"/>
        </w:rPr>
        <w:t xml:space="preserve"> Mobilité</w:t>
      </w:r>
      <w:r w:rsidR="00D81051" w:rsidRPr="00B0493C">
        <w:rPr>
          <w:rFonts w:ascii="Times New Roman" w:hAnsi="Times New Roman" w:cs="Times New Roman"/>
          <w:sz w:val="24"/>
        </w:rPr>
        <w:t xml:space="preserve"> sur la période est toujours négative avec une rentabilité maximale de -0.039241.</w:t>
      </w:r>
      <w:r w:rsidR="00B506F6">
        <w:rPr>
          <w:rFonts w:ascii="Times New Roman" w:hAnsi="Times New Roman" w:cs="Times New Roman"/>
          <w:sz w:val="24"/>
        </w:rPr>
        <w:t xml:space="preserve"> Ces </w:t>
      </w:r>
      <w:r w:rsidR="006707C5">
        <w:rPr>
          <w:rFonts w:ascii="Times New Roman" w:hAnsi="Times New Roman" w:cs="Times New Roman"/>
          <w:sz w:val="24"/>
        </w:rPr>
        <w:t xml:space="preserve">derniers </w:t>
      </w:r>
      <w:r w:rsidR="00B506F6">
        <w:rPr>
          <w:rFonts w:ascii="Times New Roman" w:hAnsi="Times New Roman" w:cs="Times New Roman"/>
          <w:sz w:val="24"/>
        </w:rPr>
        <w:t xml:space="preserve">résultats confirment que le transport public est un service structurellement déficitaire </w:t>
      </w:r>
      <w:r w:rsidR="00E976B5">
        <w:rPr>
          <w:rFonts w:ascii="Times New Roman" w:hAnsi="Times New Roman" w:cs="Times New Roman"/>
          <w:sz w:val="24"/>
        </w:rPr>
        <w:t xml:space="preserve">nécessitant les financements des collectivités locales, la mobilisation du versement transport en plus des recettes perçus auprès des voyageurs. Par ailleurs, la mission </w:t>
      </w:r>
      <w:r w:rsidR="00D81051" w:rsidRPr="00B0493C">
        <w:rPr>
          <w:rFonts w:ascii="Times New Roman" w:hAnsi="Times New Roman" w:cs="Times New Roman"/>
          <w:sz w:val="24"/>
        </w:rPr>
        <w:t>d’équilibre de compte</w:t>
      </w:r>
      <w:r w:rsidR="00E976B5">
        <w:rPr>
          <w:rFonts w:ascii="Times New Roman" w:hAnsi="Times New Roman" w:cs="Times New Roman"/>
          <w:sz w:val="24"/>
        </w:rPr>
        <w:t xml:space="preserve"> d’Île-de-France Mobilités n’a pas été </w:t>
      </w:r>
      <w:r w:rsidR="00E976B5" w:rsidRPr="002A1FA8">
        <w:rPr>
          <w:rFonts w:ascii="Times New Roman" w:hAnsi="Times New Roman" w:cs="Times New Roman"/>
          <w:sz w:val="24"/>
        </w:rPr>
        <w:t>atteint</w:t>
      </w:r>
      <w:r w:rsidR="002A1FA8" w:rsidRPr="002A1FA8">
        <w:rPr>
          <w:rFonts w:ascii="Times New Roman" w:hAnsi="Times New Roman" w:cs="Times New Roman"/>
          <w:sz w:val="24"/>
        </w:rPr>
        <w:t>e</w:t>
      </w:r>
      <w:r w:rsidR="00E976B5" w:rsidRPr="00A67D27">
        <w:rPr>
          <w:rFonts w:ascii="Times New Roman" w:hAnsi="Times New Roman" w:cs="Times New Roman"/>
          <w:color w:val="FF0000"/>
          <w:sz w:val="24"/>
        </w:rPr>
        <w:t xml:space="preserve"> </w:t>
      </w:r>
      <w:r w:rsidR="000231C6">
        <w:rPr>
          <w:rFonts w:ascii="Times New Roman" w:hAnsi="Times New Roman" w:cs="Times New Roman"/>
          <w:sz w:val="24"/>
        </w:rPr>
        <w:t>puisque nous avons vu précédemment qu’</w:t>
      </w:r>
      <w:r w:rsidR="00781E9B">
        <w:rPr>
          <w:rFonts w:ascii="Times New Roman" w:hAnsi="Times New Roman" w:cs="Times New Roman"/>
          <w:sz w:val="24"/>
        </w:rPr>
        <w:t>Île-de-France</w:t>
      </w:r>
      <w:r w:rsidR="000231C6">
        <w:rPr>
          <w:rFonts w:ascii="Times New Roman" w:hAnsi="Times New Roman" w:cs="Times New Roman"/>
          <w:sz w:val="24"/>
        </w:rPr>
        <w:t xml:space="preserve"> Mobilités a recours énormément aux emprunts</w:t>
      </w:r>
      <w:r w:rsidR="00D81051" w:rsidRPr="00B0493C">
        <w:rPr>
          <w:rFonts w:ascii="Times New Roman" w:hAnsi="Times New Roman" w:cs="Times New Roman"/>
          <w:sz w:val="24"/>
        </w:rPr>
        <w:t xml:space="preserve">. </w:t>
      </w:r>
    </w:p>
    <w:p w14:paraId="3A3DEBBA" w14:textId="09366F89" w:rsidR="002E106D" w:rsidRDefault="00D81051" w:rsidP="00D81051">
      <w:pPr>
        <w:jc w:val="both"/>
        <w:rPr>
          <w:rFonts w:ascii="Times New Roman" w:hAnsi="Times New Roman" w:cs="Times New Roman"/>
          <w:sz w:val="24"/>
        </w:rPr>
      </w:pPr>
      <w:r w:rsidRPr="00B0493C">
        <w:rPr>
          <w:rFonts w:ascii="Times New Roman" w:hAnsi="Times New Roman" w:cs="Times New Roman"/>
          <w:sz w:val="24"/>
        </w:rPr>
        <w:t xml:space="preserve">Les </w:t>
      </w:r>
      <w:r w:rsidR="00FF4768">
        <w:rPr>
          <w:rFonts w:ascii="Times New Roman" w:hAnsi="Times New Roman" w:cs="Times New Roman"/>
          <w:sz w:val="24"/>
        </w:rPr>
        <w:t>C</w:t>
      </w:r>
      <w:r w:rsidRPr="00B0493C">
        <w:rPr>
          <w:rFonts w:ascii="Times New Roman" w:hAnsi="Times New Roman" w:cs="Times New Roman"/>
          <w:sz w:val="24"/>
        </w:rPr>
        <w:t xml:space="preserve">oncours publics sont toujours de l’ordre des milliards sur la période avec un apport minimal de 1,420 MM d’euros et un </w:t>
      </w:r>
      <w:r w:rsidR="00C60EB6">
        <w:rPr>
          <w:rFonts w:ascii="Times New Roman" w:hAnsi="Times New Roman" w:cs="Times New Roman"/>
          <w:sz w:val="24"/>
        </w:rPr>
        <w:t xml:space="preserve">apport </w:t>
      </w:r>
      <w:r w:rsidRPr="00B0493C">
        <w:rPr>
          <w:rFonts w:ascii="Times New Roman" w:hAnsi="Times New Roman" w:cs="Times New Roman"/>
          <w:sz w:val="24"/>
        </w:rPr>
        <w:t>maximal de 1,940 MM</w:t>
      </w:r>
      <w:r w:rsidR="00FF4768">
        <w:rPr>
          <w:rFonts w:ascii="Times New Roman" w:hAnsi="Times New Roman" w:cs="Times New Roman"/>
          <w:sz w:val="24"/>
        </w:rPr>
        <w:t xml:space="preserve"> d’euros</w:t>
      </w:r>
      <w:r w:rsidRPr="00B0493C">
        <w:rPr>
          <w:rFonts w:ascii="Times New Roman" w:hAnsi="Times New Roman" w:cs="Times New Roman"/>
          <w:sz w:val="24"/>
        </w:rPr>
        <w:t xml:space="preserve">. </w:t>
      </w:r>
      <w:r w:rsidR="00874ACE" w:rsidRPr="00B0493C">
        <w:rPr>
          <w:rFonts w:ascii="Times New Roman" w:hAnsi="Times New Roman" w:cs="Times New Roman"/>
          <w:sz w:val="24"/>
        </w:rPr>
        <w:t xml:space="preserve">La moyenne sur la période </w:t>
      </w:r>
      <w:r w:rsidR="0075787F" w:rsidRPr="00B0493C">
        <w:rPr>
          <w:rFonts w:ascii="Times New Roman" w:hAnsi="Times New Roman" w:cs="Times New Roman"/>
          <w:sz w:val="24"/>
        </w:rPr>
        <w:t>sous</w:t>
      </w:r>
      <w:r w:rsidR="0052429E">
        <w:rPr>
          <w:rFonts w:ascii="Times New Roman" w:hAnsi="Times New Roman" w:cs="Times New Roman"/>
          <w:sz w:val="24"/>
        </w:rPr>
        <w:t xml:space="preserve"> </w:t>
      </w:r>
      <w:r w:rsidR="0052429E">
        <w:rPr>
          <w:rFonts w:ascii="Times New Roman" w:hAnsi="Times New Roman" w:cs="Times New Roman"/>
          <w:sz w:val="24"/>
        </w:rPr>
        <w:lastRenderedPageBreak/>
        <w:t>étude est de 1,760 MM d’euro</w:t>
      </w:r>
      <w:r w:rsidR="0075787F" w:rsidRPr="00B0493C">
        <w:rPr>
          <w:rFonts w:ascii="Times New Roman" w:hAnsi="Times New Roman" w:cs="Times New Roman"/>
          <w:sz w:val="24"/>
        </w:rPr>
        <w:t xml:space="preserve">s. Quant à l’offre commerciale, sur la période, elle est de 158 MM </w:t>
      </w:r>
      <w:r w:rsidR="00E65AD2">
        <w:rPr>
          <w:rFonts w:ascii="Times New Roman" w:hAnsi="Times New Roman" w:cs="Times New Roman"/>
          <w:sz w:val="24"/>
        </w:rPr>
        <w:t>véhicules par KM (</w:t>
      </w:r>
      <w:proofErr w:type="spellStart"/>
      <w:r w:rsidR="00E65AD2">
        <w:rPr>
          <w:rFonts w:ascii="Times New Roman" w:hAnsi="Times New Roman" w:cs="Times New Roman"/>
          <w:sz w:val="24"/>
        </w:rPr>
        <w:t>vh</w:t>
      </w:r>
      <w:proofErr w:type="spellEnd"/>
      <w:r w:rsidR="00E65AD2">
        <w:rPr>
          <w:rFonts w:ascii="Times New Roman" w:hAnsi="Times New Roman" w:cs="Times New Roman"/>
          <w:sz w:val="24"/>
        </w:rPr>
        <w:t xml:space="preserve">/km) </w:t>
      </w:r>
      <w:r w:rsidR="0075787F" w:rsidRPr="00B0493C">
        <w:rPr>
          <w:rFonts w:ascii="Times New Roman" w:hAnsi="Times New Roman" w:cs="Times New Roman"/>
          <w:sz w:val="24"/>
        </w:rPr>
        <w:t xml:space="preserve">pour une évolution dans l’intervalle 159 MM et 170 MM </w:t>
      </w:r>
      <w:proofErr w:type="spellStart"/>
      <w:r w:rsidR="00E65AD2">
        <w:rPr>
          <w:rFonts w:ascii="Times New Roman" w:hAnsi="Times New Roman" w:cs="Times New Roman"/>
          <w:sz w:val="24"/>
        </w:rPr>
        <w:t>vh</w:t>
      </w:r>
      <w:proofErr w:type="spellEnd"/>
      <w:r w:rsidR="00E65AD2">
        <w:rPr>
          <w:rFonts w:ascii="Times New Roman" w:hAnsi="Times New Roman" w:cs="Times New Roman"/>
          <w:sz w:val="24"/>
        </w:rPr>
        <w:t>/km</w:t>
      </w:r>
      <w:r w:rsidR="0075787F" w:rsidRPr="00B0493C">
        <w:rPr>
          <w:rFonts w:ascii="Times New Roman" w:hAnsi="Times New Roman" w:cs="Times New Roman"/>
          <w:sz w:val="24"/>
        </w:rPr>
        <w:t>.</w:t>
      </w:r>
      <w:r w:rsidR="001177D8" w:rsidRPr="00B0493C">
        <w:rPr>
          <w:rFonts w:ascii="Times New Roman" w:hAnsi="Times New Roman" w:cs="Times New Roman"/>
          <w:sz w:val="24"/>
        </w:rPr>
        <w:t xml:space="preserve"> </w:t>
      </w:r>
      <w:r w:rsidR="00EE4A47">
        <w:rPr>
          <w:rFonts w:ascii="Times New Roman" w:hAnsi="Times New Roman" w:cs="Times New Roman"/>
          <w:sz w:val="24"/>
        </w:rPr>
        <w:t xml:space="preserve">En outre, </w:t>
      </w:r>
      <w:r w:rsidR="00EE4A47" w:rsidRPr="00B0195D">
        <w:rPr>
          <w:rFonts w:ascii="Times New Roman" w:hAnsi="Times New Roman" w:cs="Times New Roman"/>
          <w:sz w:val="24"/>
        </w:rPr>
        <w:t>l</w:t>
      </w:r>
      <w:r w:rsidR="00C85965" w:rsidRPr="00B0195D">
        <w:rPr>
          <w:rFonts w:ascii="Times New Roman" w:hAnsi="Times New Roman" w:cs="Times New Roman"/>
          <w:sz w:val="24"/>
        </w:rPr>
        <w:t xml:space="preserve">a variabilité des </w:t>
      </w:r>
      <w:r w:rsidR="00B0493C" w:rsidRPr="00B0195D">
        <w:rPr>
          <w:rFonts w:ascii="Times New Roman" w:hAnsi="Times New Roman" w:cs="Times New Roman"/>
          <w:sz w:val="24"/>
        </w:rPr>
        <w:t>séries</w:t>
      </w:r>
      <w:r w:rsidR="00C85965" w:rsidRPr="00B0195D">
        <w:rPr>
          <w:rFonts w:ascii="Times New Roman" w:hAnsi="Times New Roman" w:cs="Times New Roman"/>
          <w:sz w:val="24"/>
        </w:rPr>
        <w:t xml:space="preserve"> montre que les concours publics sont relativement </w:t>
      </w:r>
      <w:r w:rsidR="00B0493C" w:rsidRPr="00B0195D">
        <w:rPr>
          <w:rFonts w:ascii="Times New Roman" w:hAnsi="Times New Roman" w:cs="Times New Roman"/>
          <w:sz w:val="24"/>
        </w:rPr>
        <w:t>stables</w:t>
      </w:r>
      <w:r w:rsidR="00C85965" w:rsidRPr="00B0195D">
        <w:rPr>
          <w:rFonts w:ascii="Times New Roman" w:hAnsi="Times New Roman" w:cs="Times New Roman"/>
          <w:sz w:val="24"/>
        </w:rPr>
        <w:t xml:space="preserve"> dans le temps a</w:t>
      </w:r>
      <w:r w:rsidR="00B0493C" w:rsidRPr="00B0195D">
        <w:rPr>
          <w:rFonts w:ascii="Times New Roman" w:hAnsi="Times New Roman" w:cs="Times New Roman"/>
          <w:sz w:val="24"/>
        </w:rPr>
        <w:t>v</w:t>
      </w:r>
      <w:r w:rsidR="00C85965" w:rsidRPr="00B0195D">
        <w:rPr>
          <w:rFonts w:ascii="Times New Roman" w:hAnsi="Times New Roman" w:cs="Times New Roman"/>
          <w:sz w:val="24"/>
        </w:rPr>
        <w:t>ec moins de variabilité</w:t>
      </w:r>
      <w:r w:rsidR="00466367" w:rsidRPr="00B0195D">
        <w:rPr>
          <w:rFonts w:ascii="Times New Roman" w:hAnsi="Times New Roman" w:cs="Times New Roman"/>
          <w:sz w:val="24"/>
        </w:rPr>
        <w:t>, donc</w:t>
      </w:r>
      <w:r w:rsidR="002D1C6E" w:rsidRPr="00B0195D">
        <w:rPr>
          <w:rFonts w:ascii="Times New Roman" w:hAnsi="Times New Roman" w:cs="Times New Roman"/>
          <w:sz w:val="24"/>
        </w:rPr>
        <w:t xml:space="preserve"> un</w:t>
      </w:r>
      <w:r w:rsidR="00E65AD2" w:rsidRPr="00B0195D">
        <w:rPr>
          <w:rFonts w:ascii="Times New Roman" w:hAnsi="Times New Roman" w:cs="Times New Roman"/>
          <w:sz w:val="24"/>
        </w:rPr>
        <w:t xml:space="preserve"> écart par rapport à la moyenne plus </w:t>
      </w:r>
      <w:r w:rsidR="00664EB4" w:rsidRPr="00B0195D">
        <w:rPr>
          <w:rFonts w:ascii="Times New Roman" w:hAnsi="Times New Roman" w:cs="Times New Roman"/>
          <w:sz w:val="24"/>
        </w:rPr>
        <w:t>faible</w:t>
      </w:r>
      <w:r w:rsidR="00C85965" w:rsidRPr="00B0195D">
        <w:rPr>
          <w:rFonts w:ascii="Times New Roman" w:hAnsi="Times New Roman" w:cs="Times New Roman"/>
          <w:sz w:val="24"/>
        </w:rPr>
        <w:t xml:space="preserve">. </w:t>
      </w:r>
      <w:r w:rsidR="00B0493C" w:rsidRPr="00B0195D">
        <w:rPr>
          <w:rFonts w:ascii="Times New Roman" w:hAnsi="Times New Roman" w:cs="Times New Roman"/>
          <w:sz w:val="24"/>
        </w:rPr>
        <w:t>Les</w:t>
      </w:r>
      <w:r w:rsidR="00B0493C" w:rsidRPr="00B0493C">
        <w:rPr>
          <w:rFonts w:ascii="Times New Roman" w:hAnsi="Times New Roman" w:cs="Times New Roman"/>
          <w:sz w:val="24"/>
        </w:rPr>
        <w:t xml:space="preserve"> investissements dans la transition énergétique sont plus volatils avec un écart-type de 314 MM d’euros sur la période. L’évolution de l’offre c</w:t>
      </w:r>
      <w:r w:rsidR="00B0493C">
        <w:rPr>
          <w:rFonts w:ascii="Times New Roman" w:hAnsi="Times New Roman" w:cs="Times New Roman"/>
          <w:sz w:val="24"/>
        </w:rPr>
        <w:t xml:space="preserve">ommerciale montre un écart-type de 8.9 </w:t>
      </w:r>
      <w:proofErr w:type="spellStart"/>
      <w:r w:rsidR="00204CD4">
        <w:rPr>
          <w:rFonts w:ascii="Times New Roman" w:hAnsi="Times New Roman" w:cs="Times New Roman"/>
          <w:sz w:val="24"/>
        </w:rPr>
        <w:t>vh</w:t>
      </w:r>
      <w:proofErr w:type="spellEnd"/>
      <w:r w:rsidR="00204CD4">
        <w:rPr>
          <w:rFonts w:ascii="Times New Roman" w:hAnsi="Times New Roman" w:cs="Times New Roman"/>
          <w:sz w:val="24"/>
        </w:rPr>
        <w:t xml:space="preserve">/km </w:t>
      </w:r>
      <w:r w:rsidR="008B464D">
        <w:rPr>
          <w:rFonts w:ascii="Times New Roman" w:hAnsi="Times New Roman" w:cs="Times New Roman"/>
          <w:sz w:val="24"/>
        </w:rPr>
        <w:t xml:space="preserve">qui traduit une faible variabilité de l’offre commerciale au cours des années. </w:t>
      </w:r>
    </w:p>
    <w:p w14:paraId="4B2C7DCC" w14:textId="7A2008AB" w:rsidR="00D47724" w:rsidRPr="0017252F" w:rsidRDefault="00D47724" w:rsidP="00F61F98">
      <w:pPr>
        <w:pStyle w:val="Titre3"/>
        <w:numPr>
          <w:ilvl w:val="0"/>
          <w:numId w:val="14"/>
        </w:numPr>
        <w:rPr>
          <w:rFonts w:ascii="Times New Roman" w:hAnsi="Times New Roman" w:cs="Times New Roman"/>
          <w:b/>
          <w:bCs/>
        </w:rPr>
      </w:pPr>
      <w:bookmarkStart w:id="36" w:name="_Toc70937415"/>
      <w:r w:rsidRPr="0017252F">
        <w:rPr>
          <w:rFonts w:ascii="Times New Roman" w:hAnsi="Times New Roman" w:cs="Times New Roman"/>
          <w:b/>
          <w:bCs/>
        </w:rPr>
        <w:t xml:space="preserve">Evolution graphique des </w:t>
      </w:r>
      <w:r w:rsidR="00A5417B" w:rsidRPr="0017252F">
        <w:rPr>
          <w:rFonts w:ascii="Times New Roman" w:hAnsi="Times New Roman" w:cs="Times New Roman"/>
          <w:b/>
          <w:bCs/>
        </w:rPr>
        <w:t>séries</w:t>
      </w:r>
      <w:r w:rsidRPr="0017252F">
        <w:rPr>
          <w:rFonts w:ascii="Times New Roman" w:hAnsi="Times New Roman" w:cs="Times New Roman"/>
          <w:b/>
          <w:bCs/>
        </w:rPr>
        <w:t xml:space="preserve"> et nuage de points</w:t>
      </w:r>
      <w:bookmarkEnd w:id="36"/>
      <w:r w:rsidRPr="0017252F">
        <w:rPr>
          <w:rFonts w:ascii="Times New Roman" w:hAnsi="Times New Roman" w:cs="Times New Roman"/>
          <w:b/>
          <w:bCs/>
        </w:rPr>
        <w:t xml:space="preserve"> </w:t>
      </w:r>
    </w:p>
    <w:p w14:paraId="04E2E18A" w14:textId="6D3C3ABC" w:rsidR="003075FA" w:rsidRPr="00A67D27" w:rsidRDefault="00FD6E85" w:rsidP="00A67D27">
      <w:pPr>
        <w:spacing w:line="240" w:lineRule="auto"/>
        <w:jc w:val="both"/>
        <w:rPr>
          <w:rFonts w:ascii="Times New Roman" w:hAnsi="Times New Roman" w:cs="Times New Roman"/>
          <w:sz w:val="24"/>
        </w:rPr>
      </w:pPr>
      <w:r w:rsidRPr="00A67D27">
        <w:rPr>
          <w:rFonts w:ascii="Times New Roman" w:hAnsi="Times New Roman" w:cs="Times New Roman"/>
          <w:sz w:val="24"/>
        </w:rPr>
        <w:t xml:space="preserve"> </w:t>
      </w:r>
      <w:r w:rsidR="00875D6F" w:rsidRPr="00A67D27">
        <w:rPr>
          <w:rFonts w:ascii="Times New Roman" w:hAnsi="Times New Roman" w:cs="Times New Roman"/>
          <w:sz w:val="24"/>
        </w:rPr>
        <w:t xml:space="preserve">Nous observons dans le graphe ci-dessous que la variable rentabilité économique suit une tendance </w:t>
      </w:r>
      <w:r w:rsidR="00026D8F">
        <w:rPr>
          <w:rFonts w:ascii="Times New Roman" w:hAnsi="Times New Roman" w:cs="Times New Roman"/>
          <w:sz w:val="24"/>
        </w:rPr>
        <w:t xml:space="preserve">croissante </w:t>
      </w:r>
      <w:r w:rsidR="00875D6F" w:rsidRPr="00A67D27">
        <w:rPr>
          <w:rFonts w:ascii="Times New Roman" w:hAnsi="Times New Roman" w:cs="Times New Roman"/>
          <w:sz w:val="24"/>
        </w:rPr>
        <w:t xml:space="preserve">sur toute la période considérée. Dans le graphique d’à côté présentant l’évolution des investissements en matériel roulant, nous observons que ces </w:t>
      </w:r>
      <w:r w:rsidR="00097E48" w:rsidRPr="00A67D27">
        <w:rPr>
          <w:rFonts w:ascii="Times New Roman" w:hAnsi="Times New Roman" w:cs="Times New Roman"/>
          <w:sz w:val="24"/>
        </w:rPr>
        <w:t xml:space="preserve">derniers </w:t>
      </w:r>
      <w:r w:rsidR="00875D6F" w:rsidRPr="00A67D27">
        <w:rPr>
          <w:rFonts w:ascii="Times New Roman" w:hAnsi="Times New Roman" w:cs="Times New Roman"/>
          <w:sz w:val="24"/>
        </w:rPr>
        <w:t xml:space="preserve">suivent également une tendance croissante avec une augmentation plus marquée à partir de 2007. </w:t>
      </w:r>
      <w:r w:rsidR="00E810B6" w:rsidRPr="00A67D27">
        <w:rPr>
          <w:rFonts w:ascii="Times New Roman" w:hAnsi="Times New Roman" w:cs="Times New Roman"/>
          <w:sz w:val="24"/>
        </w:rPr>
        <w:t>En effet, cette année marque le début d’une politique d’investissements pluriannuel</w:t>
      </w:r>
      <w:r w:rsidR="00451D8A">
        <w:rPr>
          <w:rFonts w:ascii="Times New Roman" w:hAnsi="Times New Roman" w:cs="Times New Roman"/>
          <w:sz w:val="24"/>
        </w:rPr>
        <w:t>le</w:t>
      </w:r>
      <w:r w:rsidR="00E810B6" w:rsidRPr="00A67D27">
        <w:rPr>
          <w:rFonts w:ascii="Times New Roman" w:hAnsi="Times New Roman" w:cs="Times New Roman"/>
          <w:sz w:val="24"/>
        </w:rPr>
        <w:t xml:space="preserve"> ambitieuse avec la RATP et la SNCF (Rapport d’activité 2015 p. 11).</w:t>
      </w:r>
      <w:r w:rsidR="009E4E3D" w:rsidRPr="00A67D27">
        <w:rPr>
          <w:rFonts w:ascii="Times New Roman" w:hAnsi="Times New Roman" w:cs="Times New Roman"/>
          <w:sz w:val="24"/>
        </w:rPr>
        <w:t xml:space="preserve"> Entre 2007 et 2015, près de 5,9 milliards d’euros de subventions directes ou indirectes ont été accordées à la SNCF et près de 17,1 milliards d’euros de subventions directes ou indirectes ont été octroyées à la RATP</w:t>
      </w:r>
      <w:r w:rsidR="003F42F5" w:rsidRPr="00A67D27">
        <w:rPr>
          <w:rFonts w:ascii="Times New Roman" w:hAnsi="Times New Roman" w:cs="Times New Roman"/>
          <w:sz w:val="24"/>
        </w:rPr>
        <w:t>.</w:t>
      </w:r>
    </w:p>
    <w:p w14:paraId="21A7A44D" w14:textId="77777777" w:rsidR="00E43000" w:rsidRDefault="001C5939" w:rsidP="003075FA">
      <w:pPr>
        <w:rPr>
          <w:rFonts w:ascii="Times New Roman" w:hAnsi="Times New Roman" w:cs="Times New Roman"/>
        </w:rPr>
      </w:pPr>
      <w:r w:rsidRPr="003075FA">
        <w:rPr>
          <w:rFonts w:ascii="Times New Roman" w:hAnsi="Times New Roman" w:cs="Times New Roman"/>
          <w:noProof/>
          <w:lang w:eastAsia="fr-FR"/>
        </w:rPr>
        <w:drawing>
          <wp:inline distT="0" distB="0" distL="0" distR="0" wp14:anchorId="699D7850" wp14:editId="591D77E5">
            <wp:extent cx="2878455" cy="2737713"/>
            <wp:effectExtent l="0" t="0" r="0" b="5715"/>
            <wp:docPr id="1" name="Picture 1" descr="C:\Users\marosemond\Documents\formation personnelle marc\memoireEdnie\memoireEdnie\evolution de la rentabil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osemond\Documents\formation personnelle marc\memoireEdnie\memoireEdnie\evolution de la rentabilite.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102" r="1863" b="2681"/>
                    <a:stretch/>
                  </pic:blipFill>
                  <pic:spPr bwMode="auto">
                    <a:xfrm>
                      <a:off x="0" y="0"/>
                      <a:ext cx="2947957" cy="2803817"/>
                    </a:xfrm>
                    <a:prstGeom prst="rect">
                      <a:avLst/>
                    </a:prstGeom>
                    <a:noFill/>
                    <a:ln>
                      <a:noFill/>
                    </a:ln>
                    <a:extLst>
                      <a:ext uri="{53640926-AAD7-44D8-BBD7-CCE9431645EC}">
                        <a14:shadowObscured xmlns:a14="http://schemas.microsoft.com/office/drawing/2010/main"/>
                      </a:ext>
                    </a:extLst>
                  </pic:spPr>
                </pic:pic>
              </a:graphicData>
            </a:graphic>
          </wp:inline>
        </w:drawing>
      </w:r>
      <w:r w:rsidRPr="00EC6F66">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EC6F66">
        <w:rPr>
          <w:rFonts w:ascii="Times New Roman" w:hAnsi="Times New Roman" w:cs="Times New Roman"/>
          <w:noProof/>
          <w:lang w:eastAsia="fr-FR"/>
        </w:rPr>
        <w:drawing>
          <wp:inline distT="0" distB="0" distL="0" distR="0" wp14:anchorId="5A8D6189" wp14:editId="7CE39A56">
            <wp:extent cx="3038475" cy="2700381"/>
            <wp:effectExtent l="0" t="0" r="0" b="5080"/>
            <wp:docPr id="2" name="Picture 2" descr="C:\Users\marosemond\Documents\formation personnelle marc\memoireEdnie\memoireEdnie\evolution de l'investiss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osemond\Documents\formation personnelle marc\memoireEdnie\memoireEdnie\evolution de l'investissement.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1478" t="497" r="1186" b="3141"/>
                    <a:stretch/>
                  </pic:blipFill>
                  <pic:spPr bwMode="auto">
                    <a:xfrm>
                      <a:off x="0" y="0"/>
                      <a:ext cx="3063394" cy="2722527"/>
                    </a:xfrm>
                    <a:prstGeom prst="rect">
                      <a:avLst/>
                    </a:prstGeom>
                    <a:noFill/>
                    <a:ln>
                      <a:noFill/>
                    </a:ln>
                    <a:extLst>
                      <a:ext uri="{53640926-AAD7-44D8-BBD7-CCE9431645EC}">
                        <a14:shadowObscured xmlns:a14="http://schemas.microsoft.com/office/drawing/2010/main"/>
                      </a:ext>
                    </a:extLst>
                  </pic:spPr>
                </pic:pic>
              </a:graphicData>
            </a:graphic>
          </wp:inline>
        </w:drawing>
      </w:r>
    </w:p>
    <w:p w14:paraId="5404E356" w14:textId="63427B1A" w:rsidR="003E473F" w:rsidRPr="00170407" w:rsidRDefault="003E473F" w:rsidP="003075FA">
      <w:pPr>
        <w:rPr>
          <w:rFonts w:ascii="Times New Roman" w:hAnsi="Times New Roman" w:cs="Times New Roman"/>
          <w:b/>
          <w:bCs/>
        </w:rPr>
      </w:pPr>
      <w:r>
        <w:rPr>
          <w:rFonts w:ascii="Times New Roman" w:hAnsi="Times New Roman" w:cs="Times New Roman"/>
        </w:rPr>
        <w:tab/>
      </w:r>
      <w:r w:rsidRPr="00170407">
        <w:rPr>
          <w:rFonts w:ascii="Times New Roman" w:hAnsi="Times New Roman" w:cs="Times New Roman"/>
          <w:b/>
          <w:bCs/>
          <w:sz w:val="20"/>
        </w:rPr>
        <w:t>Source </w:t>
      </w:r>
      <w:r w:rsidRPr="00170407">
        <w:rPr>
          <w:rFonts w:ascii="Times New Roman" w:hAnsi="Times New Roman" w:cs="Times New Roman"/>
          <w:b/>
          <w:bCs/>
        </w:rPr>
        <w:t xml:space="preserve">: </w:t>
      </w:r>
      <w:r w:rsidR="00170407" w:rsidRPr="00170407">
        <w:rPr>
          <w:rFonts w:ascii="Times New Roman" w:eastAsia="Times New Roman" w:hAnsi="Times New Roman" w:cs="Times New Roman"/>
          <w:b/>
          <w:bCs/>
          <w:color w:val="000000"/>
          <w:sz w:val="20"/>
          <w:szCs w:val="20"/>
          <w:lang w:eastAsia="fr-FR"/>
        </w:rPr>
        <w:t>Compte déplacements des voyageurs en Île-de-France (Île de France Mobilités)</w:t>
      </w:r>
      <w:r w:rsidRPr="00170407">
        <w:rPr>
          <w:rFonts w:ascii="Times New Roman" w:hAnsi="Times New Roman" w:cs="Times New Roman"/>
          <w:b/>
          <w:bCs/>
        </w:rPr>
        <w:tab/>
      </w:r>
      <w:r w:rsidRPr="00170407">
        <w:rPr>
          <w:rFonts w:ascii="Times New Roman" w:hAnsi="Times New Roman" w:cs="Times New Roman"/>
          <w:b/>
          <w:bCs/>
        </w:rPr>
        <w:tab/>
      </w:r>
      <w:r w:rsidRPr="00170407">
        <w:rPr>
          <w:rFonts w:ascii="Times New Roman" w:hAnsi="Times New Roman" w:cs="Times New Roman"/>
          <w:b/>
          <w:bCs/>
        </w:rPr>
        <w:tab/>
      </w:r>
      <w:r w:rsidRPr="00170407">
        <w:rPr>
          <w:rFonts w:ascii="Times New Roman" w:hAnsi="Times New Roman" w:cs="Times New Roman"/>
          <w:b/>
          <w:bCs/>
        </w:rPr>
        <w:tab/>
      </w:r>
      <w:r w:rsidRPr="00170407">
        <w:rPr>
          <w:rFonts w:ascii="Times New Roman" w:hAnsi="Times New Roman" w:cs="Times New Roman"/>
          <w:b/>
          <w:bCs/>
        </w:rPr>
        <w:tab/>
      </w:r>
      <w:r w:rsidRPr="00170407">
        <w:rPr>
          <w:rFonts w:ascii="Times New Roman" w:hAnsi="Times New Roman" w:cs="Times New Roman"/>
          <w:b/>
          <w:bCs/>
        </w:rPr>
        <w:tab/>
      </w:r>
    </w:p>
    <w:p w14:paraId="555DD542" w14:textId="0CD8A066" w:rsidR="005048BA" w:rsidRPr="00A67D27" w:rsidRDefault="005048BA" w:rsidP="00A67D27">
      <w:pPr>
        <w:spacing w:line="240" w:lineRule="auto"/>
        <w:jc w:val="both"/>
        <w:rPr>
          <w:rFonts w:ascii="Times New Roman" w:hAnsi="Times New Roman" w:cs="Times New Roman"/>
          <w:sz w:val="24"/>
        </w:rPr>
      </w:pPr>
      <w:r w:rsidRPr="00A67D27">
        <w:rPr>
          <w:rFonts w:ascii="Times New Roman" w:hAnsi="Times New Roman" w:cs="Times New Roman"/>
          <w:sz w:val="24"/>
        </w:rPr>
        <w:t xml:space="preserve">D’après le graphique ci-dessous, nous pouvons observer que les concours publics suivent une tendance croissante même s’ils ont connu une forte baisse en 2005. </w:t>
      </w:r>
      <w:r w:rsidR="00097E48" w:rsidRPr="00A67D27">
        <w:rPr>
          <w:rFonts w:ascii="Times New Roman" w:hAnsi="Times New Roman" w:cs="Times New Roman"/>
          <w:sz w:val="24"/>
        </w:rPr>
        <w:t xml:space="preserve">De son côté, l’offre commerciale réalisée suit une tendance croissance soutenue depuis le début de la période étudiée. Cette augmentation soutenue de l’offre commerciale réalisée peut s’expliquer par l’évolution des fréquences, l’ouverture de nouvelles lignes ou d’extension de réseau </w:t>
      </w:r>
      <w:r w:rsidR="006E283B" w:rsidRPr="00A67D27">
        <w:rPr>
          <w:rFonts w:ascii="Times New Roman" w:hAnsi="Times New Roman" w:cs="Times New Roman"/>
          <w:sz w:val="24"/>
        </w:rPr>
        <w:t>d’une part, mais aussi par la mise en circulation de nouveaux matériels d’une plus grande capacité</w:t>
      </w:r>
      <w:r w:rsidR="0001304B">
        <w:rPr>
          <w:rFonts w:ascii="Times New Roman" w:hAnsi="Times New Roman" w:cs="Times New Roman"/>
          <w:sz w:val="24"/>
        </w:rPr>
        <w:t>, d’autre part</w:t>
      </w:r>
      <w:r w:rsidR="00960A71" w:rsidRPr="00A67D27">
        <w:rPr>
          <w:rFonts w:ascii="Times New Roman" w:hAnsi="Times New Roman" w:cs="Times New Roman"/>
          <w:sz w:val="24"/>
        </w:rPr>
        <w:t>.</w:t>
      </w:r>
    </w:p>
    <w:p w14:paraId="06461B3B" w14:textId="77777777" w:rsidR="00207F05" w:rsidRDefault="00FD6E85" w:rsidP="00FC0197">
      <w:pPr>
        <w:rPr>
          <w:rFonts w:ascii="Times New Roman" w:hAnsi="Times New Roman" w:cs="Times New Roman"/>
          <w:sz w:val="20"/>
        </w:rPr>
      </w:pPr>
      <w:r w:rsidRPr="00FD6E85">
        <w:rPr>
          <w:rFonts w:ascii="Times New Roman" w:hAnsi="Times New Roman" w:cs="Times New Roman"/>
          <w:noProof/>
          <w:lang w:eastAsia="fr-FR"/>
        </w:rPr>
        <w:lastRenderedPageBreak/>
        <w:drawing>
          <wp:inline distT="0" distB="0" distL="0" distR="0" wp14:anchorId="42A4BFB7" wp14:editId="040DCCA1">
            <wp:extent cx="3030855" cy="2538046"/>
            <wp:effectExtent l="0" t="0" r="0" b="0"/>
            <wp:docPr id="3" name="Picture 3" descr="C:\Users\marosemond\Documents\formation personnelle marc\memoireEdnie\memoireEdnie\Evolution des concours publ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osemond\Documents\formation personnelle marc\memoireEdnie\memoireEdnie\Evolution des concours public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9556" cy="2570454"/>
                    </a:xfrm>
                    <a:prstGeom prst="rect">
                      <a:avLst/>
                    </a:prstGeom>
                    <a:noFill/>
                    <a:ln>
                      <a:noFill/>
                    </a:ln>
                  </pic:spPr>
                </pic:pic>
              </a:graphicData>
            </a:graphic>
          </wp:inline>
        </w:drawing>
      </w:r>
      <w:r w:rsidRPr="00FD6E85">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FD6E85">
        <w:rPr>
          <w:rFonts w:ascii="Times New Roman" w:hAnsi="Times New Roman" w:cs="Times New Roman"/>
          <w:noProof/>
          <w:lang w:eastAsia="fr-FR"/>
        </w:rPr>
        <w:drawing>
          <wp:inline distT="0" distB="0" distL="0" distR="0" wp14:anchorId="692238F5" wp14:editId="72A162CB">
            <wp:extent cx="2801465" cy="2515821"/>
            <wp:effectExtent l="0" t="0" r="0" b="0"/>
            <wp:docPr id="4" name="Picture 4" descr="C:\Users\marosemond\Documents\formation personnelle marc\memoireEdnie\memoireEdnie\Evolution de l'offre commerci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osemond\Documents\formation personnelle marc\memoireEdnie\memoireEdnie\Evolution de l'offre commercial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8882" cy="2540443"/>
                    </a:xfrm>
                    <a:prstGeom prst="rect">
                      <a:avLst/>
                    </a:prstGeom>
                    <a:noFill/>
                    <a:ln>
                      <a:noFill/>
                    </a:ln>
                  </pic:spPr>
                </pic:pic>
              </a:graphicData>
            </a:graphic>
          </wp:inline>
        </w:drawing>
      </w:r>
      <w:r w:rsidR="00FC0197" w:rsidRPr="005048BA">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 xml:space="preserve">  </w:t>
      </w:r>
      <w:r w:rsidR="00FC0197">
        <w:rPr>
          <w:rFonts w:ascii="Times New Roman" w:hAnsi="Times New Roman" w:cs="Times New Roman"/>
          <w:sz w:val="20"/>
        </w:rPr>
        <w:t xml:space="preserve">                               </w:t>
      </w:r>
      <w:r w:rsidR="00FC0197" w:rsidRPr="00207F05">
        <w:rPr>
          <w:rFonts w:ascii="Times New Roman" w:hAnsi="Times New Roman" w:cs="Times New Roman"/>
          <w:sz w:val="20"/>
          <w:szCs w:val="20"/>
        </w:rPr>
        <w:t xml:space="preserve"> </w:t>
      </w:r>
      <w:r w:rsidR="00FC0197" w:rsidRPr="005F5E6C">
        <w:rPr>
          <w:rFonts w:ascii="Times New Roman" w:hAnsi="Times New Roman" w:cs="Times New Roman"/>
          <w:b/>
          <w:bCs/>
          <w:sz w:val="20"/>
          <w:szCs w:val="20"/>
        </w:rPr>
        <w:t>Source :</w:t>
      </w:r>
      <w:r w:rsidR="00207F05" w:rsidRPr="00207F05">
        <w:rPr>
          <w:rFonts w:ascii="Times New Roman" w:hAnsi="Times New Roman" w:cs="Times New Roman"/>
          <w:sz w:val="20"/>
          <w:szCs w:val="20"/>
        </w:rPr>
        <w:t xml:space="preserve"> </w:t>
      </w:r>
      <w:r w:rsidR="00207F05" w:rsidRPr="00207F05">
        <w:rPr>
          <w:rFonts w:ascii="Times New Roman" w:eastAsia="Times New Roman" w:hAnsi="Times New Roman" w:cs="Times New Roman"/>
          <w:b/>
          <w:bCs/>
          <w:color w:val="000000"/>
          <w:sz w:val="20"/>
          <w:szCs w:val="20"/>
          <w:lang w:eastAsia="fr-FR"/>
        </w:rPr>
        <w:t>Compte déplacements des voyageurs en Île-de-France (Île de France Mobilités) et</w:t>
      </w:r>
      <w:r w:rsidR="00207F05" w:rsidRPr="00207F05">
        <w:rPr>
          <w:rFonts w:ascii="Times New Roman" w:eastAsia="Times New Roman" w:hAnsi="Times New Roman" w:cs="Times New Roman"/>
          <w:b/>
          <w:color w:val="000000"/>
          <w:sz w:val="20"/>
          <w:szCs w:val="20"/>
          <w:lang w:eastAsia="fr-FR"/>
        </w:rPr>
        <w:t xml:space="preserve"> Île-de-France Mobilités, d'après RATP, </w:t>
      </w:r>
      <w:proofErr w:type="spellStart"/>
      <w:r w:rsidR="00207F05" w:rsidRPr="00207F05">
        <w:rPr>
          <w:rFonts w:ascii="Times New Roman" w:eastAsia="Times New Roman" w:hAnsi="Times New Roman" w:cs="Times New Roman"/>
          <w:b/>
          <w:color w:val="000000"/>
          <w:sz w:val="20"/>
          <w:szCs w:val="20"/>
          <w:lang w:eastAsia="fr-FR"/>
        </w:rPr>
        <w:t>Optile</w:t>
      </w:r>
      <w:proofErr w:type="spellEnd"/>
      <w:r w:rsidR="00207F05" w:rsidRPr="00207F05">
        <w:rPr>
          <w:rFonts w:ascii="Times New Roman" w:eastAsia="Times New Roman" w:hAnsi="Times New Roman" w:cs="Times New Roman"/>
          <w:b/>
          <w:color w:val="000000"/>
          <w:sz w:val="20"/>
          <w:szCs w:val="20"/>
          <w:lang w:eastAsia="fr-FR"/>
        </w:rPr>
        <w:t xml:space="preserve"> et SNCF</w:t>
      </w:r>
      <w:r w:rsidR="00FC0197">
        <w:rPr>
          <w:rFonts w:ascii="Times New Roman" w:hAnsi="Times New Roman" w:cs="Times New Roman"/>
          <w:sz w:val="20"/>
        </w:rPr>
        <w:tab/>
      </w:r>
    </w:p>
    <w:p w14:paraId="701F7D54" w14:textId="275F18C6" w:rsidR="00FC0197" w:rsidRPr="00FC0197" w:rsidRDefault="00FC0197" w:rsidP="00FC0197">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p>
    <w:p w14:paraId="2D8910F6" w14:textId="045C4689" w:rsidR="00E43000" w:rsidRDefault="00E43000" w:rsidP="00E43000">
      <w:pPr>
        <w:jc w:val="center"/>
        <w:rPr>
          <w:rFonts w:ascii="Times New Roman" w:hAnsi="Times New Roman" w:cs="Times New Roman"/>
        </w:rPr>
      </w:pPr>
      <w:r w:rsidRPr="00E43000">
        <w:rPr>
          <w:rFonts w:ascii="Times New Roman" w:hAnsi="Times New Roman" w:cs="Times New Roman"/>
          <w:noProof/>
          <w:lang w:eastAsia="fr-FR"/>
        </w:rPr>
        <w:drawing>
          <wp:inline distT="0" distB="0" distL="0" distR="0" wp14:anchorId="731FC5F6" wp14:editId="24FA540C">
            <wp:extent cx="4123266" cy="3678372"/>
            <wp:effectExtent l="0" t="0" r="0" b="0"/>
            <wp:docPr id="5" name="Picture 5" descr="C:\Users\marosemond\Documents\formation personnelle marc\memoireEdnie\memoireEdnie\rentabilite et investiss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osemond\Documents\formation personnelle marc\memoireEdnie\memoireEdnie\rentabilite et investissemen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51805" cy="3703832"/>
                    </a:xfrm>
                    <a:prstGeom prst="rect">
                      <a:avLst/>
                    </a:prstGeom>
                    <a:noFill/>
                    <a:ln>
                      <a:noFill/>
                    </a:ln>
                  </pic:spPr>
                </pic:pic>
              </a:graphicData>
            </a:graphic>
          </wp:inline>
        </w:drawing>
      </w:r>
    </w:p>
    <w:p w14:paraId="4DB5976C" w14:textId="62823462" w:rsidR="00FC0197" w:rsidRPr="00207F05" w:rsidRDefault="00FC0197" w:rsidP="00FC0197">
      <w:pPr>
        <w:rPr>
          <w:rFonts w:ascii="Times New Roman" w:hAnsi="Times New Roman" w:cs="Times New Roman"/>
          <w:b/>
          <w:bCs/>
        </w:rPr>
      </w:pPr>
      <w:r>
        <w:rPr>
          <w:rFonts w:ascii="Times New Roman" w:hAnsi="Times New Roman" w:cs="Times New Roman"/>
        </w:rPr>
        <w:tab/>
      </w:r>
      <w:r>
        <w:rPr>
          <w:rFonts w:ascii="Times New Roman" w:hAnsi="Times New Roman" w:cs="Times New Roman"/>
        </w:rPr>
        <w:tab/>
      </w:r>
      <w:r w:rsidRPr="00207F05">
        <w:rPr>
          <w:rFonts w:ascii="Times New Roman" w:hAnsi="Times New Roman" w:cs="Times New Roman"/>
          <w:b/>
          <w:bCs/>
          <w:sz w:val="20"/>
        </w:rPr>
        <w:t>Source :</w:t>
      </w:r>
      <w:r w:rsidR="00207F05" w:rsidRPr="00207F05">
        <w:rPr>
          <w:rFonts w:ascii="Times New Roman" w:hAnsi="Times New Roman" w:cs="Times New Roman"/>
          <w:b/>
          <w:bCs/>
          <w:sz w:val="20"/>
        </w:rPr>
        <w:t xml:space="preserve"> </w:t>
      </w:r>
      <w:r w:rsidR="00207F05" w:rsidRPr="00207F05">
        <w:rPr>
          <w:rFonts w:ascii="Times New Roman" w:eastAsia="Times New Roman" w:hAnsi="Times New Roman" w:cs="Times New Roman"/>
          <w:b/>
          <w:bCs/>
          <w:color w:val="000000"/>
          <w:sz w:val="20"/>
          <w:szCs w:val="20"/>
          <w:lang w:eastAsia="fr-FR"/>
        </w:rPr>
        <w:t>Compte déplacements des voyageurs en Île-de-France (Île de France Mobilités)</w:t>
      </w:r>
    </w:p>
    <w:p w14:paraId="7E5C6EA0" w14:textId="59F8561A" w:rsidR="00E43000" w:rsidRPr="00A5417B" w:rsidRDefault="00E43000" w:rsidP="00A5417B">
      <w:pPr>
        <w:jc w:val="both"/>
        <w:rPr>
          <w:rFonts w:ascii="Times New Roman" w:hAnsi="Times New Roman" w:cs="Times New Roman"/>
          <w:sz w:val="24"/>
        </w:rPr>
      </w:pPr>
      <w:r w:rsidRPr="00A5417B">
        <w:rPr>
          <w:rFonts w:ascii="Times New Roman" w:hAnsi="Times New Roman" w:cs="Times New Roman"/>
          <w:sz w:val="24"/>
        </w:rPr>
        <w:t>Le nuage de point montre une relation cr</w:t>
      </w:r>
      <w:r w:rsidR="004453C8">
        <w:rPr>
          <w:rFonts w:ascii="Times New Roman" w:hAnsi="Times New Roman" w:cs="Times New Roman"/>
          <w:sz w:val="24"/>
        </w:rPr>
        <w:t xml:space="preserve">oissante entre la rentabilité </w:t>
      </w:r>
      <w:r w:rsidR="00363C73">
        <w:rPr>
          <w:rFonts w:ascii="Times New Roman" w:hAnsi="Times New Roman" w:cs="Times New Roman"/>
          <w:sz w:val="24"/>
        </w:rPr>
        <w:t xml:space="preserve">économique du service public de transport </w:t>
      </w:r>
      <w:r w:rsidRPr="00A5417B">
        <w:rPr>
          <w:rFonts w:ascii="Times New Roman" w:hAnsi="Times New Roman" w:cs="Times New Roman"/>
          <w:sz w:val="24"/>
        </w:rPr>
        <w:t>et les investissements dans la transition énergétique</w:t>
      </w:r>
      <w:r w:rsidR="009B348E">
        <w:rPr>
          <w:rFonts w:ascii="Times New Roman" w:hAnsi="Times New Roman" w:cs="Times New Roman"/>
          <w:sz w:val="24"/>
        </w:rPr>
        <w:t>. Ainsi, l’augmentation des dépenses d’</w:t>
      </w:r>
      <w:r w:rsidR="00090DB7">
        <w:rPr>
          <w:rFonts w:ascii="Times New Roman" w:hAnsi="Times New Roman" w:cs="Times New Roman"/>
          <w:sz w:val="24"/>
        </w:rPr>
        <w:t>investissement en matériel roulant, même si son objecti</w:t>
      </w:r>
      <w:r w:rsidR="00480218">
        <w:rPr>
          <w:rFonts w:ascii="Times New Roman" w:hAnsi="Times New Roman" w:cs="Times New Roman"/>
          <w:sz w:val="24"/>
        </w:rPr>
        <w:t xml:space="preserve">f </w:t>
      </w:r>
      <w:r w:rsidR="00090DB7">
        <w:rPr>
          <w:rFonts w:ascii="Times New Roman" w:hAnsi="Times New Roman" w:cs="Times New Roman"/>
          <w:sz w:val="24"/>
        </w:rPr>
        <w:t xml:space="preserve">est d’assurer la transition énergétique contribue à une amélioration de la performance du service public. </w:t>
      </w:r>
    </w:p>
    <w:p w14:paraId="3B0CF858" w14:textId="77777777" w:rsidR="00E43000" w:rsidRDefault="00E43000" w:rsidP="00E43000">
      <w:pPr>
        <w:jc w:val="center"/>
        <w:rPr>
          <w:rFonts w:ascii="Times New Roman" w:hAnsi="Times New Roman" w:cs="Times New Roman"/>
        </w:rPr>
      </w:pPr>
      <w:r w:rsidRPr="00E43000">
        <w:rPr>
          <w:rFonts w:ascii="Times New Roman" w:hAnsi="Times New Roman" w:cs="Times New Roman"/>
          <w:noProof/>
          <w:lang w:eastAsia="fr-FR"/>
        </w:rPr>
        <w:lastRenderedPageBreak/>
        <w:drawing>
          <wp:inline distT="0" distB="0" distL="0" distR="0" wp14:anchorId="32771691" wp14:editId="1DA99A16">
            <wp:extent cx="4046855" cy="3246802"/>
            <wp:effectExtent l="0" t="0" r="0" b="0"/>
            <wp:docPr id="6" name="Picture 6" descr="C:\Users\marosemond\Documents\formation personnelle marc\memoireEdnie\memoireEdnie\rentabilite et concours publ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osemond\Documents\formation personnelle marc\memoireEdnie\memoireEdnie\rentabilite et concours public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01135" cy="3290351"/>
                    </a:xfrm>
                    <a:prstGeom prst="rect">
                      <a:avLst/>
                    </a:prstGeom>
                    <a:noFill/>
                    <a:ln>
                      <a:noFill/>
                    </a:ln>
                  </pic:spPr>
                </pic:pic>
              </a:graphicData>
            </a:graphic>
          </wp:inline>
        </w:drawing>
      </w:r>
    </w:p>
    <w:p w14:paraId="3C5B41EF" w14:textId="0872F4A9" w:rsidR="00462218" w:rsidRDefault="00462218" w:rsidP="00462218">
      <w:pPr>
        <w:rPr>
          <w:rFonts w:ascii="Times New Roman" w:eastAsia="Times New Roman" w:hAnsi="Times New Roman" w:cs="Times New Roman"/>
          <w:b/>
          <w:bCs/>
          <w:color w:val="000000"/>
          <w:sz w:val="20"/>
          <w:szCs w:val="20"/>
          <w:lang w:eastAsia="fr-FR"/>
        </w:rPr>
      </w:pPr>
      <w:r w:rsidRPr="00462218">
        <w:rPr>
          <w:rFonts w:ascii="Times New Roman" w:hAnsi="Times New Roman" w:cs="Times New Roman"/>
          <w:sz w:val="20"/>
        </w:rPr>
        <w:tab/>
      </w:r>
      <w:r w:rsidRPr="00317520">
        <w:rPr>
          <w:rFonts w:ascii="Times New Roman" w:hAnsi="Times New Roman" w:cs="Times New Roman"/>
          <w:b/>
          <w:bCs/>
          <w:sz w:val="20"/>
        </w:rPr>
        <w:t>Source :</w:t>
      </w:r>
      <w:r w:rsidR="00317520" w:rsidRPr="00317520">
        <w:rPr>
          <w:rFonts w:ascii="Times New Roman" w:hAnsi="Times New Roman" w:cs="Times New Roman"/>
          <w:b/>
          <w:bCs/>
          <w:sz w:val="20"/>
        </w:rPr>
        <w:t xml:space="preserve"> </w:t>
      </w:r>
      <w:r w:rsidR="00317520" w:rsidRPr="00317520">
        <w:rPr>
          <w:rFonts w:ascii="Times New Roman" w:eastAsia="Times New Roman" w:hAnsi="Times New Roman" w:cs="Times New Roman"/>
          <w:b/>
          <w:bCs/>
          <w:color w:val="000000"/>
          <w:sz w:val="20"/>
          <w:szCs w:val="20"/>
          <w:lang w:eastAsia="fr-FR"/>
        </w:rPr>
        <w:t>Compte déplacements des voyageurs en Île-de-France (Île de France Mobilités)</w:t>
      </w:r>
    </w:p>
    <w:p w14:paraId="3D20A6AD" w14:textId="77777777" w:rsidR="00317520" w:rsidRPr="00317520" w:rsidRDefault="00317520" w:rsidP="00462218">
      <w:pPr>
        <w:rPr>
          <w:rFonts w:ascii="Times New Roman" w:hAnsi="Times New Roman" w:cs="Times New Roman"/>
          <w:b/>
          <w:bCs/>
          <w:sz w:val="20"/>
        </w:rPr>
      </w:pPr>
    </w:p>
    <w:p w14:paraId="7BA02A7F" w14:textId="28A705ED" w:rsidR="00E43000" w:rsidRDefault="00E43000" w:rsidP="002A06AC">
      <w:pPr>
        <w:jc w:val="both"/>
        <w:rPr>
          <w:rFonts w:ascii="Times New Roman" w:hAnsi="Times New Roman" w:cs="Times New Roman"/>
          <w:sz w:val="24"/>
        </w:rPr>
      </w:pPr>
      <w:r w:rsidRPr="00A5417B">
        <w:rPr>
          <w:rFonts w:ascii="Times New Roman" w:hAnsi="Times New Roman" w:cs="Times New Roman"/>
          <w:sz w:val="24"/>
        </w:rPr>
        <w:t>La relation entre les concours publics et la rentabilité est croissante globalement. Cependant, pou</w:t>
      </w:r>
      <w:r w:rsidR="00D1768A" w:rsidRPr="00A5417B">
        <w:rPr>
          <w:rFonts w:ascii="Times New Roman" w:hAnsi="Times New Roman" w:cs="Times New Roman"/>
          <w:sz w:val="24"/>
        </w:rPr>
        <w:t xml:space="preserve">r les concours publics inferieurs à 1.8 milliards, cette relation croissante est moins évidente et </w:t>
      </w:r>
      <w:r w:rsidR="00D1768A" w:rsidRPr="00037B04">
        <w:rPr>
          <w:rFonts w:ascii="Times New Roman" w:hAnsi="Times New Roman" w:cs="Times New Roman"/>
          <w:sz w:val="24"/>
        </w:rPr>
        <w:t>peut même être décroissante</w:t>
      </w:r>
      <w:r w:rsidR="009B348E" w:rsidRPr="00037B04">
        <w:rPr>
          <w:rFonts w:ascii="Times New Roman" w:hAnsi="Times New Roman" w:cs="Times New Roman"/>
          <w:sz w:val="24"/>
        </w:rPr>
        <w:t>.</w:t>
      </w:r>
      <w:r w:rsidR="009B348E">
        <w:rPr>
          <w:rFonts w:ascii="Times New Roman" w:hAnsi="Times New Roman" w:cs="Times New Roman"/>
          <w:sz w:val="24"/>
        </w:rPr>
        <w:t xml:space="preserve"> </w:t>
      </w:r>
      <w:r w:rsidR="00D1768A" w:rsidRPr="00A5417B">
        <w:rPr>
          <w:rFonts w:ascii="Times New Roman" w:hAnsi="Times New Roman" w:cs="Times New Roman"/>
          <w:sz w:val="24"/>
        </w:rPr>
        <w:t xml:space="preserve"> </w:t>
      </w:r>
    </w:p>
    <w:p w14:paraId="2A9B2F17" w14:textId="77777777" w:rsidR="00317520" w:rsidRPr="00A5417B" w:rsidRDefault="00317520" w:rsidP="002A06AC">
      <w:pPr>
        <w:jc w:val="both"/>
        <w:rPr>
          <w:rFonts w:ascii="Times New Roman" w:hAnsi="Times New Roman" w:cs="Times New Roman"/>
          <w:sz w:val="24"/>
        </w:rPr>
      </w:pPr>
    </w:p>
    <w:p w14:paraId="4A8B44DE" w14:textId="5575414D" w:rsidR="00A5417B" w:rsidRDefault="00A5417B" w:rsidP="00A5417B">
      <w:pPr>
        <w:jc w:val="center"/>
        <w:rPr>
          <w:rFonts w:ascii="Times New Roman" w:hAnsi="Times New Roman" w:cs="Times New Roman"/>
        </w:rPr>
      </w:pPr>
      <w:r w:rsidRPr="00A5417B">
        <w:rPr>
          <w:rFonts w:ascii="Times New Roman" w:hAnsi="Times New Roman" w:cs="Times New Roman"/>
          <w:noProof/>
          <w:lang w:eastAsia="fr-FR"/>
        </w:rPr>
        <w:lastRenderedPageBreak/>
        <w:drawing>
          <wp:inline distT="0" distB="0" distL="0" distR="0" wp14:anchorId="0E88F691" wp14:editId="3767D179">
            <wp:extent cx="3767808" cy="3361267"/>
            <wp:effectExtent l="0" t="0" r="4445" b="0"/>
            <wp:docPr id="7" name="Picture 7" descr="C:\Users\marosemond\Documents\formation personnelle marc\memoireEdnie\memoireEdnie\relation rentabilite et offre commerci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rosemond\Documents\formation personnelle marc\memoireEdnie\memoireEdnie\relation rentabilite et offre commercial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92662" cy="3383440"/>
                    </a:xfrm>
                    <a:prstGeom prst="rect">
                      <a:avLst/>
                    </a:prstGeom>
                    <a:noFill/>
                    <a:ln>
                      <a:noFill/>
                    </a:ln>
                  </pic:spPr>
                </pic:pic>
              </a:graphicData>
            </a:graphic>
          </wp:inline>
        </w:drawing>
      </w:r>
    </w:p>
    <w:p w14:paraId="0E570ADB" w14:textId="6083F1C6" w:rsidR="00FD7A19" w:rsidRPr="00317520" w:rsidRDefault="00FD7A19" w:rsidP="00FD7A19">
      <w:pPr>
        <w:rPr>
          <w:rFonts w:ascii="Times New Roman" w:hAnsi="Times New Roman" w:cs="Times New Roman"/>
          <w:b/>
          <w:bCs/>
        </w:rPr>
      </w:pPr>
      <w:r w:rsidRPr="00317520">
        <w:rPr>
          <w:rFonts w:ascii="Times New Roman" w:hAnsi="Times New Roman" w:cs="Times New Roman"/>
          <w:b/>
          <w:bCs/>
          <w:sz w:val="20"/>
        </w:rPr>
        <w:t xml:space="preserve">Source : </w:t>
      </w:r>
      <w:r w:rsidR="00317520" w:rsidRPr="00317520">
        <w:rPr>
          <w:rFonts w:ascii="Times New Roman" w:eastAsia="Times New Roman" w:hAnsi="Times New Roman" w:cs="Times New Roman"/>
          <w:b/>
          <w:bCs/>
          <w:color w:val="000000"/>
          <w:sz w:val="20"/>
          <w:szCs w:val="20"/>
          <w:lang w:eastAsia="fr-FR"/>
        </w:rPr>
        <w:t xml:space="preserve">Compte déplacements des voyageurs en Île-de-France (Île de France Mobilités) et Île-de-France Mobilités, d'après RATP, </w:t>
      </w:r>
      <w:proofErr w:type="spellStart"/>
      <w:r w:rsidR="00317520" w:rsidRPr="00317520">
        <w:rPr>
          <w:rFonts w:ascii="Times New Roman" w:eastAsia="Times New Roman" w:hAnsi="Times New Roman" w:cs="Times New Roman"/>
          <w:b/>
          <w:bCs/>
          <w:color w:val="000000"/>
          <w:sz w:val="20"/>
          <w:szCs w:val="20"/>
          <w:lang w:eastAsia="fr-FR"/>
        </w:rPr>
        <w:t>Optile</w:t>
      </w:r>
      <w:proofErr w:type="spellEnd"/>
      <w:r w:rsidR="00317520" w:rsidRPr="00317520">
        <w:rPr>
          <w:rFonts w:ascii="Times New Roman" w:eastAsia="Times New Roman" w:hAnsi="Times New Roman" w:cs="Times New Roman"/>
          <w:b/>
          <w:bCs/>
          <w:color w:val="000000"/>
          <w:sz w:val="20"/>
          <w:szCs w:val="20"/>
          <w:lang w:eastAsia="fr-FR"/>
        </w:rPr>
        <w:t xml:space="preserve"> et SNCF</w:t>
      </w:r>
      <w:r w:rsidR="00317520" w:rsidRPr="00317520">
        <w:rPr>
          <w:rFonts w:ascii="Times New Roman" w:hAnsi="Times New Roman" w:cs="Times New Roman"/>
          <w:b/>
          <w:bCs/>
          <w:sz w:val="20"/>
        </w:rPr>
        <w:tab/>
      </w:r>
    </w:p>
    <w:p w14:paraId="5BDDE6DE" w14:textId="3E18DDEC" w:rsidR="00A5417B" w:rsidRPr="00A67D27" w:rsidRDefault="00090DB7" w:rsidP="00F851C3">
      <w:pPr>
        <w:jc w:val="both"/>
        <w:rPr>
          <w:rFonts w:ascii="Times New Roman" w:hAnsi="Times New Roman" w:cs="Times New Roman"/>
          <w:sz w:val="24"/>
        </w:rPr>
      </w:pPr>
      <w:r w:rsidRPr="00A67D27">
        <w:rPr>
          <w:rFonts w:ascii="Times New Roman" w:hAnsi="Times New Roman" w:cs="Times New Roman"/>
          <w:sz w:val="24"/>
        </w:rPr>
        <w:t xml:space="preserve">De son côté, la relation entre la rentabilité et l’offre commerciale est croissante également. </w:t>
      </w:r>
      <w:r w:rsidR="00FD7A19" w:rsidRPr="00A67D27">
        <w:rPr>
          <w:rFonts w:ascii="Times New Roman" w:hAnsi="Times New Roman" w:cs="Times New Roman"/>
          <w:sz w:val="24"/>
        </w:rPr>
        <w:t xml:space="preserve">Ceci peut se comprendre par le fait </w:t>
      </w:r>
      <w:r w:rsidR="00720634" w:rsidRPr="00A67D27">
        <w:rPr>
          <w:rFonts w:ascii="Times New Roman" w:hAnsi="Times New Roman" w:cs="Times New Roman"/>
          <w:sz w:val="24"/>
        </w:rPr>
        <w:t xml:space="preserve">qu’une augmentation de l’offre se traduisant par une augmentation des fréquences, l’ouverture de nouvelles lignes </w:t>
      </w:r>
      <w:r w:rsidR="00E13277" w:rsidRPr="00A67D27">
        <w:rPr>
          <w:rFonts w:ascii="Times New Roman" w:hAnsi="Times New Roman" w:cs="Times New Roman"/>
          <w:sz w:val="24"/>
        </w:rPr>
        <w:t>etc.</w:t>
      </w:r>
      <w:r w:rsidR="00720634" w:rsidRPr="00A67D27">
        <w:rPr>
          <w:rFonts w:ascii="Times New Roman" w:hAnsi="Times New Roman" w:cs="Times New Roman"/>
          <w:sz w:val="24"/>
        </w:rPr>
        <w:t xml:space="preserve"> contribue à améliorer la performance du service public </w:t>
      </w:r>
      <w:r w:rsidR="00573C7F" w:rsidRPr="00A67D27">
        <w:rPr>
          <w:rFonts w:ascii="Times New Roman" w:hAnsi="Times New Roman" w:cs="Times New Roman"/>
          <w:sz w:val="24"/>
        </w:rPr>
        <w:t xml:space="preserve">en influençant positivement les recettes tarifaires. </w:t>
      </w:r>
    </w:p>
    <w:p w14:paraId="6AEEB3E7" w14:textId="71A964AD" w:rsidR="00A5417B" w:rsidRPr="00AB2002" w:rsidRDefault="00D47724" w:rsidP="00F61F98">
      <w:pPr>
        <w:pStyle w:val="Titre3"/>
        <w:numPr>
          <w:ilvl w:val="0"/>
          <w:numId w:val="14"/>
        </w:numPr>
        <w:rPr>
          <w:rFonts w:ascii="Times New Roman" w:hAnsi="Times New Roman" w:cs="Times New Roman"/>
          <w:b/>
          <w:bCs/>
        </w:rPr>
      </w:pPr>
      <w:bookmarkStart w:id="37" w:name="_Toc70937416"/>
      <w:r w:rsidRPr="00AB2002">
        <w:rPr>
          <w:rFonts w:ascii="Times New Roman" w:hAnsi="Times New Roman" w:cs="Times New Roman"/>
          <w:b/>
          <w:bCs/>
        </w:rPr>
        <w:t xml:space="preserve">Analyse de </w:t>
      </w:r>
      <w:r w:rsidR="00A5417B" w:rsidRPr="00AB2002">
        <w:rPr>
          <w:rFonts w:ascii="Times New Roman" w:hAnsi="Times New Roman" w:cs="Times New Roman"/>
          <w:b/>
          <w:bCs/>
        </w:rPr>
        <w:t>corrélation</w:t>
      </w:r>
      <w:bookmarkEnd w:id="37"/>
      <w:r w:rsidRPr="00AB2002">
        <w:rPr>
          <w:rFonts w:ascii="Times New Roman" w:hAnsi="Times New Roman" w:cs="Times New Roman"/>
          <w:b/>
          <w:bCs/>
        </w:rPr>
        <w:t xml:space="preserve"> </w:t>
      </w:r>
    </w:p>
    <w:p w14:paraId="48103745" w14:textId="23B1A535" w:rsidR="00CE53FD" w:rsidRPr="00B360A7" w:rsidRDefault="00B360A7" w:rsidP="00CE53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color w:val="000000"/>
          <w:sz w:val="20"/>
          <w:szCs w:val="20"/>
          <w:bdr w:val="none" w:sz="0" w:space="0" w:color="auto" w:frame="1"/>
          <w:lang w:eastAsia="fr-FR"/>
        </w:rPr>
      </w:pPr>
      <w:r w:rsidRPr="00B360A7">
        <w:rPr>
          <w:rFonts w:ascii="Times New Roman" w:eastAsia="Times New Roman" w:hAnsi="Times New Roman" w:cs="Times New Roman"/>
          <w:b/>
          <w:color w:val="000000"/>
          <w:sz w:val="24"/>
          <w:szCs w:val="20"/>
          <w:lang w:eastAsia="fr-FR"/>
        </w:rPr>
        <w:t>Tableau 2 : Corrélation entre les variables</w:t>
      </w:r>
      <w:r w:rsidR="00CE53FD" w:rsidRPr="00B360A7">
        <w:rPr>
          <w:rFonts w:ascii="Lucida Console" w:eastAsia="Times New Roman" w:hAnsi="Lucida Console" w:cs="Courier New"/>
          <w:b/>
          <w:color w:val="000000"/>
          <w:sz w:val="24"/>
          <w:szCs w:val="20"/>
          <w:bdr w:val="none" w:sz="0" w:space="0" w:color="auto" w:frame="1"/>
          <w:lang w:eastAsia="fr-FR"/>
        </w:rPr>
        <w:t xml:space="preserve">     </w:t>
      </w:r>
    </w:p>
    <w:tbl>
      <w:tblPr>
        <w:tblStyle w:val="Tableausimple2"/>
        <w:tblW w:w="9190" w:type="dxa"/>
        <w:tblLook w:val="04A0" w:firstRow="1" w:lastRow="0" w:firstColumn="1" w:lastColumn="0" w:noHBand="0" w:noVBand="1"/>
      </w:tblPr>
      <w:tblGrid>
        <w:gridCol w:w="1890"/>
        <w:gridCol w:w="1434"/>
        <w:gridCol w:w="1808"/>
        <w:gridCol w:w="2052"/>
        <w:gridCol w:w="2006"/>
      </w:tblGrid>
      <w:tr w:rsidR="00E14A66" w:rsidRPr="001D39BA" w14:paraId="59F4B140" w14:textId="77777777" w:rsidTr="00CD2B8E">
        <w:trPr>
          <w:cnfStyle w:val="100000000000" w:firstRow="1" w:lastRow="0" w:firstColumn="0" w:lastColumn="0" w:oddVBand="0" w:evenVBand="0" w:oddHBand="0"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1890" w:type="dxa"/>
            <w:noWrap/>
            <w:vAlign w:val="center"/>
            <w:hideMark/>
          </w:tcPr>
          <w:p w14:paraId="1FCBA0AC" w14:textId="77777777" w:rsidR="00CE53FD" w:rsidRPr="001D39BA" w:rsidRDefault="00CE53FD" w:rsidP="00821B9F">
            <w:pPr>
              <w:jc w:val="center"/>
              <w:rPr>
                <w:rFonts w:ascii="Times New Roman" w:eastAsia="Times New Roman" w:hAnsi="Times New Roman" w:cs="Times New Roman"/>
                <w:sz w:val="24"/>
                <w:szCs w:val="24"/>
                <w:lang w:eastAsia="fr-FR"/>
              </w:rPr>
            </w:pPr>
          </w:p>
        </w:tc>
        <w:tc>
          <w:tcPr>
            <w:tcW w:w="1434" w:type="dxa"/>
            <w:noWrap/>
            <w:vAlign w:val="center"/>
            <w:hideMark/>
          </w:tcPr>
          <w:p w14:paraId="61DF9743" w14:textId="77777777" w:rsidR="00CE53FD" w:rsidRPr="001D39BA" w:rsidRDefault="00E14A66" w:rsidP="00821B9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1D39BA">
              <w:rPr>
                <w:rFonts w:ascii="Times New Roman" w:eastAsia="Times New Roman" w:hAnsi="Times New Roman" w:cs="Times New Roman"/>
                <w:color w:val="000000"/>
                <w:sz w:val="20"/>
                <w:szCs w:val="20"/>
                <w:lang w:eastAsia="fr-FR"/>
              </w:rPr>
              <w:t>Rentabilité</w:t>
            </w:r>
          </w:p>
        </w:tc>
        <w:tc>
          <w:tcPr>
            <w:tcW w:w="1808" w:type="dxa"/>
            <w:noWrap/>
            <w:vAlign w:val="center"/>
            <w:hideMark/>
          </w:tcPr>
          <w:p w14:paraId="59BAC8B2" w14:textId="77777777" w:rsidR="00CE53FD" w:rsidRPr="001D39BA" w:rsidRDefault="00CE53FD" w:rsidP="00821B9F">
            <w:pPr>
              <w:ind w:left="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1D39BA">
              <w:rPr>
                <w:rFonts w:ascii="Times New Roman" w:eastAsia="Times New Roman" w:hAnsi="Times New Roman" w:cs="Times New Roman"/>
                <w:color w:val="000000"/>
                <w:sz w:val="20"/>
                <w:szCs w:val="20"/>
                <w:lang w:eastAsia="fr-FR"/>
              </w:rPr>
              <w:t>Investissement</w:t>
            </w:r>
          </w:p>
        </w:tc>
        <w:tc>
          <w:tcPr>
            <w:tcW w:w="2052" w:type="dxa"/>
            <w:noWrap/>
            <w:vAlign w:val="center"/>
            <w:hideMark/>
          </w:tcPr>
          <w:p w14:paraId="6DB228F5" w14:textId="171A5C97" w:rsidR="00CE53FD" w:rsidRPr="001D39BA" w:rsidRDefault="00CE53FD" w:rsidP="00821B9F">
            <w:pPr>
              <w:ind w:left="746"/>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1D39BA">
              <w:rPr>
                <w:rFonts w:ascii="Times New Roman" w:eastAsia="Times New Roman" w:hAnsi="Times New Roman" w:cs="Times New Roman"/>
                <w:color w:val="000000"/>
                <w:sz w:val="20"/>
                <w:szCs w:val="20"/>
                <w:lang w:eastAsia="fr-FR"/>
              </w:rPr>
              <w:t>C</w:t>
            </w:r>
            <w:r w:rsidR="00E13277">
              <w:rPr>
                <w:rFonts w:ascii="Times New Roman" w:eastAsia="Times New Roman" w:hAnsi="Times New Roman" w:cs="Times New Roman"/>
                <w:color w:val="000000"/>
                <w:sz w:val="20"/>
                <w:szCs w:val="20"/>
                <w:lang w:eastAsia="fr-FR"/>
              </w:rPr>
              <w:t xml:space="preserve">oncours </w:t>
            </w:r>
            <w:r w:rsidRPr="001D39BA">
              <w:rPr>
                <w:rFonts w:ascii="Times New Roman" w:eastAsia="Times New Roman" w:hAnsi="Times New Roman" w:cs="Times New Roman"/>
                <w:color w:val="000000"/>
                <w:sz w:val="20"/>
                <w:szCs w:val="20"/>
                <w:lang w:eastAsia="fr-FR"/>
              </w:rPr>
              <w:t xml:space="preserve"> P</w:t>
            </w:r>
            <w:r w:rsidR="00E13277">
              <w:rPr>
                <w:rFonts w:ascii="Times New Roman" w:eastAsia="Times New Roman" w:hAnsi="Times New Roman" w:cs="Times New Roman"/>
                <w:color w:val="000000"/>
                <w:sz w:val="20"/>
                <w:szCs w:val="20"/>
                <w:lang w:eastAsia="fr-FR"/>
              </w:rPr>
              <w:t>ublics</w:t>
            </w:r>
          </w:p>
        </w:tc>
        <w:tc>
          <w:tcPr>
            <w:tcW w:w="2006" w:type="dxa"/>
            <w:noWrap/>
            <w:vAlign w:val="center"/>
            <w:hideMark/>
          </w:tcPr>
          <w:p w14:paraId="66DA261A" w14:textId="2026BF9E" w:rsidR="00CE53FD" w:rsidRPr="001D39BA" w:rsidRDefault="00E13277" w:rsidP="00821B9F">
            <w:pPr>
              <w:ind w:left="576"/>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Pr>
                <w:rFonts w:ascii="Times New Roman" w:eastAsia="Times New Roman" w:hAnsi="Times New Roman" w:cs="Times New Roman"/>
                <w:color w:val="000000"/>
                <w:sz w:val="20"/>
                <w:szCs w:val="20"/>
                <w:lang w:eastAsia="fr-FR"/>
              </w:rPr>
              <w:t>O</w:t>
            </w:r>
            <w:r w:rsidR="00CE53FD" w:rsidRPr="001D39BA">
              <w:rPr>
                <w:rFonts w:ascii="Times New Roman" w:eastAsia="Times New Roman" w:hAnsi="Times New Roman" w:cs="Times New Roman"/>
                <w:color w:val="000000"/>
                <w:sz w:val="20"/>
                <w:szCs w:val="20"/>
                <w:lang w:eastAsia="fr-FR"/>
              </w:rPr>
              <w:t>ffre commerciale</w:t>
            </w:r>
          </w:p>
        </w:tc>
      </w:tr>
      <w:tr w:rsidR="00E14A66" w:rsidRPr="001D39BA" w14:paraId="01556E85" w14:textId="77777777" w:rsidTr="00CD2B8E">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1890" w:type="dxa"/>
            <w:noWrap/>
            <w:vAlign w:val="center"/>
            <w:hideMark/>
          </w:tcPr>
          <w:p w14:paraId="1B40BD1E" w14:textId="77777777" w:rsidR="00CE53FD" w:rsidRPr="0036483C" w:rsidRDefault="00E14A66" w:rsidP="00821B9F">
            <w:pPr>
              <w:jc w:val="center"/>
              <w:rPr>
                <w:rFonts w:ascii="Times New Roman" w:eastAsia="Times New Roman" w:hAnsi="Times New Roman" w:cs="Times New Roman"/>
                <w:bCs w:val="0"/>
                <w:color w:val="000000"/>
                <w:sz w:val="20"/>
                <w:szCs w:val="20"/>
                <w:lang w:eastAsia="fr-FR"/>
              </w:rPr>
            </w:pPr>
            <w:r w:rsidRPr="0036483C">
              <w:rPr>
                <w:rFonts w:ascii="Times New Roman" w:eastAsia="Times New Roman" w:hAnsi="Times New Roman" w:cs="Times New Roman"/>
                <w:bCs w:val="0"/>
                <w:color w:val="000000"/>
                <w:sz w:val="20"/>
                <w:szCs w:val="20"/>
                <w:lang w:eastAsia="fr-FR"/>
              </w:rPr>
              <w:t>Rentabilité</w:t>
            </w:r>
          </w:p>
        </w:tc>
        <w:tc>
          <w:tcPr>
            <w:tcW w:w="1434" w:type="dxa"/>
            <w:noWrap/>
            <w:vAlign w:val="center"/>
            <w:hideMark/>
          </w:tcPr>
          <w:p w14:paraId="1DA3EBB6" w14:textId="77777777" w:rsidR="00CE53FD" w:rsidRPr="001D39BA" w:rsidRDefault="00CE53FD" w:rsidP="00821B9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fr-FR"/>
              </w:rPr>
            </w:pPr>
            <w:r w:rsidRPr="001D39BA">
              <w:rPr>
                <w:rFonts w:ascii="Times New Roman" w:eastAsia="Times New Roman" w:hAnsi="Times New Roman" w:cs="Times New Roman"/>
                <w:color w:val="000000"/>
                <w:lang w:eastAsia="fr-FR"/>
              </w:rPr>
              <w:t>1</w:t>
            </w:r>
          </w:p>
        </w:tc>
        <w:tc>
          <w:tcPr>
            <w:tcW w:w="1808" w:type="dxa"/>
            <w:noWrap/>
            <w:vAlign w:val="center"/>
            <w:hideMark/>
          </w:tcPr>
          <w:p w14:paraId="3496675B" w14:textId="77777777" w:rsidR="00CE53FD" w:rsidRPr="001D39BA" w:rsidRDefault="00CE53FD" w:rsidP="00821B9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fr-FR"/>
              </w:rPr>
            </w:pPr>
            <w:r w:rsidRPr="001D39BA">
              <w:rPr>
                <w:rFonts w:ascii="Times New Roman" w:eastAsia="Times New Roman" w:hAnsi="Times New Roman" w:cs="Times New Roman"/>
                <w:color w:val="000000"/>
                <w:lang w:eastAsia="fr-FR"/>
              </w:rPr>
              <w:t>0.891986</w:t>
            </w:r>
          </w:p>
        </w:tc>
        <w:tc>
          <w:tcPr>
            <w:tcW w:w="2052" w:type="dxa"/>
            <w:noWrap/>
            <w:vAlign w:val="center"/>
            <w:hideMark/>
          </w:tcPr>
          <w:p w14:paraId="0907D76B" w14:textId="77777777" w:rsidR="00CE53FD" w:rsidRPr="001D39BA" w:rsidRDefault="00CE53FD" w:rsidP="00821B9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fr-FR"/>
              </w:rPr>
            </w:pPr>
            <w:r w:rsidRPr="001D39BA">
              <w:rPr>
                <w:rFonts w:ascii="Times New Roman" w:eastAsia="Times New Roman" w:hAnsi="Times New Roman" w:cs="Times New Roman"/>
                <w:color w:val="000000"/>
                <w:lang w:eastAsia="fr-FR"/>
              </w:rPr>
              <w:t>0.7393214</w:t>
            </w:r>
          </w:p>
        </w:tc>
        <w:tc>
          <w:tcPr>
            <w:tcW w:w="2006" w:type="dxa"/>
            <w:noWrap/>
            <w:vAlign w:val="center"/>
            <w:hideMark/>
          </w:tcPr>
          <w:p w14:paraId="0CDFD0AF" w14:textId="77777777" w:rsidR="00CE53FD" w:rsidRPr="001D39BA" w:rsidRDefault="00CE53FD" w:rsidP="00821B9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fr-FR"/>
              </w:rPr>
            </w:pPr>
            <w:r w:rsidRPr="001D39BA">
              <w:rPr>
                <w:rFonts w:ascii="Times New Roman" w:eastAsia="Times New Roman" w:hAnsi="Times New Roman" w:cs="Times New Roman"/>
                <w:color w:val="000000"/>
                <w:lang w:eastAsia="fr-FR"/>
              </w:rPr>
              <w:t>0.9677738</w:t>
            </w:r>
          </w:p>
        </w:tc>
      </w:tr>
      <w:tr w:rsidR="00CE53FD" w:rsidRPr="001D39BA" w14:paraId="37B0899D" w14:textId="77777777" w:rsidTr="00CD2B8E">
        <w:trPr>
          <w:trHeight w:val="491"/>
        </w:trPr>
        <w:tc>
          <w:tcPr>
            <w:cnfStyle w:val="001000000000" w:firstRow="0" w:lastRow="0" w:firstColumn="1" w:lastColumn="0" w:oddVBand="0" w:evenVBand="0" w:oddHBand="0" w:evenHBand="0" w:firstRowFirstColumn="0" w:firstRowLastColumn="0" w:lastRowFirstColumn="0" w:lastRowLastColumn="0"/>
            <w:tcW w:w="1890" w:type="dxa"/>
            <w:noWrap/>
            <w:vAlign w:val="center"/>
            <w:hideMark/>
          </w:tcPr>
          <w:p w14:paraId="457D867C" w14:textId="77777777" w:rsidR="00CE53FD" w:rsidRPr="0036483C" w:rsidRDefault="00CE53FD" w:rsidP="00821B9F">
            <w:pPr>
              <w:jc w:val="center"/>
              <w:rPr>
                <w:rFonts w:ascii="Times New Roman" w:eastAsia="Times New Roman" w:hAnsi="Times New Roman" w:cs="Times New Roman"/>
                <w:bCs w:val="0"/>
                <w:color w:val="000000"/>
                <w:sz w:val="20"/>
                <w:szCs w:val="20"/>
                <w:lang w:eastAsia="fr-FR"/>
              </w:rPr>
            </w:pPr>
            <w:r w:rsidRPr="0036483C">
              <w:rPr>
                <w:rFonts w:ascii="Times New Roman" w:eastAsia="Times New Roman" w:hAnsi="Times New Roman" w:cs="Times New Roman"/>
                <w:bCs w:val="0"/>
                <w:color w:val="000000"/>
                <w:sz w:val="20"/>
                <w:szCs w:val="20"/>
                <w:lang w:eastAsia="fr-FR"/>
              </w:rPr>
              <w:t>Investissement</w:t>
            </w:r>
          </w:p>
        </w:tc>
        <w:tc>
          <w:tcPr>
            <w:tcW w:w="1434" w:type="dxa"/>
            <w:noWrap/>
            <w:vAlign w:val="center"/>
            <w:hideMark/>
          </w:tcPr>
          <w:p w14:paraId="7B9D164A" w14:textId="77777777" w:rsidR="00CE53FD" w:rsidRPr="001D39BA" w:rsidRDefault="00CE53FD" w:rsidP="00821B9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fr-FR"/>
              </w:rPr>
            </w:pPr>
            <w:r w:rsidRPr="001D39BA">
              <w:rPr>
                <w:rFonts w:ascii="Times New Roman" w:eastAsia="Times New Roman" w:hAnsi="Times New Roman" w:cs="Times New Roman"/>
                <w:color w:val="000000"/>
                <w:lang w:eastAsia="fr-FR"/>
              </w:rPr>
              <w:t>0.891986</w:t>
            </w:r>
          </w:p>
        </w:tc>
        <w:tc>
          <w:tcPr>
            <w:tcW w:w="1808" w:type="dxa"/>
            <w:noWrap/>
            <w:vAlign w:val="center"/>
            <w:hideMark/>
          </w:tcPr>
          <w:p w14:paraId="546D18FB" w14:textId="77777777" w:rsidR="00CE53FD" w:rsidRPr="001D39BA" w:rsidRDefault="00CE53FD" w:rsidP="00821B9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fr-FR"/>
              </w:rPr>
            </w:pPr>
            <w:r w:rsidRPr="001D39BA">
              <w:rPr>
                <w:rFonts w:ascii="Times New Roman" w:eastAsia="Times New Roman" w:hAnsi="Times New Roman" w:cs="Times New Roman"/>
                <w:color w:val="000000"/>
                <w:lang w:eastAsia="fr-FR"/>
              </w:rPr>
              <w:t>1</w:t>
            </w:r>
          </w:p>
        </w:tc>
        <w:tc>
          <w:tcPr>
            <w:tcW w:w="2052" w:type="dxa"/>
            <w:noWrap/>
            <w:vAlign w:val="center"/>
            <w:hideMark/>
          </w:tcPr>
          <w:p w14:paraId="78643803" w14:textId="77777777" w:rsidR="00CE53FD" w:rsidRPr="001D39BA" w:rsidRDefault="00CE53FD" w:rsidP="00821B9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fr-FR"/>
              </w:rPr>
            </w:pPr>
            <w:r w:rsidRPr="001D39BA">
              <w:rPr>
                <w:rFonts w:ascii="Times New Roman" w:eastAsia="Times New Roman" w:hAnsi="Times New Roman" w:cs="Times New Roman"/>
                <w:color w:val="000000"/>
                <w:lang w:eastAsia="fr-FR"/>
              </w:rPr>
              <w:t>0.7573601</w:t>
            </w:r>
          </w:p>
        </w:tc>
        <w:tc>
          <w:tcPr>
            <w:tcW w:w="2006" w:type="dxa"/>
            <w:noWrap/>
            <w:vAlign w:val="center"/>
            <w:hideMark/>
          </w:tcPr>
          <w:p w14:paraId="37C5BB55" w14:textId="77777777" w:rsidR="00CE53FD" w:rsidRPr="001D39BA" w:rsidRDefault="00CE53FD" w:rsidP="00821B9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fr-FR"/>
              </w:rPr>
            </w:pPr>
            <w:r w:rsidRPr="001D39BA">
              <w:rPr>
                <w:rFonts w:ascii="Times New Roman" w:eastAsia="Times New Roman" w:hAnsi="Times New Roman" w:cs="Times New Roman"/>
                <w:color w:val="000000"/>
                <w:lang w:eastAsia="fr-FR"/>
              </w:rPr>
              <w:t>0.8268639</w:t>
            </w:r>
          </w:p>
        </w:tc>
      </w:tr>
      <w:tr w:rsidR="00E14A66" w:rsidRPr="001D39BA" w14:paraId="21849F40" w14:textId="77777777" w:rsidTr="00CD2B8E">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1890" w:type="dxa"/>
            <w:noWrap/>
            <w:vAlign w:val="center"/>
            <w:hideMark/>
          </w:tcPr>
          <w:p w14:paraId="0A9C2ECB" w14:textId="1D136B46" w:rsidR="00CE53FD" w:rsidRPr="0036483C" w:rsidRDefault="00CE53FD" w:rsidP="00821B9F">
            <w:pPr>
              <w:jc w:val="center"/>
              <w:rPr>
                <w:rFonts w:ascii="Times New Roman" w:eastAsia="Times New Roman" w:hAnsi="Times New Roman" w:cs="Times New Roman"/>
                <w:bCs w:val="0"/>
                <w:color w:val="000000"/>
                <w:sz w:val="20"/>
                <w:szCs w:val="20"/>
                <w:lang w:eastAsia="fr-FR"/>
              </w:rPr>
            </w:pPr>
            <w:r w:rsidRPr="0036483C">
              <w:rPr>
                <w:rFonts w:ascii="Times New Roman" w:eastAsia="Times New Roman" w:hAnsi="Times New Roman" w:cs="Times New Roman"/>
                <w:bCs w:val="0"/>
                <w:color w:val="000000"/>
                <w:sz w:val="20"/>
                <w:szCs w:val="20"/>
                <w:lang w:eastAsia="fr-FR"/>
              </w:rPr>
              <w:t>C</w:t>
            </w:r>
            <w:r w:rsidR="00E13277" w:rsidRPr="0036483C">
              <w:rPr>
                <w:rFonts w:ascii="Times New Roman" w:eastAsia="Times New Roman" w:hAnsi="Times New Roman" w:cs="Times New Roman"/>
                <w:bCs w:val="0"/>
                <w:color w:val="000000"/>
                <w:sz w:val="20"/>
                <w:szCs w:val="20"/>
                <w:lang w:eastAsia="fr-FR"/>
              </w:rPr>
              <w:t xml:space="preserve">oncours </w:t>
            </w:r>
            <w:r w:rsidRPr="0036483C">
              <w:rPr>
                <w:rFonts w:ascii="Times New Roman" w:eastAsia="Times New Roman" w:hAnsi="Times New Roman" w:cs="Times New Roman"/>
                <w:bCs w:val="0"/>
                <w:color w:val="000000"/>
                <w:sz w:val="20"/>
                <w:szCs w:val="20"/>
                <w:lang w:eastAsia="fr-FR"/>
              </w:rPr>
              <w:t xml:space="preserve"> P</w:t>
            </w:r>
            <w:r w:rsidR="00E13277" w:rsidRPr="0036483C">
              <w:rPr>
                <w:rFonts w:ascii="Times New Roman" w:eastAsia="Times New Roman" w:hAnsi="Times New Roman" w:cs="Times New Roman"/>
                <w:bCs w:val="0"/>
                <w:color w:val="000000"/>
                <w:sz w:val="20"/>
                <w:szCs w:val="20"/>
                <w:lang w:eastAsia="fr-FR"/>
              </w:rPr>
              <w:t xml:space="preserve">ublics </w:t>
            </w:r>
          </w:p>
        </w:tc>
        <w:tc>
          <w:tcPr>
            <w:tcW w:w="1434" w:type="dxa"/>
            <w:noWrap/>
            <w:vAlign w:val="center"/>
            <w:hideMark/>
          </w:tcPr>
          <w:p w14:paraId="24BBE4A9" w14:textId="77777777" w:rsidR="00CE53FD" w:rsidRPr="001D39BA" w:rsidRDefault="00CE53FD" w:rsidP="00821B9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fr-FR"/>
              </w:rPr>
            </w:pPr>
            <w:r w:rsidRPr="001D39BA">
              <w:rPr>
                <w:rFonts w:ascii="Times New Roman" w:eastAsia="Times New Roman" w:hAnsi="Times New Roman" w:cs="Times New Roman"/>
                <w:color w:val="000000"/>
                <w:lang w:eastAsia="fr-FR"/>
              </w:rPr>
              <w:t>0.7393214</w:t>
            </w:r>
          </w:p>
        </w:tc>
        <w:tc>
          <w:tcPr>
            <w:tcW w:w="1808" w:type="dxa"/>
            <w:noWrap/>
            <w:vAlign w:val="center"/>
            <w:hideMark/>
          </w:tcPr>
          <w:p w14:paraId="573FE2BD" w14:textId="77777777" w:rsidR="00CE53FD" w:rsidRPr="001D39BA" w:rsidRDefault="00CE53FD" w:rsidP="00821B9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fr-FR"/>
              </w:rPr>
            </w:pPr>
            <w:r w:rsidRPr="001D39BA">
              <w:rPr>
                <w:rFonts w:ascii="Times New Roman" w:eastAsia="Times New Roman" w:hAnsi="Times New Roman" w:cs="Times New Roman"/>
                <w:color w:val="000000"/>
                <w:lang w:eastAsia="fr-FR"/>
              </w:rPr>
              <w:t>0.7573601</w:t>
            </w:r>
          </w:p>
        </w:tc>
        <w:tc>
          <w:tcPr>
            <w:tcW w:w="2052" w:type="dxa"/>
            <w:noWrap/>
            <w:vAlign w:val="center"/>
            <w:hideMark/>
          </w:tcPr>
          <w:p w14:paraId="48EA411B" w14:textId="77777777" w:rsidR="00CE53FD" w:rsidRPr="001D39BA" w:rsidRDefault="00CE53FD" w:rsidP="00821B9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fr-FR"/>
              </w:rPr>
            </w:pPr>
            <w:r w:rsidRPr="001D39BA">
              <w:rPr>
                <w:rFonts w:ascii="Times New Roman" w:eastAsia="Times New Roman" w:hAnsi="Times New Roman" w:cs="Times New Roman"/>
                <w:color w:val="000000"/>
                <w:lang w:eastAsia="fr-FR"/>
              </w:rPr>
              <w:t>1</w:t>
            </w:r>
          </w:p>
        </w:tc>
        <w:tc>
          <w:tcPr>
            <w:tcW w:w="2006" w:type="dxa"/>
            <w:noWrap/>
            <w:vAlign w:val="center"/>
            <w:hideMark/>
          </w:tcPr>
          <w:p w14:paraId="5DD0777B" w14:textId="77777777" w:rsidR="00CE53FD" w:rsidRPr="001D39BA" w:rsidRDefault="00CE53FD" w:rsidP="00821B9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fr-FR"/>
              </w:rPr>
            </w:pPr>
            <w:r w:rsidRPr="001D39BA">
              <w:rPr>
                <w:rFonts w:ascii="Times New Roman" w:eastAsia="Times New Roman" w:hAnsi="Times New Roman" w:cs="Times New Roman"/>
                <w:color w:val="000000"/>
                <w:lang w:eastAsia="fr-FR"/>
              </w:rPr>
              <w:t>0.6468394</w:t>
            </w:r>
          </w:p>
        </w:tc>
      </w:tr>
      <w:tr w:rsidR="00CE53FD" w:rsidRPr="001D39BA" w14:paraId="208E896D" w14:textId="77777777" w:rsidTr="00CD2B8E">
        <w:trPr>
          <w:trHeight w:val="491"/>
        </w:trPr>
        <w:tc>
          <w:tcPr>
            <w:cnfStyle w:val="001000000000" w:firstRow="0" w:lastRow="0" w:firstColumn="1" w:lastColumn="0" w:oddVBand="0" w:evenVBand="0" w:oddHBand="0" w:evenHBand="0" w:firstRowFirstColumn="0" w:firstRowLastColumn="0" w:lastRowFirstColumn="0" w:lastRowLastColumn="0"/>
            <w:tcW w:w="1890" w:type="dxa"/>
            <w:noWrap/>
            <w:vAlign w:val="center"/>
            <w:hideMark/>
          </w:tcPr>
          <w:p w14:paraId="77DE0D7F" w14:textId="662A6439" w:rsidR="00CE53FD" w:rsidRPr="0036483C" w:rsidRDefault="00E13277" w:rsidP="00821B9F">
            <w:pPr>
              <w:jc w:val="center"/>
              <w:rPr>
                <w:rFonts w:ascii="Times New Roman" w:eastAsia="Times New Roman" w:hAnsi="Times New Roman" w:cs="Times New Roman"/>
                <w:bCs w:val="0"/>
                <w:color w:val="000000"/>
                <w:sz w:val="20"/>
                <w:szCs w:val="20"/>
                <w:lang w:eastAsia="fr-FR"/>
              </w:rPr>
            </w:pPr>
            <w:r w:rsidRPr="0036483C">
              <w:rPr>
                <w:rFonts w:ascii="Times New Roman" w:eastAsia="Times New Roman" w:hAnsi="Times New Roman" w:cs="Times New Roman"/>
                <w:bCs w:val="0"/>
                <w:color w:val="000000"/>
                <w:sz w:val="20"/>
                <w:szCs w:val="20"/>
                <w:lang w:eastAsia="fr-FR"/>
              </w:rPr>
              <w:t>O</w:t>
            </w:r>
            <w:r w:rsidR="00CE53FD" w:rsidRPr="0036483C">
              <w:rPr>
                <w:rFonts w:ascii="Times New Roman" w:eastAsia="Times New Roman" w:hAnsi="Times New Roman" w:cs="Times New Roman"/>
                <w:bCs w:val="0"/>
                <w:color w:val="000000"/>
                <w:sz w:val="20"/>
                <w:szCs w:val="20"/>
                <w:lang w:eastAsia="fr-FR"/>
              </w:rPr>
              <w:t>ffre commerciale</w:t>
            </w:r>
          </w:p>
        </w:tc>
        <w:tc>
          <w:tcPr>
            <w:tcW w:w="1434" w:type="dxa"/>
            <w:noWrap/>
            <w:vAlign w:val="center"/>
            <w:hideMark/>
          </w:tcPr>
          <w:p w14:paraId="1CB8CAA2" w14:textId="77777777" w:rsidR="00CE53FD" w:rsidRPr="001D39BA" w:rsidRDefault="00CE53FD" w:rsidP="00821B9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fr-FR"/>
              </w:rPr>
            </w:pPr>
            <w:r w:rsidRPr="001D39BA">
              <w:rPr>
                <w:rFonts w:ascii="Times New Roman" w:eastAsia="Times New Roman" w:hAnsi="Times New Roman" w:cs="Times New Roman"/>
                <w:color w:val="000000"/>
                <w:lang w:eastAsia="fr-FR"/>
              </w:rPr>
              <w:t>0.9677738</w:t>
            </w:r>
          </w:p>
        </w:tc>
        <w:tc>
          <w:tcPr>
            <w:tcW w:w="1808" w:type="dxa"/>
            <w:noWrap/>
            <w:vAlign w:val="center"/>
            <w:hideMark/>
          </w:tcPr>
          <w:p w14:paraId="78426850" w14:textId="77777777" w:rsidR="00CE53FD" w:rsidRPr="001D39BA" w:rsidRDefault="00CE53FD" w:rsidP="00821B9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fr-FR"/>
              </w:rPr>
            </w:pPr>
            <w:r w:rsidRPr="001D39BA">
              <w:rPr>
                <w:rFonts w:ascii="Times New Roman" w:eastAsia="Times New Roman" w:hAnsi="Times New Roman" w:cs="Times New Roman"/>
                <w:color w:val="000000"/>
                <w:lang w:eastAsia="fr-FR"/>
              </w:rPr>
              <w:t>0.8268639</w:t>
            </w:r>
          </w:p>
        </w:tc>
        <w:tc>
          <w:tcPr>
            <w:tcW w:w="2052" w:type="dxa"/>
            <w:noWrap/>
            <w:vAlign w:val="center"/>
            <w:hideMark/>
          </w:tcPr>
          <w:p w14:paraId="26A8BF7F" w14:textId="77777777" w:rsidR="00CE53FD" w:rsidRPr="001D39BA" w:rsidRDefault="00CE53FD" w:rsidP="00821B9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fr-FR"/>
              </w:rPr>
            </w:pPr>
            <w:r w:rsidRPr="001D39BA">
              <w:rPr>
                <w:rFonts w:ascii="Times New Roman" w:eastAsia="Times New Roman" w:hAnsi="Times New Roman" w:cs="Times New Roman"/>
                <w:color w:val="000000"/>
                <w:lang w:eastAsia="fr-FR"/>
              </w:rPr>
              <w:t>0.6468394</w:t>
            </w:r>
          </w:p>
        </w:tc>
        <w:tc>
          <w:tcPr>
            <w:tcW w:w="2006" w:type="dxa"/>
            <w:noWrap/>
            <w:vAlign w:val="center"/>
            <w:hideMark/>
          </w:tcPr>
          <w:p w14:paraId="32C73D7C" w14:textId="77777777" w:rsidR="00CE53FD" w:rsidRPr="001D39BA" w:rsidRDefault="00CE53FD" w:rsidP="00821B9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fr-FR"/>
              </w:rPr>
            </w:pPr>
            <w:r w:rsidRPr="001D39BA">
              <w:rPr>
                <w:rFonts w:ascii="Times New Roman" w:eastAsia="Times New Roman" w:hAnsi="Times New Roman" w:cs="Times New Roman"/>
                <w:color w:val="000000"/>
                <w:lang w:eastAsia="fr-FR"/>
              </w:rPr>
              <w:t>1</w:t>
            </w:r>
          </w:p>
        </w:tc>
      </w:tr>
    </w:tbl>
    <w:p w14:paraId="173AEA19" w14:textId="369CE6AC" w:rsidR="00D47724" w:rsidRPr="001D39BA" w:rsidRDefault="00821B9F" w:rsidP="00CE53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sz w:val="20"/>
          <w:szCs w:val="20"/>
        </w:rPr>
      </w:pPr>
      <w:r w:rsidRPr="001D39BA">
        <w:rPr>
          <w:rFonts w:ascii="Times New Roman" w:eastAsia="Times New Roman" w:hAnsi="Times New Roman" w:cs="Times New Roman"/>
          <w:b/>
          <w:color w:val="000000"/>
          <w:sz w:val="20"/>
          <w:szCs w:val="20"/>
          <w:lang w:eastAsia="fr-FR"/>
        </w:rPr>
        <w:t xml:space="preserve">Source : </w:t>
      </w:r>
      <w:r w:rsidR="00DE6D6E" w:rsidRPr="00317520">
        <w:rPr>
          <w:rFonts w:ascii="Times New Roman" w:eastAsia="Times New Roman" w:hAnsi="Times New Roman" w:cs="Times New Roman"/>
          <w:b/>
          <w:bCs/>
          <w:color w:val="000000"/>
          <w:sz w:val="20"/>
          <w:szCs w:val="20"/>
          <w:lang w:eastAsia="fr-FR"/>
        </w:rPr>
        <w:t xml:space="preserve">Compte déplacements des voyageurs en Île-de-France (Île de France Mobilités) et Île-de-France Mobilités, d'après RATP, </w:t>
      </w:r>
      <w:proofErr w:type="spellStart"/>
      <w:r w:rsidR="00DE6D6E" w:rsidRPr="00317520">
        <w:rPr>
          <w:rFonts w:ascii="Times New Roman" w:eastAsia="Times New Roman" w:hAnsi="Times New Roman" w:cs="Times New Roman"/>
          <w:b/>
          <w:bCs/>
          <w:color w:val="000000"/>
          <w:sz w:val="20"/>
          <w:szCs w:val="20"/>
          <w:lang w:eastAsia="fr-FR"/>
        </w:rPr>
        <w:t>Optile</w:t>
      </w:r>
      <w:proofErr w:type="spellEnd"/>
      <w:r w:rsidR="00DE6D6E" w:rsidRPr="00317520">
        <w:rPr>
          <w:rFonts w:ascii="Times New Roman" w:eastAsia="Times New Roman" w:hAnsi="Times New Roman" w:cs="Times New Roman"/>
          <w:b/>
          <w:bCs/>
          <w:color w:val="000000"/>
          <w:sz w:val="20"/>
          <w:szCs w:val="20"/>
          <w:lang w:eastAsia="fr-FR"/>
        </w:rPr>
        <w:t xml:space="preserve"> et SNCF</w:t>
      </w:r>
      <w:r w:rsidR="00DE6D6E" w:rsidRPr="00317520">
        <w:rPr>
          <w:rFonts w:ascii="Times New Roman" w:hAnsi="Times New Roman" w:cs="Times New Roman"/>
          <w:b/>
          <w:bCs/>
          <w:sz w:val="20"/>
        </w:rPr>
        <w:tab/>
      </w:r>
    </w:p>
    <w:p w14:paraId="4A339035" w14:textId="77777777" w:rsidR="00821B9F" w:rsidRDefault="00821B9F" w:rsidP="00E14A66">
      <w:pPr>
        <w:jc w:val="both"/>
        <w:rPr>
          <w:rFonts w:ascii="Times New Roman" w:hAnsi="Times New Roman" w:cs="Times New Roman"/>
          <w:sz w:val="24"/>
        </w:rPr>
      </w:pPr>
    </w:p>
    <w:p w14:paraId="4A7845CE" w14:textId="1A9E584F" w:rsidR="00E14A66" w:rsidRDefault="0036483C" w:rsidP="00E14A66">
      <w:pPr>
        <w:jc w:val="both"/>
        <w:rPr>
          <w:rFonts w:ascii="Times New Roman" w:hAnsi="Times New Roman" w:cs="Times New Roman"/>
          <w:sz w:val="24"/>
        </w:rPr>
      </w:pPr>
      <w:r>
        <w:rPr>
          <w:rFonts w:ascii="Times New Roman" w:hAnsi="Times New Roman" w:cs="Times New Roman"/>
          <w:sz w:val="24"/>
        </w:rPr>
        <w:t>La première observation que nous faisons dans ce tableau est que l</w:t>
      </w:r>
      <w:r w:rsidR="00E14A66" w:rsidRPr="00E14A66">
        <w:rPr>
          <w:rFonts w:ascii="Times New Roman" w:hAnsi="Times New Roman" w:cs="Times New Roman"/>
          <w:sz w:val="24"/>
        </w:rPr>
        <w:t>es variables sont corrélées entre elles. En effet, la rentabilité est très fortement corr</w:t>
      </w:r>
      <w:r w:rsidR="00D850B7">
        <w:rPr>
          <w:rFonts w:ascii="Times New Roman" w:hAnsi="Times New Roman" w:cs="Times New Roman"/>
          <w:sz w:val="24"/>
        </w:rPr>
        <w:t xml:space="preserve">élée avec l’offre commerciale </w:t>
      </w:r>
      <w:r w:rsidR="00431520">
        <w:rPr>
          <w:rFonts w:ascii="Times New Roman" w:hAnsi="Times New Roman" w:cs="Times New Roman"/>
          <w:sz w:val="24"/>
        </w:rPr>
        <w:t>réalisée (</w:t>
      </w:r>
      <w:r w:rsidR="00D35DFE">
        <w:rPr>
          <w:rFonts w:ascii="Times New Roman" w:hAnsi="Times New Roman" w:cs="Times New Roman"/>
          <w:sz w:val="24"/>
        </w:rPr>
        <w:t>0.97</w:t>
      </w:r>
      <w:r w:rsidR="00E14A66" w:rsidRPr="00E14A66">
        <w:rPr>
          <w:rFonts w:ascii="Times New Roman" w:hAnsi="Times New Roman" w:cs="Times New Roman"/>
          <w:sz w:val="24"/>
        </w:rPr>
        <w:t>). Cette dernière est fortement corrélée avec les investissements dans la transition é</w:t>
      </w:r>
      <w:r w:rsidR="00431520">
        <w:rPr>
          <w:rFonts w:ascii="Times New Roman" w:hAnsi="Times New Roman" w:cs="Times New Roman"/>
          <w:sz w:val="24"/>
        </w:rPr>
        <w:t>nergétique</w:t>
      </w:r>
      <w:r w:rsidR="00E14A66" w:rsidRPr="00E14A66">
        <w:rPr>
          <w:rFonts w:ascii="Times New Roman" w:hAnsi="Times New Roman" w:cs="Times New Roman"/>
          <w:sz w:val="24"/>
        </w:rPr>
        <w:t xml:space="preserve"> avec une force de corrélation</w:t>
      </w:r>
      <w:r w:rsidR="00D35DFE">
        <w:rPr>
          <w:rFonts w:ascii="Times New Roman" w:hAnsi="Times New Roman" w:cs="Times New Roman"/>
          <w:sz w:val="24"/>
        </w:rPr>
        <w:t xml:space="preserve"> de 0.83</w:t>
      </w:r>
      <w:r w:rsidR="00E14A66" w:rsidRPr="00E14A66">
        <w:rPr>
          <w:rFonts w:ascii="Times New Roman" w:hAnsi="Times New Roman" w:cs="Times New Roman"/>
          <w:sz w:val="24"/>
        </w:rPr>
        <w:t>. Les concours publics ont un lien de co</w:t>
      </w:r>
      <w:r w:rsidR="00E14A66">
        <w:rPr>
          <w:rFonts w:ascii="Times New Roman" w:hAnsi="Times New Roman" w:cs="Times New Roman"/>
          <w:sz w:val="24"/>
        </w:rPr>
        <w:t xml:space="preserve">rrélation plus faible avec </w:t>
      </w:r>
      <w:r w:rsidR="00E14A66">
        <w:rPr>
          <w:rFonts w:ascii="Times New Roman" w:hAnsi="Times New Roman" w:cs="Times New Roman"/>
          <w:sz w:val="24"/>
        </w:rPr>
        <w:lastRenderedPageBreak/>
        <w:t xml:space="preserve">l’offre commerciale (0.65) que les autres variables. Nous </w:t>
      </w:r>
      <w:r w:rsidR="009C6F73">
        <w:rPr>
          <w:rFonts w:ascii="Times New Roman" w:hAnsi="Times New Roman" w:cs="Times New Roman"/>
          <w:sz w:val="24"/>
        </w:rPr>
        <w:t xml:space="preserve">remarquons également </w:t>
      </w:r>
      <w:r w:rsidR="00E14A66">
        <w:rPr>
          <w:rFonts w:ascii="Times New Roman" w:hAnsi="Times New Roman" w:cs="Times New Roman"/>
          <w:sz w:val="24"/>
        </w:rPr>
        <w:t xml:space="preserve">un lien plus fort </w:t>
      </w:r>
      <w:r w:rsidR="00A76402">
        <w:rPr>
          <w:rFonts w:ascii="Times New Roman" w:hAnsi="Times New Roman" w:cs="Times New Roman"/>
          <w:sz w:val="24"/>
        </w:rPr>
        <w:t>existant entre l</w:t>
      </w:r>
      <w:r w:rsidR="00E14A66">
        <w:rPr>
          <w:rFonts w:ascii="Times New Roman" w:hAnsi="Times New Roman" w:cs="Times New Roman"/>
          <w:sz w:val="24"/>
        </w:rPr>
        <w:t>es concours pub</w:t>
      </w:r>
      <w:r w:rsidR="00EE4AA5">
        <w:rPr>
          <w:rFonts w:ascii="Times New Roman" w:hAnsi="Times New Roman" w:cs="Times New Roman"/>
          <w:sz w:val="24"/>
        </w:rPr>
        <w:t xml:space="preserve">lics et les investissements dans la transition </w:t>
      </w:r>
      <w:r w:rsidR="00571828">
        <w:rPr>
          <w:rFonts w:ascii="Times New Roman" w:hAnsi="Times New Roman" w:cs="Times New Roman"/>
          <w:sz w:val="24"/>
        </w:rPr>
        <w:t>énergétique</w:t>
      </w:r>
      <w:r w:rsidR="00EE4AA5">
        <w:rPr>
          <w:rFonts w:ascii="Times New Roman" w:hAnsi="Times New Roman" w:cs="Times New Roman"/>
          <w:sz w:val="24"/>
        </w:rPr>
        <w:t xml:space="preserve"> (0.76). Cependant, ces liens</w:t>
      </w:r>
      <w:r w:rsidR="00D5725B">
        <w:rPr>
          <w:rFonts w:ascii="Times New Roman" w:hAnsi="Times New Roman" w:cs="Times New Roman"/>
          <w:sz w:val="24"/>
        </w:rPr>
        <w:t xml:space="preserve"> ne</w:t>
      </w:r>
      <w:r w:rsidR="00EE4AA5">
        <w:rPr>
          <w:rFonts w:ascii="Times New Roman" w:hAnsi="Times New Roman" w:cs="Times New Roman"/>
          <w:sz w:val="24"/>
        </w:rPr>
        <w:t xml:space="preserve"> sont </w:t>
      </w:r>
      <w:r w:rsidR="00D5725B">
        <w:rPr>
          <w:rFonts w:ascii="Times New Roman" w:hAnsi="Times New Roman" w:cs="Times New Roman"/>
          <w:sz w:val="24"/>
        </w:rPr>
        <w:t xml:space="preserve">que </w:t>
      </w:r>
      <w:r w:rsidR="00EE4AA5">
        <w:rPr>
          <w:rFonts w:ascii="Times New Roman" w:hAnsi="Times New Roman" w:cs="Times New Roman"/>
          <w:sz w:val="24"/>
        </w:rPr>
        <w:t>de</w:t>
      </w:r>
      <w:r w:rsidR="00D5725B">
        <w:rPr>
          <w:rFonts w:ascii="Times New Roman" w:hAnsi="Times New Roman" w:cs="Times New Roman"/>
          <w:sz w:val="24"/>
        </w:rPr>
        <w:t>s</w:t>
      </w:r>
      <w:r w:rsidR="00EE4AA5">
        <w:rPr>
          <w:rFonts w:ascii="Times New Roman" w:hAnsi="Times New Roman" w:cs="Times New Roman"/>
          <w:sz w:val="24"/>
        </w:rPr>
        <w:t xml:space="preserve"> liens de </w:t>
      </w:r>
      <w:r w:rsidR="00571828">
        <w:rPr>
          <w:rFonts w:ascii="Times New Roman" w:hAnsi="Times New Roman" w:cs="Times New Roman"/>
          <w:sz w:val="24"/>
        </w:rPr>
        <w:t>corrélation</w:t>
      </w:r>
      <w:r w:rsidR="00EE4AA5">
        <w:rPr>
          <w:rFonts w:ascii="Times New Roman" w:hAnsi="Times New Roman" w:cs="Times New Roman"/>
          <w:sz w:val="24"/>
        </w:rPr>
        <w:t xml:space="preserve"> et n’</w:t>
      </w:r>
      <w:r w:rsidR="00571828">
        <w:rPr>
          <w:rFonts w:ascii="Times New Roman" w:hAnsi="Times New Roman" w:cs="Times New Roman"/>
          <w:sz w:val="24"/>
        </w:rPr>
        <w:t>établissent</w:t>
      </w:r>
      <w:r w:rsidR="003E4DBD">
        <w:rPr>
          <w:rFonts w:ascii="Times New Roman" w:hAnsi="Times New Roman" w:cs="Times New Roman"/>
          <w:sz w:val="24"/>
        </w:rPr>
        <w:t xml:space="preserve"> pas</w:t>
      </w:r>
      <w:r w:rsidR="00EE4AA5">
        <w:rPr>
          <w:rFonts w:ascii="Times New Roman" w:hAnsi="Times New Roman" w:cs="Times New Roman"/>
          <w:sz w:val="24"/>
        </w:rPr>
        <w:t xml:space="preserve"> de</w:t>
      </w:r>
      <w:r w:rsidR="00D561B2">
        <w:rPr>
          <w:rFonts w:ascii="Times New Roman" w:hAnsi="Times New Roman" w:cs="Times New Roman"/>
          <w:sz w:val="24"/>
        </w:rPr>
        <w:t xml:space="preserve"> </w:t>
      </w:r>
      <w:r w:rsidR="00EE4AA5">
        <w:rPr>
          <w:rFonts w:ascii="Times New Roman" w:hAnsi="Times New Roman" w:cs="Times New Roman"/>
          <w:sz w:val="24"/>
        </w:rPr>
        <w:t>relations causales entre les deux variables</w:t>
      </w:r>
      <w:r w:rsidR="00645EEA">
        <w:rPr>
          <w:rFonts w:ascii="Times New Roman" w:hAnsi="Times New Roman" w:cs="Times New Roman"/>
          <w:sz w:val="24"/>
        </w:rPr>
        <w:t xml:space="preserve">. L’analyse de causalité </w:t>
      </w:r>
      <w:r w:rsidR="003A2D38">
        <w:rPr>
          <w:rFonts w:ascii="Times New Roman" w:hAnsi="Times New Roman" w:cs="Times New Roman"/>
          <w:sz w:val="24"/>
        </w:rPr>
        <w:t xml:space="preserve">effectuée </w:t>
      </w:r>
      <w:r w:rsidR="00645EEA">
        <w:rPr>
          <w:rFonts w:ascii="Times New Roman" w:hAnsi="Times New Roman" w:cs="Times New Roman"/>
          <w:sz w:val="24"/>
        </w:rPr>
        <w:t xml:space="preserve">dans </w:t>
      </w:r>
      <w:r w:rsidR="003A2D38">
        <w:rPr>
          <w:rFonts w:ascii="Times New Roman" w:hAnsi="Times New Roman" w:cs="Times New Roman"/>
          <w:sz w:val="24"/>
        </w:rPr>
        <w:t xml:space="preserve">la section suivante, </w:t>
      </w:r>
      <w:r w:rsidR="00EE4AA5">
        <w:rPr>
          <w:rFonts w:ascii="Times New Roman" w:hAnsi="Times New Roman" w:cs="Times New Roman"/>
          <w:sz w:val="24"/>
        </w:rPr>
        <w:t>nous permettra d’</w:t>
      </w:r>
      <w:r w:rsidR="00571828">
        <w:rPr>
          <w:rFonts w:ascii="Times New Roman" w:hAnsi="Times New Roman" w:cs="Times New Roman"/>
          <w:sz w:val="24"/>
        </w:rPr>
        <w:t>établir</w:t>
      </w:r>
      <w:r w:rsidR="00EE4AA5">
        <w:rPr>
          <w:rFonts w:ascii="Times New Roman" w:hAnsi="Times New Roman" w:cs="Times New Roman"/>
          <w:sz w:val="24"/>
        </w:rPr>
        <w:t xml:space="preserve"> des liens causaux possibles entre les variables.</w:t>
      </w:r>
    </w:p>
    <w:p w14:paraId="134CB419" w14:textId="07FCE702" w:rsidR="000A748A" w:rsidRDefault="00323071" w:rsidP="00E14A66">
      <w:pPr>
        <w:jc w:val="both"/>
        <w:rPr>
          <w:rFonts w:ascii="Times New Roman" w:hAnsi="Times New Roman" w:cs="Times New Roman"/>
          <w:sz w:val="24"/>
        </w:rPr>
      </w:pPr>
      <w:r>
        <w:rPr>
          <w:rFonts w:ascii="Times New Roman" w:hAnsi="Times New Roman" w:cs="Times New Roman"/>
          <w:sz w:val="24"/>
        </w:rPr>
        <w:t xml:space="preserve">Dans la section suivante, nous présenterons les principaux résultats </w:t>
      </w:r>
      <w:r w:rsidR="000A748A">
        <w:rPr>
          <w:rFonts w:ascii="Times New Roman" w:hAnsi="Times New Roman" w:cs="Times New Roman"/>
          <w:sz w:val="24"/>
        </w:rPr>
        <w:t xml:space="preserve">empiriques obtenus suite à l’étude de stationnarité des séries, à l’analyse de causalité et l’estimation du modèle ARDL. </w:t>
      </w:r>
    </w:p>
    <w:p w14:paraId="0C36E882" w14:textId="77777777" w:rsidR="001E3708" w:rsidRDefault="001E3708" w:rsidP="00E14A66">
      <w:pPr>
        <w:jc w:val="both"/>
        <w:rPr>
          <w:rFonts w:ascii="Times New Roman" w:hAnsi="Times New Roman" w:cs="Times New Roman"/>
          <w:sz w:val="24"/>
        </w:rPr>
      </w:pPr>
    </w:p>
    <w:p w14:paraId="705AF028" w14:textId="2E40AA13" w:rsidR="00B506F6" w:rsidRPr="0024531C" w:rsidRDefault="00A5417B" w:rsidP="00E55A18">
      <w:pPr>
        <w:pStyle w:val="Titre2"/>
        <w:numPr>
          <w:ilvl w:val="1"/>
          <w:numId w:val="12"/>
        </w:numPr>
        <w:rPr>
          <w:rFonts w:ascii="Times New Roman" w:hAnsi="Times New Roman" w:cs="Times New Roman"/>
          <w:b/>
          <w:bCs/>
        </w:rPr>
      </w:pPr>
      <w:bookmarkStart w:id="38" w:name="_Toc70937417"/>
      <w:r w:rsidRPr="0024531C">
        <w:rPr>
          <w:rFonts w:ascii="Times New Roman" w:hAnsi="Times New Roman" w:cs="Times New Roman"/>
          <w:b/>
          <w:bCs/>
        </w:rPr>
        <w:t>Résultats</w:t>
      </w:r>
      <w:r w:rsidR="00D47724" w:rsidRPr="0024531C">
        <w:rPr>
          <w:rFonts w:ascii="Times New Roman" w:hAnsi="Times New Roman" w:cs="Times New Roman"/>
          <w:b/>
          <w:bCs/>
        </w:rPr>
        <w:t xml:space="preserve"> empirique</w:t>
      </w:r>
      <w:r w:rsidR="001B74E6" w:rsidRPr="0024531C">
        <w:rPr>
          <w:rFonts w:ascii="Times New Roman" w:hAnsi="Times New Roman" w:cs="Times New Roman"/>
          <w:b/>
          <w:bCs/>
        </w:rPr>
        <w:t>s</w:t>
      </w:r>
      <w:bookmarkEnd w:id="38"/>
      <w:r w:rsidR="00D47724" w:rsidRPr="0024531C">
        <w:rPr>
          <w:rFonts w:ascii="Times New Roman" w:hAnsi="Times New Roman" w:cs="Times New Roman"/>
          <w:b/>
          <w:bCs/>
        </w:rPr>
        <w:t xml:space="preserve"> </w:t>
      </w:r>
    </w:p>
    <w:p w14:paraId="37726F9B" w14:textId="141E9E49" w:rsidR="00D47724" w:rsidRPr="0024531C" w:rsidRDefault="00A5417B" w:rsidP="00F61F98">
      <w:pPr>
        <w:pStyle w:val="Titre3"/>
        <w:numPr>
          <w:ilvl w:val="0"/>
          <w:numId w:val="15"/>
        </w:numPr>
        <w:rPr>
          <w:rFonts w:ascii="Times New Roman" w:hAnsi="Times New Roman" w:cs="Times New Roman"/>
          <w:b/>
          <w:bCs/>
        </w:rPr>
      </w:pPr>
      <w:bookmarkStart w:id="39" w:name="_Toc70937418"/>
      <w:r w:rsidRPr="0024531C">
        <w:rPr>
          <w:rFonts w:ascii="Times New Roman" w:hAnsi="Times New Roman" w:cs="Times New Roman"/>
          <w:b/>
          <w:bCs/>
        </w:rPr>
        <w:t>Stationnarité</w:t>
      </w:r>
      <w:r w:rsidR="00D47724" w:rsidRPr="0024531C">
        <w:rPr>
          <w:rFonts w:ascii="Times New Roman" w:hAnsi="Times New Roman" w:cs="Times New Roman"/>
          <w:b/>
          <w:bCs/>
        </w:rPr>
        <w:t xml:space="preserve"> des </w:t>
      </w:r>
      <w:r w:rsidRPr="0024531C">
        <w:rPr>
          <w:rFonts w:ascii="Times New Roman" w:hAnsi="Times New Roman" w:cs="Times New Roman"/>
          <w:b/>
          <w:bCs/>
        </w:rPr>
        <w:t>séries</w:t>
      </w:r>
      <w:bookmarkEnd w:id="39"/>
      <w:r w:rsidR="00D47724" w:rsidRPr="0024531C">
        <w:rPr>
          <w:rFonts w:ascii="Times New Roman" w:hAnsi="Times New Roman" w:cs="Times New Roman"/>
          <w:b/>
          <w:bCs/>
        </w:rPr>
        <w:t xml:space="preserve"> </w:t>
      </w:r>
    </w:p>
    <w:p w14:paraId="24C1AA36" w14:textId="74855A66" w:rsidR="006F094C" w:rsidRPr="00FC2E3D" w:rsidRDefault="006F094C" w:rsidP="00FC2E3D">
      <w:pPr>
        <w:jc w:val="both"/>
        <w:rPr>
          <w:rFonts w:ascii="Times New Roman" w:hAnsi="Times New Roman" w:cs="Times New Roman"/>
          <w:sz w:val="24"/>
        </w:rPr>
      </w:pPr>
      <w:r w:rsidRPr="00FC2E3D">
        <w:rPr>
          <w:rFonts w:ascii="Times New Roman" w:hAnsi="Times New Roman" w:cs="Times New Roman"/>
          <w:sz w:val="24"/>
        </w:rPr>
        <w:t xml:space="preserve">La </w:t>
      </w:r>
      <w:r w:rsidR="00F923B0" w:rsidRPr="00FC2E3D">
        <w:rPr>
          <w:rFonts w:ascii="Times New Roman" w:hAnsi="Times New Roman" w:cs="Times New Roman"/>
          <w:sz w:val="24"/>
        </w:rPr>
        <w:t>modélisation</w:t>
      </w:r>
      <w:r w:rsidRPr="00FC2E3D">
        <w:rPr>
          <w:rFonts w:ascii="Times New Roman" w:hAnsi="Times New Roman" w:cs="Times New Roman"/>
          <w:sz w:val="24"/>
        </w:rPr>
        <w:t xml:space="preserve"> des </w:t>
      </w:r>
      <w:r w:rsidR="00FC2E3D" w:rsidRPr="00FC2E3D">
        <w:rPr>
          <w:rFonts w:ascii="Times New Roman" w:hAnsi="Times New Roman" w:cs="Times New Roman"/>
          <w:sz w:val="24"/>
        </w:rPr>
        <w:t>séries</w:t>
      </w:r>
      <w:r w:rsidRPr="00FC2E3D">
        <w:rPr>
          <w:rFonts w:ascii="Times New Roman" w:hAnsi="Times New Roman" w:cs="Times New Roman"/>
          <w:sz w:val="24"/>
        </w:rPr>
        <w:t xml:space="preserve"> temporelles suppose une stabilité des processus stochastiques qui les </w:t>
      </w:r>
      <w:r w:rsidR="00FC2E3D" w:rsidRPr="00FC2E3D">
        <w:rPr>
          <w:rFonts w:ascii="Times New Roman" w:hAnsi="Times New Roman" w:cs="Times New Roman"/>
          <w:sz w:val="24"/>
        </w:rPr>
        <w:t>sous-tendent</w:t>
      </w:r>
      <w:r w:rsidRPr="00FC2E3D">
        <w:rPr>
          <w:rFonts w:ascii="Times New Roman" w:hAnsi="Times New Roman" w:cs="Times New Roman"/>
          <w:sz w:val="24"/>
        </w:rPr>
        <w:t xml:space="preserve">. Cette stabilité peut se traduire par des distributions </w:t>
      </w:r>
      <w:r w:rsidR="00FC2E3D" w:rsidRPr="00FC2E3D">
        <w:rPr>
          <w:rFonts w:ascii="Times New Roman" w:hAnsi="Times New Roman" w:cs="Times New Roman"/>
          <w:sz w:val="24"/>
        </w:rPr>
        <w:t>indépendantes</w:t>
      </w:r>
      <w:r w:rsidRPr="00FC2E3D">
        <w:rPr>
          <w:rFonts w:ascii="Times New Roman" w:hAnsi="Times New Roman" w:cs="Times New Roman"/>
          <w:sz w:val="24"/>
        </w:rPr>
        <w:t xml:space="preserve"> et </w:t>
      </w:r>
      <w:r w:rsidR="00FC2E3D" w:rsidRPr="00FC2E3D">
        <w:rPr>
          <w:rFonts w:ascii="Times New Roman" w:hAnsi="Times New Roman" w:cs="Times New Roman"/>
          <w:sz w:val="24"/>
        </w:rPr>
        <w:t>identiquement</w:t>
      </w:r>
      <w:r w:rsidRPr="00FC2E3D">
        <w:rPr>
          <w:rFonts w:ascii="Times New Roman" w:hAnsi="Times New Roman" w:cs="Times New Roman"/>
          <w:sz w:val="24"/>
        </w:rPr>
        <w:t xml:space="preserve"> distribué</w:t>
      </w:r>
      <w:r w:rsidR="00D269D2">
        <w:rPr>
          <w:rFonts w:ascii="Times New Roman" w:hAnsi="Times New Roman" w:cs="Times New Roman"/>
          <w:sz w:val="24"/>
        </w:rPr>
        <w:t>e</w:t>
      </w:r>
      <w:r w:rsidRPr="00FC2E3D">
        <w:rPr>
          <w:rFonts w:ascii="Times New Roman" w:hAnsi="Times New Roman" w:cs="Times New Roman"/>
          <w:sz w:val="24"/>
        </w:rPr>
        <w:t>s des processus stochastiques, auquel cas nous parl</w:t>
      </w:r>
      <w:r w:rsidR="00D269D2">
        <w:rPr>
          <w:rFonts w:ascii="Times New Roman" w:hAnsi="Times New Roman" w:cs="Times New Roman"/>
          <w:sz w:val="24"/>
        </w:rPr>
        <w:t>er</w:t>
      </w:r>
      <w:r w:rsidRPr="00FC2E3D">
        <w:rPr>
          <w:rFonts w:ascii="Times New Roman" w:hAnsi="Times New Roman" w:cs="Times New Roman"/>
          <w:sz w:val="24"/>
        </w:rPr>
        <w:t xml:space="preserve">ons de stationnarité au sens strict. Une </w:t>
      </w:r>
      <w:r w:rsidR="00FC2E3D" w:rsidRPr="00FC2E3D">
        <w:rPr>
          <w:rFonts w:ascii="Times New Roman" w:hAnsi="Times New Roman" w:cs="Times New Roman"/>
          <w:sz w:val="24"/>
        </w:rPr>
        <w:t>deuxième</w:t>
      </w:r>
      <w:r w:rsidRPr="00FC2E3D">
        <w:rPr>
          <w:rFonts w:ascii="Times New Roman" w:hAnsi="Times New Roman" w:cs="Times New Roman"/>
          <w:sz w:val="24"/>
        </w:rPr>
        <w:t xml:space="preserve"> forme de </w:t>
      </w:r>
      <w:r w:rsidR="00FC2E3D" w:rsidRPr="00FC2E3D">
        <w:rPr>
          <w:rFonts w:ascii="Times New Roman" w:hAnsi="Times New Roman" w:cs="Times New Roman"/>
          <w:sz w:val="24"/>
        </w:rPr>
        <w:t>stabilité</w:t>
      </w:r>
      <w:r w:rsidRPr="00FC2E3D">
        <w:rPr>
          <w:rFonts w:ascii="Times New Roman" w:hAnsi="Times New Roman" w:cs="Times New Roman"/>
          <w:sz w:val="24"/>
        </w:rPr>
        <w:t xml:space="preserve"> suppose que la moyenne et la variance de la </w:t>
      </w:r>
      <w:r w:rsidR="00FC2E3D" w:rsidRPr="00FC2E3D">
        <w:rPr>
          <w:rFonts w:ascii="Times New Roman" w:hAnsi="Times New Roman" w:cs="Times New Roman"/>
          <w:sz w:val="24"/>
        </w:rPr>
        <w:t>série</w:t>
      </w:r>
      <w:r w:rsidRPr="00FC2E3D">
        <w:rPr>
          <w:rFonts w:ascii="Times New Roman" w:hAnsi="Times New Roman" w:cs="Times New Roman"/>
          <w:sz w:val="24"/>
        </w:rPr>
        <w:t xml:space="preserve"> reste stable dans le temps. Dans ce cas</w:t>
      </w:r>
      <w:r w:rsidR="00C12E8E">
        <w:rPr>
          <w:rFonts w:ascii="Times New Roman" w:hAnsi="Times New Roman" w:cs="Times New Roman"/>
          <w:sz w:val="24"/>
        </w:rPr>
        <w:t>,</w:t>
      </w:r>
      <w:r w:rsidRPr="00FC2E3D">
        <w:rPr>
          <w:rFonts w:ascii="Times New Roman" w:hAnsi="Times New Roman" w:cs="Times New Roman"/>
          <w:sz w:val="24"/>
        </w:rPr>
        <w:t xml:space="preserve"> nous postul</w:t>
      </w:r>
      <w:r w:rsidR="00D269D2">
        <w:rPr>
          <w:rFonts w:ascii="Times New Roman" w:hAnsi="Times New Roman" w:cs="Times New Roman"/>
          <w:sz w:val="24"/>
        </w:rPr>
        <w:t>er</w:t>
      </w:r>
      <w:r w:rsidRPr="00FC2E3D">
        <w:rPr>
          <w:rFonts w:ascii="Times New Roman" w:hAnsi="Times New Roman" w:cs="Times New Roman"/>
          <w:sz w:val="24"/>
        </w:rPr>
        <w:t xml:space="preserve">ons une stationnarité au sens faible. </w:t>
      </w:r>
      <w:r w:rsidR="00F923B0" w:rsidRPr="00FC2E3D">
        <w:rPr>
          <w:rFonts w:ascii="Times New Roman" w:hAnsi="Times New Roman" w:cs="Times New Roman"/>
          <w:sz w:val="24"/>
        </w:rPr>
        <w:t xml:space="preserve">Ainsi, une </w:t>
      </w:r>
      <w:r w:rsidR="00FC2E3D" w:rsidRPr="00FC2E3D">
        <w:rPr>
          <w:rFonts w:ascii="Times New Roman" w:hAnsi="Times New Roman" w:cs="Times New Roman"/>
          <w:sz w:val="24"/>
        </w:rPr>
        <w:t>série</w:t>
      </w:r>
      <w:r w:rsidR="00F923B0" w:rsidRPr="00FC2E3D">
        <w:rPr>
          <w:rFonts w:ascii="Times New Roman" w:hAnsi="Times New Roman" w:cs="Times New Roman"/>
          <w:sz w:val="24"/>
        </w:rPr>
        <w:t xml:space="preserve"> dont la moyenne et/ou la variance ne sont pas stable</w:t>
      </w:r>
      <w:r w:rsidR="00C12E8E">
        <w:rPr>
          <w:rFonts w:ascii="Times New Roman" w:hAnsi="Times New Roman" w:cs="Times New Roman"/>
          <w:sz w:val="24"/>
        </w:rPr>
        <w:t>s</w:t>
      </w:r>
      <w:r w:rsidR="00F923B0" w:rsidRPr="00FC2E3D">
        <w:rPr>
          <w:rFonts w:ascii="Times New Roman" w:hAnsi="Times New Roman" w:cs="Times New Roman"/>
          <w:sz w:val="24"/>
        </w:rPr>
        <w:t xml:space="preserve"> dans le temps est dite non stationnair</w:t>
      </w:r>
      <w:r w:rsidR="00FC2E3D">
        <w:rPr>
          <w:rFonts w:ascii="Times New Roman" w:hAnsi="Times New Roman" w:cs="Times New Roman"/>
          <w:sz w:val="24"/>
        </w:rPr>
        <w:t>e. Cette non stationnarité peut-</w:t>
      </w:r>
      <w:r w:rsidR="00FC2E3D" w:rsidRPr="00FC2E3D">
        <w:rPr>
          <w:rFonts w:ascii="Times New Roman" w:hAnsi="Times New Roman" w:cs="Times New Roman"/>
          <w:sz w:val="24"/>
        </w:rPr>
        <w:t>être</w:t>
      </w:r>
      <w:r w:rsidR="00F923B0" w:rsidRPr="00FC2E3D">
        <w:rPr>
          <w:rFonts w:ascii="Times New Roman" w:hAnsi="Times New Roman" w:cs="Times New Roman"/>
          <w:sz w:val="24"/>
        </w:rPr>
        <w:t xml:space="preserve"> </w:t>
      </w:r>
      <w:r w:rsidR="00FC2E3D" w:rsidRPr="00FC2E3D">
        <w:rPr>
          <w:rFonts w:ascii="Times New Roman" w:hAnsi="Times New Roman" w:cs="Times New Roman"/>
          <w:sz w:val="24"/>
        </w:rPr>
        <w:t>déterministe</w:t>
      </w:r>
      <w:r w:rsidR="00F923B0" w:rsidRPr="00FC2E3D">
        <w:rPr>
          <w:rFonts w:ascii="Times New Roman" w:hAnsi="Times New Roman" w:cs="Times New Roman"/>
          <w:sz w:val="24"/>
        </w:rPr>
        <w:t xml:space="preserve"> (non stabilité de la </w:t>
      </w:r>
      <w:r w:rsidR="00FC2E3D" w:rsidRPr="00FC2E3D">
        <w:rPr>
          <w:rFonts w:ascii="Times New Roman" w:hAnsi="Times New Roman" w:cs="Times New Roman"/>
          <w:sz w:val="24"/>
        </w:rPr>
        <w:t>moyenne</w:t>
      </w:r>
      <w:r w:rsidR="00F923B0" w:rsidRPr="00FC2E3D">
        <w:rPr>
          <w:rFonts w:ascii="Times New Roman" w:hAnsi="Times New Roman" w:cs="Times New Roman"/>
          <w:sz w:val="24"/>
        </w:rPr>
        <w:t xml:space="preserve">) ou stochastique (variance instable). Si celle-ci n’est pas traitée, elle peut conduire à des </w:t>
      </w:r>
      <w:r w:rsidR="00FC2E3D" w:rsidRPr="00FC2E3D">
        <w:rPr>
          <w:rFonts w:ascii="Times New Roman" w:hAnsi="Times New Roman" w:cs="Times New Roman"/>
          <w:sz w:val="24"/>
        </w:rPr>
        <w:t>régressions</w:t>
      </w:r>
      <w:r w:rsidR="00F923B0" w:rsidRPr="00FC2E3D">
        <w:rPr>
          <w:rFonts w:ascii="Times New Roman" w:hAnsi="Times New Roman" w:cs="Times New Roman"/>
          <w:sz w:val="24"/>
        </w:rPr>
        <w:t xml:space="preserve"> fallacieuses. De ce fait, pour chacune des </w:t>
      </w:r>
      <w:r w:rsidR="00FC2E3D" w:rsidRPr="00FC2E3D">
        <w:rPr>
          <w:rFonts w:ascii="Times New Roman" w:hAnsi="Times New Roman" w:cs="Times New Roman"/>
          <w:sz w:val="24"/>
        </w:rPr>
        <w:t>séries</w:t>
      </w:r>
      <w:r w:rsidR="00F923B0" w:rsidRPr="00FC2E3D">
        <w:rPr>
          <w:rFonts w:ascii="Times New Roman" w:hAnsi="Times New Roman" w:cs="Times New Roman"/>
          <w:sz w:val="24"/>
        </w:rPr>
        <w:t xml:space="preserve">, nous devons </w:t>
      </w:r>
      <w:r w:rsidR="00FC2E3D" w:rsidRPr="00FC2E3D">
        <w:rPr>
          <w:rFonts w:ascii="Times New Roman" w:hAnsi="Times New Roman" w:cs="Times New Roman"/>
          <w:sz w:val="24"/>
        </w:rPr>
        <w:t>vérifier</w:t>
      </w:r>
      <w:r w:rsidR="00F923B0" w:rsidRPr="00FC2E3D">
        <w:rPr>
          <w:rFonts w:ascii="Times New Roman" w:hAnsi="Times New Roman" w:cs="Times New Roman"/>
          <w:sz w:val="24"/>
        </w:rPr>
        <w:t xml:space="preserve"> le </w:t>
      </w:r>
      <w:r w:rsidR="00FC2E3D" w:rsidRPr="00FC2E3D">
        <w:rPr>
          <w:rFonts w:ascii="Times New Roman" w:hAnsi="Times New Roman" w:cs="Times New Roman"/>
          <w:sz w:val="24"/>
        </w:rPr>
        <w:t>caractère</w:t>
      </w:r>
      <w:r w:rsidR="00F923B0" w:rsidRPr="00FC2E3D">
        <w:rPr>
          <w:rFonts w:ascii="Times New Roman" w:hAnsi="Times New Roman" w:cs="Times New Roman"/>
          <w:sz w:val="24"/>
        </w:rPr>
        <w:t xml:space="preserve"> stationnaire ou non de celle-ci. </w:t>
      </w:r>
    </w:p>
    <w:p w14:paraId="34AB970F" w14:textId="20659E30" w:rsidR="00F923B0" w:rsidRDefault="00F923B0" w:rsidP="00FC2E3D">
      <w:pPr>
        <w:jc w:val="both"/>
        <w:rPr>
          <w:rFonts w:ascii="Times New Roman" w:hAnsi="Times New Roman" w:cs="Times New Roman"/>
          <w:sz w:val="24"/>
        </w:rPr>
      </w:pPr>
      <w:r w:rsidRPr="00FC2E3D">
        <w:rPr>
          <w:rFonts w:ascii="Times New Roman" w:hAnsi="Times New Roman" w:cs="Times New Roman"/>
          <w:sz w:val="24"/>
        </w:rPr>
        <w:t xml:space="preserve">Pour </w:t>
      </w:r>
      <w:r w:rsidR="00FC2E3D" w:rsidRPr="00FC2E3D">
        <w:rPr>
          <w:rFonts w:ascii="Times New Roman" w:hAnsi="Times New Roman" w:cs="Times New Roman"/>
          <w:sz w:val="24"/>
        </w:rPr>
        <w:t>vérifier</w:t>
      </w:r>
      <w:r w:rsidRPr="00FC2E3D">
        <w:rPr>
          <w:rFonts w:ascii="Times New Roman" w:hAnsi="Times New Roman" w:cs="Times New Roman"/>
          <w:sz w:val="24"/>
        </w:rPr>
        <w:t xml:space="preserve"> </w:t>
      </w:r>
      <w:r w:rsidR="00F1152A">
        <w:rPr>
          <w:rFonts w:ascii="Times New Roman" w:hAnsi="Times New Roman" w:cs="Times New Roman"/>
          <w:sz w:val="24"/>
        </w:rPr>
        <w:t xml:space="preserve">si </w:t>
      </w:r>
      <w:r w:rsidRPr="00FC2E3D">
        <w:rPr>
          <w:rFonts w:ascii="Times New Roman" w:hAnsi="Times New Roman" w:cs="Times New Roman"/>
          <w:sz w:val="24"/>
        </w:rPr>
        <w:t xml:space="preserve">une </w:t>
      </w:r>
      <w:r w:rsidR="00FC2E3D" w:rsidRPr="00FC2E3D">
        <w:rPr>
          <w:rFonts w:ascii="Times New Roman" w:hAnsi="Times New Roman" w:cs="Times New Roman"/>
          <w:sz w:val="24"/>
        </w:rPr>
        <w:t>série</w:t>
      </w:r>
      <w:r w:rsidRPr="00FC2E3D">
        <w:rPr>
          <w:rFonts w:ascii="Times New Roman" w:hAnsi="Times New Roman" w:cs="Times New Roman"/>
          <w:sz w:val="24"/>
        </w:rPr>
        <w:t xml:space="preserve"> </w:t>
      </w:r>
      <w:r w:rsidR="00C12E8E">
        <w:rPr>
          <w:rFonts w:ascii="Times New Roman" w:hAnsi="Times New Roman" w:cs="Times New Roman"/>
          <w:sz w:val="24"/>
        </w:rPr>
        <w:t>est</w:t>
      </w:r>
      <w:r w:rsidRPr="00FC2E3D">
        <w:rPr>
          <w:rFonts w:ascii="Times New Roman" w:hAnsi="Times New Roman" w:cs="Times New Roman"/>
          <w:sz w:val="24"/>
        </w:rPr>
        <w:t xml:space="preserve"> stationnaire ou non, plusieurs tests ont été </w:t>
      </w:r>
      <w:r w:rsidR="00FC2E3D" w:rsidRPr="00FC2E3D">
        <w:rPr>
          <w:rFonts w:ascii="Times New Roman" w:hAnsi="Times New Roman" w:cs="Times New Roman"/>
          <w:sz w:val="24"/>
        </w:rPr>
        <w:t>développés</w:t>
      </w:r>
      <w:r w:rsidRPr="00FC2E3D">
        <w:rPr>
          <w:rFonts w:ascii="Times New Roman" w:hAnsi="Times New Roman" w:cs="Times New Roman"/>
          <w:sz w:val="24"/>
        </w:rPr>
        <w:t xml:space="preserve">. Les plus connus restent celui de Dickey-Fuller et Dickey-Fuller augmenté (ADF), celui de </w:t>
      </w:r>
      <w:r w:rsidR="00FC2E3D" w:rsidRPr="00FC2E3D">
        <w:rPr>
          <w:rFonts w:ascii="Times New Roman" w:hAnsi="Times New Roman" w:cs="Times New Roman"/>
          <w:sz w:val="24"/>
        </w:rPr>
        <w:t>Philippe</w:t>
      </w:r>
      <w:r w:rsidRPr="00FC2E3D">
        <w:rPr>
          <w:rFonts w:ascii="Times New Roman" w:hAnsi="Times New Roman" w:cs="Times New Roman"/>
          <w:sz w:val="24"/>
        </w:rPr>
        <w:t xml:space="preserve">-Perron (PP) et le KPSS. Chacun de ces tests </w:t>
      </w:r>
      <w:r w:rsidR="00FC2E3D" w:rsidRPr="00FC2E3D">
        <w:rPr>
          <w:rFonts w:ascii="Times New Roman" w:hAnsi="Times New Roman" w:cs="Times New Roman"/>
          <w:sz w:val="24"/>
        </w:rPr>
        <w:t>présente</w:t>
      </w:r>
      <w:r w:rsidRPr="00FC2E3D">
        <w:rPr>
          <w:rFonts w:ascii="Times New Roman" w:hAnsi="Times New Roman" w:cs="Times New Roman"/>
          <w:sz w:val="24"/>
        </w:rPr>
        <w:t xml:space="preserve"> </w:t>
      </w:r>
      <w:r w:rsidR="001B6D3D">
        <w:rPr>
          <w:rFonts w:ascii="Times New Roman" w:hAnsi="Times New Roman" w:cs="Times New Roman"/>
          <w:sz w:val="24"/>
        </w:rPr>
        <w:t xml:space="preserve">certains </w:t>
      </w:r>
      <w:r w:rsidRPr="00FC2E3D">
        <w:rPr>
          <w:rFonts w:ascii="Times New Roman" w:hAnsi="Times New Roman" w:cs="Times New Roman"/>
          <w:sz w:val="24"/>
        </w:rPr>
        <w:t>avanta</w:t>
      </w:r>
      <w:r w:rsidR="00C12E8E">
        <w:rPr>
          <w:rFonts w:ascii="Times New Roman" w:hAnsi="Times New Roman" w:cs="Times New Roman"/>
          <w:sz w:val="24"/>
        </w:rPr>
        <w:t>ges et capte</w:t>
      </w:r>
      <w:r w:rsidRPr="00FC2E3D">
        <w:rPr>
          <w:rFonts w:ascii="Times New Roman" w:hAnsi="Times New Roman" w:cs="Times New Roman"/>
          <w:sz w:val="24"/>
        </w:rPr>
        <w:t xml:space="preserve"> un aspect structurel de la </w:t>
      </w:r>
      <w:r w:rsidR="00FC2E3D" w:rsidRPr="00FC2E3D">
        <w:rPr>
          <w:rFonts w:ascii="Times New Roman" w:hAnsi="Times New Roman" w:cs="Times New Roman"/>
          <w:sz w:val="24"/>
        </w:rPr>
        <w:t>série</w:t>
      </w:r>
      <w:r w:rsidRPr="00FC2E3D">
        <w:rPr>
          <w:rFonts w:ascii="Times New Roman" w:hAnsi="Times New Roman" w:cs="Times New Roman"/>
          <w:sz w:val="24"/>
        </w:rPr>
        <w:t xml:space="preserve">. Le test de Dickey Fuller est efficace en </w:t>
      </w:r>
      <w:r w:rsidR="00FC2E3D" w:rsidRPr="00FC2E3D">
        <w:rPr>
          <w:rFonts w:ascii="Times New Roman" w:hAnsi="Times New Roman" w:cs="Times New Roman"/>
          <w:sz w:val="24"/>
        </w:rPr>
        <w:t>présence</w:t>
      </w:r>
      <w:r w:rsidRPr="00FC2E3D">
        <w:rPr>
          <w:rFonts w:ascii="Times New Roman" w:hAnsi="Times New Roman" w:cs="Times New Roman"/>
          <w:sz w:val="24"/>
        </w:rPr>
        <w:t xml:space="preserve"> d’auto </w:t>
      </w:r>
      <w:r w:rsidR="00FC2E3D" w:rsidRPr="00FC2E3D">
        <w:rPr>
          <w:rFonts w:ascii="Times New Roman" w:hAnsi="Times New Roman" w:cs="Times New Roman"/>
          <w:sz w:val="24"/>
        </w:rPr>
        <w:t>corrélation</w:t>
      </w:r>
      <w:r w:rsidRPr="00FC2E3D">
        <w:rPr>
          <w:rFonts w:ascii="Times New Roman" w:hAnsi="Times New Roman" w:cs="Times New Roman"/>
          <w:sz w:val="24"/>
        </w:rPr>
        <w:t xml:space="preserve"> des erreurs, celui de </w:t>
      </w:r>
      <w:r w:rsidR="00FC2E3D" w:rsidRPr="00FC2E3D">
        <w:rPr>
          <w:rFonts w:ascii="Times New Roman" w:hAnsi="Times New Roman" w:cs="Times New Roman"/>
          <w:sz w:val="24"/>
        </w:rPr>
        <w:t>Philippe</w:t>
      </w:r>
      <w:r w:rsidRPr="00FC2E3D">
        <w:rPr>
          <w:rFonts w:ascii="Times New Roman" w:hAnsi="Times New Roman" w:cs="Times New Roman"/>
          <w:sz w:val="24"/>
        </w:rPr>
        <w:t>-Perron en cas d’</w:t>
      </w:r>
      <w:r w:rsidR="00C12E8E" w:rsidRPr="00C12E8E">
        <w:t xml:space="preserve"> </w:t>
      </w:r>
      <w:r w:rsidR="00B87D83" w:rsidRPr="00C12E8E">
        <w:rPr>
          <w:rFonts w:ascii="Times New Roman" w:hAnsi="Times New Roman" w:cs="Times New Roman"/>
          <w:sz w:val="24"/>
        </w:rPr>
        <w:t>hétéroscédasticité</w:t>
      </w:r>
      <w:r w:rsidR="00C12E8E">
        <w:rPr>
          <w:rFonts w:ascii="Times New Roman" w:hAnsi="Times New Roman" w:cs="Times New Roman"/>
          <w:sz w:val="24"/>
        </w:rPr>
        <w:t xml:space="preserve"> et le</w:t>
      </w:r>
      <w:r w:rsidRPr="00FC2E3D">
        <w:rPr>
          <w:rFonts w:ascii="Times New Roman" w:hAnsi="Times New Roman" w:cs="Times New Roman"/>
          <w:sz w:val="24"/>
        </w:rPr>
        <w:t xml:space="preserve"> KPSS es</w:t>
      </w:r>
      <w:r w:rsidR="00C12E8E">
        <w:rPr>
          <w:rFonts w:ascii="Times New Roman" w:hAnsi="Times New Roman" w:cs="Times New Roman"/>
          <w:sz w:val="24"/>
        </w:rPr>
        <w:t>t</w:t>
      </w:r>
      <w:r w:rsidRPr="00FC2E3D">
        <w:rPr>
          <w:rFonts w:ascii="Times New Roman" w:hAnsi="Times New Roman" w:cs="Times New Roman"/>
          <w:sz w:val="24"/>
        </w:rPr>
        <w:t xml:space="preserve"> un test non </w:t>
      </w:r>
      <w:r w:rsidR="00FC2E3D" w:rsidRPr="00FC2E3D">
        <w:rPr>
          <w:rFonts w:ascii="Times New Roman" w:hAnsi="Times New Roman" w:cs="Times New Roman"/>
          <w:sz w:val="24"/>
        </w:rPr>
        <w:t>paramétrique</w:t>
      </w:r>
      <w:r w:rsidR="00FC2E3D">
        <w:rPr>
          <w:rFonts w:ascii="Times New Roman" w:hAnsi="Times New Roman" w:cs="Times New Roman"/>
          <w:sz w:val="24"/>
        </w:rPr>
        <w:t xml:space="preserve"> dans le</w:t>
      </w:r>
      <w:r w:rsidRPr="00FC2E3D">
        <w:rPr>
          <w:rFonts w:ascii="Times New Roman" w:hAnsi="Times New Roman" w:cs="Times New Roman"/>
          <w:sz w:val="24"/>
        </w:rPr>
        <w:t xml:space="preserve"> cas de la non normalité de la </w:t>
      </w:r>
      <w:r w:rsidR="00FC2E3D" w:rsidRPr="00FC2E3D">
        <w:rPr>
          <w:rFonts w:ascii="Times New Roman" w:hAnsi="Times New Roman" w:cs="Times New Roman"/>
          <w:sz w:val="24"/>
        </w:rPr>
        <w:t>série</w:t>
      </w:r>
      <w:r w:rsidRPr="00FC2E3D">
        <w:rPr>
          <w:rFonts w:ascii="Times New Roman" w:hAnsi="Times New Roman" w:cs="Times New Roman"/>
          <w:sz w:val="24"/>
        </w:rPr>
        <w:t xml:space="preserve">. </w:t>
      </w:r>
      <w:r w:rsidR="00FC2E3D" w:rsidRPr="00FC2E3D">
        <w:rPr>
          <w:rFonts w:ascii="Times New Roman" w:hAnsi="Times New Roman" w:cs="Times New Roman"/>
          <w:sz w:val="24"/>
        </w:rPr>
        <w:t>Dans ce travail, nous ferons les tests</w:t>
      </w:r>
      <w:r w:rsidR="00C12E8E">
        <w:rPr>
          <w:rFonts w:ascii="Times New Roman" w:hAnsi="Times New Roman" w:cs="Times New Roman"/>
          <w:sz w:val="24"/>
        </w:rPr>
        <w:t>, ADF, PP et KPSS,</w:t>
      </w:r>
      <w:r w:rsidR="00FC2E3D" w:rsidRPr="00FC2E3D">
        <w:rPr>
          <w:rFonts w:ascii="Times New Roman" w:hAnsi="Times New Roman" w:cs="Times New Roman"/>
          <w:sz w:val="24"/>
        </w:rPr>
        <w:t xml:space="preserve"> et pour </w:t>
      </w:r>
      <w:r w:rsidR="00612088">
        <w:rPr>
          <w:rFonts w:ascii="Times New Roman" w:hAnsi="Times New Roman" w:cs="Times New Roman"/>
          <w:sz w:val="24"/>
        </w:rPr>
        <w:t>prendre une</w:t>
      </w:r>
      <w:r w:rsidR="00FC2E3D" w:rsidRPr="00FC2E3D">
        <w:rPr>
          <w:rFonts w:ascii="Times New Roman" w:hAnsi="Times New Roman" w:cs="Times New Roman"/>
          <w:sz w:val="24"/>
        </w:rPr>
        <w:t xml:space="preserve"> décision finale, nous devons avoir une confirmation avec deux tests au moi</w:t>
      </w:r>
      <w:r w:rsidR="00C12E8E">
        <w:rPr>
          <w:rFonts w:ascii="Times New Roman" w:hAnsi="Times New Roman" w:cs="Times New Roman"/>
          <w:sz w:val="24"/>
        </w:rPr>
        <w:t>n</w:t>
      </w:r>
      <w:r w:rsidR="00FC2E3D" w:rsidRPr="00FC2E3D">
        <w:rPr>
          <w:rFonts w:ascii="Times New Roman" w:hAnsi="Times New Roman" w:cs="Times New Roman"/>
          <w:sz w:val="24"/>
        </w:rPr>
        <w:t xml:space="preserve">s sur les trois. </w:t>
      </w:r>
    </w:p>
    <w:p w14:paraId="5FCBB3BB" w14:textId="24BAEC52" w:rsidR="00A10DEE" w:rsidRDefault="00A10DEE" w:rsidP="00FC2E3D">
      <w:pPr>
        <w:jc w:val="both"/>
        <w:rPr>
          <w:rFonts w:ascii="Times New Roman" w:hAnsi="Times New Roman" w:cs="Times New Roman"/>
          <w:sz w:val="24"/>
        </w:rPr>
      </w:pPr>
    </w:p>
    <w:p w14:paraId="3208C208" w14:textId="1508883F" w:rsidR="00A10DEE" w:rsidRDefault="00A10DEE" w:rsidP="00FC2E3D">
      <w:pPr>
        <w:jc w:val="both"/>
        <w:rPr>
          <w:rFonts w:ascii="Times New Roman" w:hAnsi="Times New Roman" w:cs="Times New Roman"/>
          <w:sz w:val="24"/>
        </w:rPr>
      </w:pPr>
    </w:p>
    <w:p w14:paraId="035F9C7A" w14:textId="0602A1A8" w:rsidR="00A10DEE" w:rsidRDefault="00A10DEE" w:rsidP="00FC2E3D">
      <w:pPr>
        <w:jc w:val="both"/>
        <w:rPr>
          <w:rFonts w:ascii="Times New Roman" w:hAnsi="Times New Roman" w:cs="Times New Roman"/>
          <w:sz w:val="24"/>
        </w:rPr>
      </w:pPr>
    </w:p>
    <w:p w14:paraId="2E005963" w14:textId="5E71FD03" w:rsidR="00A10DEE" w:rsidRDefault="00A10DEE" w:rsidP="00FC2E3D">
      <w:pPr>
        <w:jc w:val="both"/>
        <w:rPr>
          <w:rFonts w:ascii="Times New Roman" w:hAnsi="Times New Roman" w:cs="Times New Roman"/>
          <w:sz w:val="24"/>
        </w:rPr>
      </w:pPr>
    </w:p>
    <w:p w14:paraId="560431F5" w14:textId="79FD63FC" w:rsidR="00A10DEE" w:rsidRDefault="00A10DEE" w:rsidP="00FC2E3D">
      <w:pPr>
        <w:jc w:val="both"/>
        <w:rPr>
          <w:rFonts w:ascii="Times New Roman" w:hAnsi="Times New Roman" w:cs="Times New Roman"/>
          <w:sz w:val="24"/>
        </w:rPr>
      </w:pPr>
    </w:p>
    <w:p w14:paraId="08F1AE8A" w14:textId="3AC19E81" w:rsidR="00A10DEE" w:rsidRDefault="00A10DEE" w:rsidP="00FC2E3D">
      <w:pPr>
        <w:jc w:val="both"/>
        <w:rPr>
          <w:rFonts w:ascii="Times New Roman" w:hAnsi="Times New Roman" w:cs="Times New Roman"/>
          <w:sz w:val="24"/>
        </w:rPr>
      </w:pPr>
    </w:p>
    <w:p w14:paraId="30EA8172" w14:textId="2F74D04D" w:rsidR="00A10DEE" w:rsidRDefault="00A10DEE" w:rsidP="00FC2E3D">
      <w:pPr>
        <w:jc w:val="both"/>
        <w:rPr>
          <w:rFonts w:ascii="Times New Roman" w:hAnsi="Times New Roman" w:cs="Times New Roman"/>
          <w:sz w:val="24"/>
        </w:rPr>
      </w:pPr>
    </w:p>
    <w:p w14:paraId="2F67E44E" w14:textId="34874D63" w:rsidR="00A10DEE" w:rsidRDefault="00A10DEE" w:rsidP="00FC2E3D">
      <w:pPr>
        <w:jc w:val="both"/>
        <w:rPr>
          <w:rFonts w:ascii="Times New Roman" w:hAnsi="Times New Roman" w:cs="Times New Roman"/>
          <w:sz w:val="24"/>
        </w:rPr>
      </w:pPr>
    </w:p>
    <w:p w14:paraId="45B09F70" w14:textId="23E168AD" w:rsidR="00F1152A" w:rsidRDefault="00F1152A" w:rsidP="00FC2E3D">
      <w:pPr>
        <w:jc w:val="both"/>
        <w:rPr>
          <w:rFonts w:ascii="Times New Roman" w:hAnsi="Times New Roman" w:cs="Times New Roman"/>
          <w:sz w:val="24"/>
        </w:rPr>
      </w:pPr>
    </w:p>
    <w:p w14:paraId="19797849" w14:textId="77777777" w:rsidR="00F1152A" w:rsidRDefault="00F1152A" w:rsidP="00FC2E3D">
      <w:pPr>
        <w:jc w:val="both"/>
        <w:rPr>
          <w:rFonts w:ascii="Times New Roman" w:hAnsi="Times New Roman" w:cs="Times New Roman"/>
          <w:sz w:val="24"/>
        </w:rPr>
      </w:pPr>
    </w:p>
    <w:p w14:paraId="0A87C20B" w14:textId="152BDFB0" w:rsidR="00C12E8E" w:rsidRPr="00137DFC" w:rsidRDefault="00C12E8E" w:rsidP="00FC2E3D">
      <w:pPr>
        <w:jc w:val="both"/>
        <w:rPr>
          <w:rFonts w:ascii="Times New Roman" w:hAnsi="Times New Roman" w:cs="Times New Roman"/>
          <w:b/>
          <w:sz w:val="24"/>
          <w:szCs w:val="24"/>
        </w:rPr>
      </w:pPr>
      <w:r w:rsidRPr="00137DFC">
        <w:rPr>
          <w:rFonts w:ascii="Times New Roman" w:hAnsi="Times New Roman" w:cs="Times New Roman"/>
          <w:b/>
          <w:color w:val="000000"/>
          <w:sz w:val="24"/>
          <w:szCs w:val="24"/>
          <w:lang w:val="fr-CA"/>
        </w:rPr>
        <w:t>Tableau 3 : Résultats des tests de Stationnarité</w:t>
      </w:r>
    </w:p>
    <w:tbl>
      <w:tblPr>
        <w:tblStyle w:val="Tableausimple2"/>
        <w:tblW w:w="9321" w:type="dxa"/>
        <w:tblLook w:val="04A0" w:firstRow="1" w:lastRow="0" w:firstColumn="1" w:lastColumn="0" w:noHBand="0" w:noVBand="1"/>
      </w:tblPr>
      <w:tblGrid>
        <w:gridCol w:w="1954"/>
        <w:gridCol w:w="800"/>
        <w:gridCol w:w="800"/>
        <w:gridCol w:w="801"/>
        <w:gridCol w:w="900"/>
        <w:gridCol w:w="900"/>
        <w:gridCol w:w="833"/>
        <w:gridCol w:w="2333"/>
      </w:tblGrid>
      <w:tr w:rsidR="000502D0" w:rsidRPr="005B7E42" w14:paraId="7FB1FF25" w14:textId="77777777" w:rsidTr="00C12E8E">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54" w:type="dxa"/>
            <w:vMerge w:val="restart"/>
          </w:tcPr>
          <w:p w14:paraId="052F680A" w14:textId="77777777" w:rsidR="00662C4B" w:rsidRPr="005B7E42" w:rsidRDefault="00662C4B" w:rsidP="00662C4B">
            <w:pPr>
              <w:autoSpaceDE w:val="0"/>
              <w:adjustRightInd w:val="0"/>
              <w:spacing w:line="360" w:lineRule="auto"/>
              <w:jc w:val="center"/>
              <w:rPr>
                <w:rFonts w:ascii="Times New Roman" w:hAnsi="Times New Roman" w:cs="Times New Roman"/>
                <w:b w:val="0"/>
                <w:color w:val="000000"/>
                <w:sz w:val="20"/>
                <w:szCs w:val="20"/>
                <w:lang w:val="fr-CA"/>
              </w:rPr>
            </w:pPr>
            <w:r w:rsidRPr="005B7E42">
              <w:rPr>
                <w:rFonts w:ascii="Times New Roman" w:hAnsi="Times New Roman" w:cs="Times New Roman"/>
                <w:b w:val="0"/>
                <w:color w:val="000000"/>
                <w:sz w:val="20"/>
                <w:szCs w:val="20"/>
                <w:lang w:val="fr-CA"/>
              </w:rPr>
              <w:t>Variables</w:t>
            </w:r>
          </w:p>
        </w:tc>
        <w:tc>
          <w:tcPr>
            <w:tcW w:w="0" w:type="auto"/>
            <w:gridSpan w:val="3"/>
          </w:tcPr>
          <w:p w14:paraId="06B70B5F" w14:textId="77777777" w:rsidR="00662C4B" w:rsidRPr="005B7E42" w:rsidRDefault="00662C4B" w:rsidP="00662C4B">
            <w:pPr>
              <w:autoSpaceDE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sz w:val="20"/>
                <w:szCs w:val="20"/>
                <w:lang w:val="fr-CA"/>
              </w:rPr>
            </w:pPr>
            <w:r w:rsidRPr="005B7E42">
              <w:rPr>
                <w:rFonts w:ascii="Times New Roman" w:hAnsi="Times New Roman" w:cs="Times New Roman"/>
                <w:b w:val="0"/>
                <w:color w:val="000000"/>
                <w:sz w:val="20"/>
                <w:szCs w:val="20"/>
                <w:lang w:val="fr-CA"/>
              </w:rPr>
              <w:t>Niveau</w:t>
            </w:r>
          </w:p>
        </w:tc>
        <w:tc>
          <w:tcPr>
            <w:tcW w:w="2633" w:type="dxa"/>
            <w:gridSpan w:val="3"/>
          </w:tcPr>
          <w:p w14:paraId="373BF6C8" w14:textId="77777777" w:rsidR="00662C4B" w:rsidRPr="005B7E42" w:rsidRDefault="00662C4B" w:rsidP="00662C4B">
            <w:pPr>
              <w:autoSpaceDE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sz w:val="20"/>
                <w:szCs w:val="20"/>
                <w:lang w:val="fr-CA"/>
              </w:rPr>
            </w:pPr>
            <w:r w:rsidRPr="005B7E42">
              <w:rPr>
                <w:rFonts w:ascii="Times New Roman" w:hAnsi="Times New Roman" w:cs="Times New Roman"/>
                <w:b w:val="0"/>
                <w:color w:val="000000"/>
                <w:sz w:val="20"/>
                <w:szCs w:val="20"/>
                <w:lang w:val="fr-CA"/>
              </w:rPr>
              <w:t>Différence première</w:t>
            </w:r>
          </w:p>
        </w:tc>
        <w:tc>
          <w:tcPr>
            <w:tcW w:w="0" w:type="auto"/>
            <w:vMerge w:val="restart"/>
          </w:tcPr>
          <w:p w14:paraId="12772423" w14:textId="77777777" w:rsidR="00662C4B" w:rsidRPr="005B7E42" w:rsidRDefault="00662C4B" w:rsidP="00662C4B">
            <w:pPr>
              <w:autoSpaceDE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sz w:val="20"/>
                <w:szCs w:val="20"/>
                <w:lang w:val="fr-CA"/>
              </w:rPr>
            </w:pPr>
            <w:r w:rsidRPr="005B7E42">
              <w:rPr>
                <w:rFonts w:ascii="Times New Roman" w:hAnsi="Times New Roman" w:cs="Times New Roman"/>
                <w:b w:val="0"/>
                <w:color w:val="000000"/>
                <w:sz w:val="20"/>
                <w:szCs w:val="20"/>
                <w:lang w:val="fr-CA"/>
              </w:rPr>
              <w:t>Constat</w:t>
            </w:r>
          </w:p>
        </w:tc>
      </w:tr>
      <w:tr w:rsidR="00DD0744" w:rsidRPr="005B7E42" w14:paraId="62DE5DE9" w14:textId="77777777" w:rsidTr="00C12E8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54" w:type="dxa"/>
            <w:vMerge/>
          </w:tcPr>
          <w:p w14:paraId="6A9623A1" w14:textId="77777777" w:rsidR="00662C4B" w:rsidRPr="005B7E42" w:rsidRDefault="00662C4B" w:rsidP="00662C4B">
            <w:pPr>
              <w:autoSpaceDE w:val="0"/>
              <w:adjustRightInd w:val="0"/>
              <w:spacing w:line="360" w:lineRule="auto"/>
              <w:jc w:val="center"/>
              <w:rPr>
                <w:rFonts w:ascii="Times New Roman" w:hAnsi="Times New Roman" w:cs="Times New Roman"/>
                <w:color w:val="000000"/>
                <w:sz w:val="20"/>
                <w:szCs w:val="20"/>
                <w:lang w:val="fr-CA"/>
              </w:rPr>
            </w:pPr>
          </w:p>
        </w:tc>
        <w:tc>
          <w:tcPr>
            <w:tcW w:w="0" w:type="auto"/>
          </w:tcPr>
          <w:p w14:paraId="1CE1B4A0" w14:textId="77777777" w:rsidR="00662C4B" w:rsidRPr="005B7E42" w:rsidRDefault="00662C4B" w:rsidP="00662C4B">
            <w:pPr>
              <w:autoSpaceDE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fr-CA"/>
              </w:rPr>
            </w:pPr>
            <w:r w:rsidRPr="005B7E42">
              <w:rPr>
                <w:rFonts w:ascii="Times New Roman" w:hAnsi="Times New Roman" w:cs="Times New Roman"/>
                <w:color w:val="000000"/>
                <w:sz w:val="20"/>
                <w:szCs w:val="20"/>
                <w:lang w:val="fr-CA"/>
              </w:rPr>
              <w:t>ADF</w:t>
            </w:r>
          </w:p>
        </w:tc>
        <w:tc>
          <w:tcPr>
            <w:tcW w:w="0" w:type="auto"/>
          </w:tcPr>
          <w:p w14:paraId="19DB2F80" w14:textId="77777777" w:rsidR="00662C4B" w:rsidRPr="005B7E42" w:rsidRDefault="00662C4B" w:rsidP="00662C4B">
            <w:pPr>
              <w:autoSpaceDE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fr-CA"/>
              </w:rPr>
            </w:pPr>
            <w:r>
              <w:rPr>
                <w:rFonts w:ascii="Times New Roman" w:hAnsi="Times New Roman" w:cs="Times New Roman"/>
                <w:color w:val="000000"/>
                <w:sz w:val="20"/>
                <w:szCs w:val="20"/>
                <w:lang w:val="fr-CA"/>
              </w:rPr>
              <w:t>PP</w:t>
            </w:r>
          </w:p>
        </w:tc>
        <w:tc>
          <w:tcPr>
            <w:tcW w:w="0" w:type="auto"/>
          </w:tcPr>
          <w:p w14:paraId="08B9FF05" w14:textId="77777777" w:rsidR="00662C4B" w:rsidRPr="005B7E42" w:rsidRDefault="00662C4B" w:rsidP="00662C4B">
            <w:pPr>
              <w:autoSpaceDE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fr-CA"/>
              </w:rPr>
            </w:pPr>
            <w:r>
              <w:rPr>
                <w:rFonts w:ascii="Times New Roman" w:hAnsi="Times New Roman" w:cs="Times New Roman"/>
                <w:color w:val="000000"/>
                <w:sz w:val="20"/>
                <w:szCs w:val="20"/>
                <w:lang w:val="fr-CA"/>
              </w:rPr>
              <w:t>KPSS</w:t>
            </w:r>
          </w:p>
        </w:tc>
        <w:tc>
          <w:tcPr>
            <w:tcW w:w="0" w:type="auto"/>
          </w:tcPr>
          <w:p w14:paraId="62791B29" w14:textId="77777777" w:rsidR="00662C4B" w:rsidRPr="005B7E42" w:rsidRDefault="00662C4B" w:rsidP="00662C4B">
            <w:pPr>
              <w:autoSpaceDE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fr-CA"/>
              </w:rPr>
            </w:pPr>
            <w:r w:rsidRPr="005B7E42">
              <w:rPr>
                <w:rFonts w:ascii="Times New Roman" w:hAnsi="Times New Roman" w:cs="Times New Roman"/>
                <w:color w:val="000000"/>
                <w:sz w:val="20"/>
                <w:szCs w:val="20"/>
                <w:lang w:val="fr-CA"/>
              </w:rPr>
              <w:t>ADF</w:t>
            </w:r>
          </w:p>
        </w:tc>
        <w:tc>
          <w:tcPr>
            <w:tcW w:w="0" w:type="auto"/>
          </w:tcPr>
          <w:p w14:paraId="5B13E483" w14:textId="77777777" w:rsidR="00662C4B" w:rsidRPr="005B7E42" w:rsidRDefault="00662C4B" w:rsidP="00662C4B">
            <w:pPr>
              <w:autoSpaceDE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fr-CA"/>
              </w:rPr>
            </w:pPr>
            <w:r>
              <w:rPr>
                <w:rFonts w:ascii="Times New Roman" w:hAnsi="Times New Roman" w:cs="Times New Roman"/>
                <w:color w:val="000000"/>
                <w:sz w:val="20"/>
                <w:szCs w:val="20"/>
                <w:lang w:val="fr-CA"/>
              </w:rPr>
              <w:t>PP</w:t>
            </w:r>
          </w:p>
        </w:tc>
        <w:tc>
          <w:tcPr>
            <w:tcW w:w="833" w:type="dxa"/>
          </w:tcPr>
          <w:p w14:paraId="25324FA8" w14:textId="77777777" w:rsidR="00662C4B" w:rsidRPr="005B7E42" w:rsidRDefault="00662C4B" w:rsidP="00662C4B">
            <w:pPr>
              <w:autoSpaceDE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fr-CA"/>
              </w:rPr>
            </w:pPr>
            <w:r>
              <w:rPr>
                <w:rFonts w:ascii="Times New Roman" w:hAnsi="Times New Roman" w:cs="Times New Roman"/>
                <w:color w:val="000000"/>
                <w:sz w:val="20"/>
                <w:szCs w:val="20"/>
                <w:lang w:val="fr-CA"/>
              </w:rPr>
              <w:t>KPSS</w:t>
            </w:r>
          </w:p>
        </w:tc>
        <w:tc>
          <w:tcPr>
            <w:tcW w:w="0" w:type="auto"/>
            <w:vMerge/>
          </w:tcPr>
          <w:p w14:paraId="1626A03F" w14:textId="77777777" w:rsidR="00662C4B" w:rsidRPr="005B7E42" w:rsidRDefault="00662C4B" w:rsidP="00662C4B">
            <w:pPr>
              <w:autoSpaceDE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fr-CA"/>
              </w:rPr>
            </w:pPr>
          </w:p>
        </w:tc>
      </w:tr>
      <w:tr w:rsidR="00DD0744" w:rsidRPr="005B7E42" w14:paraId="36307F4C" w14:textId="77777777" w:rsidTr="00C12E8E">
        <w:trPr>
          <w:trHeight w:val="320"/>
        </w:trPr>
        <w:tc>
          <w:tcPr>
            <w:cnfStyle w:val="001000000000" w:firstRow="0" w:lastRow="0" w:firstColumn="1" w:lastColumn="0" w:oddVBand="0" w:evenVBand="0" w:oddHBand="0" w:evenHBand="0" w:firstRowFirstColumn="0" w:firstRowLastColumn="0" w:lastRowFirstColumn="0" w:lastRowLastColumn="0"/>
            <w:tcW w:w="1954" w:type="dxa"/>
          </w:tcPr>
          <w:p w14:paraId="07C5A95C" w14:textId="77777777" w:rsidR="00662C4B" w:rsidRPr="005B7E42" w:rsidRDefault="00662C4B" w:rsidP="00662C4B">
            <w:pPr>
              <w:autoSpaceDE w:val="0"/>
              <w:adjustRightInd w:val="0"/>
              <w:spacing w:line="360" w:lineRule="auto"/>
              <w:jc w:val="center"/>
              <w:rPr>
                <w:rFonts w:ascii="Times New Roman" w:hAnsi="Times New Roman" w:cs="Times New Roman"/>
                <w:color w:val="000000"/>
                <w:sz w:val="20"/>
                <w:szCs w:val="20"/>
                <w:lang w:val="fr-CA"/>
              </w:rPr>
            </w:pPr>
            <w:r>
              <w:rPr>
                <w:rFonts w:ascii="Times New Roman" w:hAnsi="Times New Roman" w:cs="Times New Roman"/>
                <w:color w:val="000000"/>
                <w:sz w:val="20"/>
                <w:szCs w:val="20"/>
                <w:lang w:val="fr-CA"/>
              </w:rPr>
              <w:t>Rentabilité</w:t>
            </w:r>
          </w:p>
        </w:tc>
        <w:tc>
          <w:tcPr>
            <w:tcW w:w="0" w:type="auto"/>
          </w:tcPr>
          <w:p w14:paraId="44FEEF9C" w14:textId="77777777" w:rsidR="00662C4B" w:rsidRPr="005B7E42" w:rsidRDefault="002B6206" w:rsidP="00662C4B">
            <w:pPr>
              <w:autoSpaceDE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fr-CA"/>
              </w:rPr>
            </w:pPr>
            <w:r>
              <w:rPr>
                <w:rFonts w:ascii="Times New Roman" w:hAnsi="Times New Roman" w:cs="Times New Roman"/>
                <w:color w:val="000000"/>
                <w:sz w:val="20"/>
                <w:szCs w:val="20"/>
                <w:lang w:val="fr-CA"/>
              </w:rPr>
              <w:t xml:space="preserve">-3.69 </w:t>
            </w:r>
            <w:r>
              <w:rPr>
                <w:rFonts w:ascii="Times New Roman" w:hAnsi="Times New Roman" w:cs="Times New Roman"/>
                <w:color w:val="000000"/>
                <w:sz w:val="20"/>
                <w:szCs w:val="20"/>
                <w:lang w:val="fr-CA"/>
              </w:rPr>
              <w:br/>
              <w:t>(0.01</w:t>
            </w:r>
            <w:r w:rsidR="00662C4B" w:rsidRPr="005B7E42">
              <w:rPr>
                <w:rFonts w:ascii="Times New Roman" w:hAnsi="Times New Roman" w:cs="Times New Roman"/>
                <w:color w:val="000000"/>
                <w:sz w:val="20"/>
                <w:szCs w:val="20"/>
                <w:lang w:val="fr-CA"/>
              </w:rPr>
              <w:t>)</w:t>
            </w:r>
          </w:p>
        </w:tc>
        <w:tc>
          <w:tcPr>
            <w:tcW w:w="0" w:type="auto"/>
          </w:tcPr>
          <w:p w14:paraId="033B0E90" w14:textId="77777777" w:rsidR="00662C4B" w:rsidRPr="005B7E42" w:rsidRDefault="002B6206" w:rsidP="002B6206">
            <w:pPr>
              <w:autoSpaceDE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fr-CA"/>
              </w:rPr>
            </w:pPr>
            <w:r>
              <w:rPr>
                <w:rFonts w:ascii="Times New Roman" w:hAnsi="Times New Roman" w:cs="Times New Roman"/>
                <w:color w:val="000000"/>
                <w:sz w:val="20"/>
                <w:szCs w:val="20"/>
                <w:lang w:val="fr-CA"/>
              </w:rPr>
              <w:t xml:space="preserve">-1.12 </w:t>
            </w:r>
            <w:r>
              <w:rPr>
                <w:rFonts w:ascii="Times New Roman" w:hAnsi="Times New Roman" w:cs="Times New Roman"/>
                <w:color w:val="000000"/>
                <w:sz w:val="20"/>
                <w:szCs w:val="20"/>
                <w:lang w:val="fr-CA"/>
              </w:rPr>
              <w:br/>
              <w:t>(0.43</w:t>
            </w:r>
            <w:r w:rsidR="00662C4B" w:rsidRPr="005B7E42">
              <w:rPr>
                <w:rFonts w:ascii="Times New Roman" w:hAnsi="Times New Roman" w:cs="Times New Roman"/>
                <w:color w:val="000000"/>
                <w:sz w:val="20"/>
                <w:szCs w:val="20"/>
                <w:lang w:val="fr-CA"/>
              </w:rPr>
              <w:t>)</w:t>
            </w:r>
          </w:p>
        </w:tc>
        <w:tc>
          <w:tcPr>
            <w:tcW w:w="0" w:type="auto"/>
          </w:tcPr>
          <w:p w14:paraId="0BAA6A74" w14:textId="77777777" w:rsidR="00662C4B" w:rsidRDefault="002B6206" w:rsidP="00662C4B">
            <w:pPr>
              <w:autoSpaceDE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fr-CA"/>
              </w:rPr>
            </w:pPr>
            <w:r>
              <w:rPr>
                <w:rFonts w:ascii="Times New Roman" w:hAnsi="Times New Roman" w:cs="Times New Roman"/>
                <w:color w:val="000000"/>
                <w:sz w:val="20"/>
                <w:szCs w:val="20"/>
                <w:lang w:val="fr-CA"/>
              </w:rPr>
              <w:t>0.196</w:t>
            </w:r>
          </w:p>
          <w:p w14:paraId="23C2AA34" w14:textId="77777777" w:rsidR="002B6206" w:rsidRPr="005B7E42" w:rsidRDefault="002B6206" w:rsidP="00662C4B">
            <w:pPr>
              <w:autoSpaceDE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fr-CA"/>
              </w:rPr>
            </w:pPr>
            <w:r>
              <w:rPr>
                <w:rFonts w:ascii="Times New Roman" w:hAnsi="Times New Roman" w:cs="Times New Roman"/>
                <w:color w:val="000000"/>
                <w:sz w:val="20"/>
                <w:szCs w:val="20"/>
                <w:lang w:val="fr-CA"/>
              </w:rPr>
              <w:t>(0.1)</w:t>
            </w:r>
          </w:p>
        </w:tc>
        <w:tc>
          <w:tcPr>
            <w:tcW w:w="0" w:type="auto"/>
          </w:tcPr>
          <w:p w14:paraId="7E0850FD" w14:textId="77777777" w:rsidR="00662C4B" w:rsidRPr="005B7E42" w:rsidRDefault="00662C4B" w:rsidP="00662C4B">
            <w:pPr>
              <w:autoSpaceDE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fr-CA"/>
              </w:rPr>
            </w:pPr>
            <w:r w:rsidRPr="005B7E42">
              <w:rPr>
                <w:rFonts w:ascii="Times New Roman" w:hAnsi="Times New Roman" w:cs="Times New Roman"/>
                <w:color w:val="000000"/>
                <w:sz w:val="20"/>
                <w:szCs w:val="20"/>
                <w:lang w:val="fr-CA"/>
              </w:rPr>
              <w:t>-</w:t>
            </w:r>
          </w:p>
        </w:tc>
        <w:tc>
          <w:tcPr>
            <w:tcW w:w="0" w:type="auto"/>
          </w:tcPr>
          <w:p w14:paraId="2017EF23" w14:textId="77777777" w:rsidR="00662C4B" w:rsidRPr="005B7E42" w:rsidRDefault="00662C4B" w:rsidP="00662C4B">
            <w:pPr>
              <w:autoSpaceDE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fr-CA"/>
              </w:rPr>
            </w:pPr>
            <w:r w:rsidRPr="005B7E42">
              <w:rPr>
                <w:rFonts w:ascii="Times New Roman" w:hAnsi="Times New Roman" w:cs="Times New Roman"/>
                <w:color w:val="000000"/>
                <w:sz w:val="20"/>
                <w:szCs w:val="20"/>
                <w:lang w:val="fr-CA"/>
              </w:rPr>
              <w:t>-</w:t>
            </w:r>
          </w:p>
        </w:tc>
        <w:tc>
          <w:tcPr>
            <w:tcW w:w="833" w:type="dxa"/>
          </w:tcPr>
          <w:p w14:paraId="513DDF44" w14:textId="77777777" w:rsidR="00662C4B" w:rsidRPr="005B7E42" w:rsidRDefault="00662C4B" w:rsidP="00662C4B">
            <w:pPr>
              <w:autoSpaceDE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fr-CA"/>
              </w:rPr>
            </w:pPr>
            <w:r w:rsidRPr="005B7E42">
              <w:rPr>
                <w:rFonts w:ascii="Times New Roman" w:hAnsi="Times New Roman" w:cs="Times New Roman"/>
                <w:color w:val="000000"/>
                <w:sz w:val="20"/>
                <w:szCs w:val="20"/>
                <w:lang w:val="fr-CA"/>
              </w:rPr>
              <w:t>-</w:t>
            </w:r>
          </w:p>
        </w:tc>
        <w:tc>
          <w:tcPr>
            <w:tcW w:w="0" w:type="auto"/>
          </w:tcPr>
          <w:p w14:paraId="4DAB0D77" w14:textId="77777777" w:rsidR="00662C4B" w:rsidRPr="005B7E42" w:rsidRDefault="00662C4B" w:rsidP="002B6206">
            <w:pPr>
              <w:autoSpaceDE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fr-CA"/>
              </w:rPr>
            </w:pPr>
            <w:r w:rsidRPr="005B7E42">
              <w:rPr>
                <w:rFonts w:ascii="Times New Roman" w:hAnsi="Times New Roman" w:cs="Times New Roman"/>
                <w:color w:val="000000"/>
                <w:sz w:val="20"/>
                <w:szCs w:val="20"/>
                <w:lang w:val="fr-CA"/>
              </w:rPr>
              <w:t xml:space="preserve">I (0) </w:t>
            </w:r>
            <w:r w:rsidR="002B6206">
              <w:rPr>
                <w:rFonts w:ascii="Times New Roman" w:hAnsi="Times New Roman" w:cs="Times New Roman"/>
                <w:color w:val="000000"/>
                <w:sz w:val="20"/>
                <w:szCs w:val="20"/>
                <w:lang w:val="fr-CA"/>
              </w:rPr>
              <w:t>sans tendance ni</w:t>
            </w:r>
            <w:r w:rsidRPr="005B7E42">
              <w:rPr>
                <w:rFonts w:ascii="Times New Roman" w:hAnsi="Times New Roman" w:cs="Times New Roman"/>
                <w:color w:val="000000"/>
                <w:sz w:val="20"/>
                <w:szCs w:val="20"/>
                <w:lang w:val="fr-CA"/>
              </w:rPr>
              <w:t xml:space="preserve"> constante</w:t>
            </w:r>
          </w:p>
        </w:tc>
      </w:tr>
      <w:tr w:rsidR="00DD0744" w:rsidRPr="005B7E42" w14:paraId="31471C0B" w14:textId="77777777" w:rsidTr="00C12E8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54" w:type="dxa"/>
          </w:tcPr>
          <w:p w14:paraId="7D90641E" w14:textId="77777777" w:rsidR="00662C4B" w:rsidRPr="005B7E42" w:rsidRDefault="001D5490" w:rsidP="00662C4B">
            <w:pPr>
              <w:autoSpaceDE w:val="0"/>
              <w:adjustRightInd w:val="0"/>
              <w:spacing w:line="360" w:lineRule="auto"/>
              <w:jc w:val="center"/>
              <w:rPr>
                <w:rFonts w:ascii="Times New Roman" w:hAnsi="Times New Roman" w:cs="Times New Roman"/>
                <w:color w:val="000000"/>
                <w:sz w:val="20"/>
                <w:szCs w:val="20"/>
                <w:lang w:val="fr-CA"/>
              </w:rPr>
            </w:pPr>
            <w:r>
              <w:rPr>
                <w:rFonts w:ascii="Times New Roman" w:hAnsi="Times New Roman" w:cs="Times New Roman"/>
                <w:color w:val="000000"/>
                <w:sz w:val="20"/>
                <w:szCs w:val="20"/>
                <w:lang w:val="fr-CA"/>
              </w:rPr>
              <w:t>Investissement</w:t>
            </w:r>
          </w:p>
        </w:tc>
        <w:tc>
          <w:tcPr>
            <w:tcW w:w="0" w:type="auto"/>
          </w:tcPr>
          <w:p w14:paraId="275DC71D" w14:textId="77777777" w:rsidR="00662C4B" w:rsidRPr="00DD0744" w:rsidRDefault="00DD0744" w:rsidP="00662C4B">
            <w:pPr>
              <w:autoSpaceDE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A"/>
              </w:rPr>
            </w:pPr>
            <w:r w:rsidRPr="00DD0744">
              <w:rPr>
                <w:rFonts w:ascii="Times New Roman" w:hAnsi="Times New Roman" w:cs="Times New Roman"/>
                <w:sz w:val="20"/>
                <w:szCs w:val="20"/>
                <w:lang w:val="fr-CA"/>
              </w:rPr>
              <w:t>0.709</w:t>
            </w:r>
          </w:p>
          <w:p w14:paraId="53AC72E2" w14:textId="77777777" w:rsidR="00DD0744" w:rsidRPr="005B7E42" w:rsidRDefault="00DD0744" w:rsidP="00662C4B">
            <w:pPr>
              <w:autoSpaceDE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fr-CA"/>
              </w:rPr>
            </w:pPr>
            <w:r w:rsidRPr="00DD0744">
              <w:rPr>
                <w:rFonts w:ascii="Times New Roman" w:hAnsi="Times New Roman" w:cs="Times New Roman"/>
                <w:sz w:val="20"/>
                <w:szCs w:val="20"/>
                <w:lang w:val="fr-CA"/>
              </w:rPr>
              <w:t>(0.839)</w:t>
            </w:r>
          </w:p>
        </w:tc>
        <w:tc>
          <w:tcPr>
            <w:tcW w:w="0" w:type="auto"/>
          </w:tcPr>
          <w:p w14:paraId="19C02FA8" w14:textId="77777777" w:rsidR="00662C4B" w:rsidRDefault="00DD0744" w:rsidP="00662C4B">
            <w:pPr>
              <w:autoSpaceDE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fr-CA"/>
              </w:rPr>
            </w:pPr>
            <w:r>
              <w:rPr>
                <w:rFonts w:ascii="Times New Roman" w:hAnsi="Times New Roman" w:cs="Times New Roman"/>
                <w:color w:val="000000"/>
                <w:sz w:val="20"/>
                <w:szCs w:val="20"/>
                <w:lang w:val="fr-CA"/>
              </w:rPr>
              <w:t>0.443</w:t>
            </w:r>
          </w:p>
          <w:p w14:paraId="7CF0F48D" w14:textId="77777777" w:rsidR="00DD0744" w:rsidRPr="005B7E42" w:rsidRDefault="00DD0744" w:rsidP="00662C4B">
            <w:pPr>
              <w:autoSpaceDE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fr-CA"/>
              </w:rPr>
            </w:pPr>
            <w:r>
              <w:rPr>
                <w:rFonts w:ascii="Times New Roman" w:hAnsi="Times New Roman" w:cs="Times New Roman"/>
                <w:color w:val="000000"/>
                <w:sz w:val="20"/>
                <w:szCs w:val="20"/>
                <w:lang w:val="fr-CA"/>
              </w:rPr>
              <w:t>(0.776)</w:t>
            </w:r>
          </w:p>
        </w:tc>
        <w:tc>
          <w:tcPr>
            <w:tcW w:w="0" w:type="auto"/>
          </w:tcPr>
          <w:p w14:paraId="42E2D217" w14:textId="77777777" w:rsidR="00662C4B" w:rsidRDefault="00DD0744" w:rsidP="00662C4B">
            <w:pPr>
              <w:autoSpaceDE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fr-CA"/>
              </w:rPr>
            </w:pPr>
            <w:r>
              <w:rPr>
                <w:rFonts w:ascii="Times New Roman" w:hAnsi="Times New Roman" w:cs="Times New Roman"/>
                <w:color w:val="000000"/>
                <w:sz w:val="20"/>
                <w:szCs w:val="20"/>
                <w:lang w:val="fr-CA"/>
              </w:rPr>
              <w:t>0.358</w:t>
            </w:r>
          </w:p>
          <w:p w14:paraId="12A2826B" w14:textId="77777777" w:rsidR="00DD0744" w:rsidRPr="005B7E42" w:rsidRDefault="00DD0744" w:rsidP="00662C4B">
            <w:pPr>
              <w:autoSpaceDE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fr-CA"/>
              </w:rPr>
            </w:pPr>
            <w:r>
              <w:rPr>
                <w:rFonts w:ascii="Times New Roman" w:hAnsi="Times New Roman" w:cs="Times New Roman"/>
                <w:color w:val="000000"/>
                <w:sz w:val="20"/>
                <w:szCs w:val="20"/>
                <w:lang w:val="fr-CA"/>
              </w:rPr>
              <w:t>(0.10)</w:t>
            </w:r>
          </w:p>
        </w:tc>
        <w:tc>
          <w:tcPr>
            <w:tcW w:w="0" w:type="auto"/>
          </w:tcPr>
          <w:p w14:paraId="7F71EFF9" w14:textId="77777777" w:rsidR="00662C4B" w:rsidRDefault="00DD0744" w:rsidP="00662C4B">
            <w:pPr>
              <w:autoSpaceDE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fr-CA"/>
              </w:rPr>
            </w:pPr>
            <w:r>
              <w:rPr>
                <w:rFonts w:ascii="Times New Roman" w:hAnsi="Times New Roman" w:cs="Times New Roman"/>
                <w:color w:val="000000"/>
                <w:sz w:val="20"/>
                <w:szCs w:val="20"/>
                <w:lang w:val="fr-CA"/>
              </w:rPr>
              <w:t>-4.18</w:t>
            </w:r>
          </w:p>
          <w:p w14:paraId="511030FF" w14:textId="77777777" w:rsidR="00DD0744" w:rsidRPr="005B7E42" w:rsidRDefault="00DD0744" w:rsidP="00662C4B">
            <w:pPr>
              <w:autoSpaceDE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fr-CA"/>
              </w:rPr>
            </w:pPr>
            <w:r>
              <w:rPr>
                <w:rFonts w:ascii="Times New Roman" w:hAnsi="Times New Roman" w:cs="Times New Roman"/>
                <w:color w:val="000000"/>
                <w:sz w:val="20"/>
                <w:szCs w:val="20"/>
                <w:lang w:val="fr-CA"/>
              </w:rPr>
              <w:t>(0.0168)</w:t>
            </w:r>
          </w:p>
        </w:tc>
        <w:tc>
          <w:tcPr>
            <w:tcW w:w="0" w:type="auto"/>
          </w:tcPr>
          <w:p w14:paraId="7534851E" w14:textId="77777777" w:rsidR="00662C4B" w:rsidRDefault="00DD0744" w:rsidP="00662C4B">
            <w:pPr>
              <w:autoSpaceDE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fr-CA"/>
              </w:rPr>
            </w:pPr>
            <w:r>
              <w:rPr>
                <w:rFonts w:ascii="Times New Roman" w:hAnsi="Times New Roman" w:cs="Times New Roman"/>
                <w:color w:val="000000"/>
                <w:sz w:val="20"/>
                <w:szCs w:val="20"/>
                <w:lang w:val="fr-CA"/>
              </w:rPr>
              <w:t>-19.9</w:t>
            </w:r>
          </w:p>
          <w:p w14:paraId="7AE3D1F8" w14:textId="77777777" w:rsidR="00DD0744" w:rsidRPr="005B7E42" w:rsidRDefault="00DD0744" w:rsidP="00662C4B">
            <w:pPr>
              <w:autoSpaceDE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fr-CA"/>
              </w:rPr>
            </w:pPr>
            <w:r>
              <w:rPr>
                <w:rFonts w:ascii="Times New Roman" w:hAnsi="Times New Roman" w:cs="Times New Roman"/>
                <w:color w:val="000000"/>
                <w:sz w:val="20"/>
                <w:szCs w:val="20"/>
                <w:lang w:val="fr-CA"/>
              </w:rPr>
              <w:t>(0.0264)</w:t>
            </w:r>
          </w:p>
        </w:tc>
        <w:tc>
          <w:tcPr>
            <w:tcW w:w="833" w:type="dxa"/>
          </w:tcPr>
          <w:p w14:paraId="10FB23E3" w14:textId="77777777" w:rsidR="00662C4B" w:rsidRDefault="00DD0744" w:rsidP="00662C4B">
            <w:pPr>
              <w:autoSpaceDE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fr-CA"/>
              </w:rPr>
            </w:pPr>
            <w:r>
              <w:rPr>
                <w:rFonts w:ascii="Times New Roman" w:hAnsi="Times New Roman" w:cs="Times New Roman"/>
                <w:color w:val="000000"/>
                <w:sz w:val="20"/>
                <w:szCs w:val="20"/>
                <w:lang w:val="fr-CA"/>
              </w:rPr>
              <w:t>0.105</w:t>
            </w:r>
          </w:p>
          <w:p w14:paraId="0D9C7AA2" w14:textId="77777777" w:rsidR="00DD0744" w:rsidRPr="005B7E42" w:rsidRDefault="00DD0744" w:rsidP="00662C4B">
            <w:pPr>
              <w:autoSpaceDE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fr-CA"/>
              </w:rPr>
            </w:pPr>
            <w:r>
              <w:rPr>
                <w:rFonts w:ascii="Times New Roman" w:hAnsi="Times New Roman" w:cs="Times New Roman"/>
                <w:color w:val="000000"/>
                <w:sz w:val="20"/>
                <w:szCs w:val="20"/>
                <w:lang w:val="fr-CA"/>
              </w:rPr>
              <w:t>(0.10)</w:t>
            </w:r>
          </w:p>
        </w:tc>
        <w:tc>
          <w:tcPr>
            <w:tcW w:w="0" w:type="auto"/>
          </w:tcPr>
          <w:p w14:paraId="4719510C" w14:textId="77777777" w:rsidR="00662C4B" w:rsidRPr="005B7E42" w:rsidRDefault="00662C4B" w:rsidP="00662C4B">
            <w:pPr>
              <w:autoSpaceDE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fr-CA"/>
              </w:rPr>
            </w:pPr>
            <w:r w:rsidRPr="005B7E42">
              <w:rPr>
                <w:rFonts w:ascii="Times New Roman" w:hAnsi="Times New Roman" w:cs="Times New Roman"/>
                <w:color w:val="000000"/>
                <w:sz w:val="20"/>
                <w:szCs w:val="20"/>
                <w:lang w:val="fr-CA"/>
              </w:rPr>
              <w:t>I (1) avec tendance et constante</w:t>
            </w:r>
          </w:p>
        </w:tc>
      </w:tr>
      <w:tr w:rsidR="00DD0744" w:rsidRPr="005B7E42" w14:paraId="55681A61" w14:textId="77777777" w:rsidTr="00C12E8E">
        <w:trPr>
          <w:trHeight w:val="320"/>
        </w:trPr>
        <w:tc>
          <w:tcPr>
            <w:cnfStyle w:val="001000000000" w:firstRow="0" w:lastRow="0" w:firstColumn="1" w:lastColumn="0" w:oddVBand="0" w:evenVBand="0" w:oddHBand="0" w:evenHBand="0" w:firstRowFirstColumn="0" w:firstRowLastColumn="0" w:lastRowFirstColumn="0" w:lastRowLastColumn="0"/>
            <w:tcW w:w="1954" w:type="dxa"/>
          </w:tcPr>
          <w:p w14:paraId="100B8DF1" w14:textId="77777777" w:rsidR="00662C4B" w:rsidRPr="005B7E42" w:rsidRDefault="001D5490" w:rsidP="00662C4B">
            <w:pPr>
              <w:autoSpaceDE w:val="0"/>
              <w:adjustRightInd w:val="0"/>
              <w:spacing w:line="360" w:lineRule="auto"/>
              <w:jc w:val="center"/>
              <w:rPr>
                <w:rFonts w:ascii="Times New Roman" w:hAnsi="Times New Roman" w:cs="Times New Roman"/>
                <w:color w:val="000000"/>
                <w:sz w:val="20"/>
                <w:szCs w:val="20"/>
                <w:lang w:val="fr-CA"/>
              </w:rPr>
            </w:pPr>
            <w:r>
              <w:rPr>
                <w:rFonts w:ascii="Times New Roman" w:hAnsi="Times New Roman" w:cs="Times New Roman"/>
                <w:color w:val="000000"/>
                <w:sz w:val="20"/>
                <w:szCs w:val="20"/>
                <w:lang w:val="fr-CA"/>
              </w:rPr>
              <w:t>Concours Publics</w:t>
            </w:r>
          </w:p>
        </w:tc>
        <w:tc>
          <w:tcPr>
            <w:tcW w:w="0" w:type="auto"/>
          </w:tcPr>
          <w:p w14:paraId="26511604" w14:textId="77777777" w:rsidR="00662C4B" w:rsidRDefault="00DD0744" w:rsidP="00662C4B">
            <w:pPr>
              <w:autoSpaceDE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fr-CA"/>
              </w:rPr>
            </w:pPr>
            <w:r>
              <w:rPr>
                <w:rFonts w:ascii="Times New Roman" w:hAnsi="Times New Roman" w:cs="Times New Roman"/>
                <w:color w:val="000000"/>
                <w:sz w:val="20"/>
                <w:szCs w:val="20"/>
                <w:lang w:val="fr-CA"/>
              </w:rPr>
              <w:t>0.330</w:t>
            </w:r>
          </w:p>
          <w:p w14:paraId="0FC66B87" w14:textId="77777777" w:rsidR="00DD0744" w:rsidRPr="005B7E42" w:rsidRDefault="00DD0744" w:rsidP="00662C4B">
            <w:pPr>
              <w:autoSpaceDE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fr-CA"/>
              </w:rPr>
            </w:pPr>
            <w:r>
              <w:rPr>
                <w:rFonts w:ascii="Times New Roman" w:hAnsi="Times New Roman" w:cs="Times New Roman"/>
                <w:color w:val="000000"/>
                <w:sz w:val="20"/>
                <w:szCs w:val="20"/>
                <w:lang w:val="fr-CA"/>
              </w:rPr>
              <w:t>(0.730)</w:t>
            </w:r>
          </w:p>
        </w:tc>
        <w:tc>
          <w:tcPr>
            <w:tcW w:w="0" w:type="auto"/>
          </w:tcPr>
          <w:p w14:paraId="4A17C5E0" w14:textId="77777777" w:rsidR="00662C4B" w:rsidRDefault="00DD0744" w:rsidP="00662C4B">
            <w:pPr>
              <w:autoSpaceDE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fr-CA"/>
              </w:rPr>
            </w:pPr>
            <w:r>
              <w:rPr>
                <w:rFonts w:ascii="Times New Roman" w:hAnsi="Times New Roman" w:cs="Times New Roman"/>
                <w:color w:val="000000"/>
                <w:sz w:val="20"/>
                <w:szCs w:val="20"/>
                <w:lang w:val="fr-CA"/>
              </w:rPr>
              <w:t>0.0751</w:t>
            </w:r>
          </w:p>
          <w:p w14:paraId="0D0F062F" w14:textId="77777777" w:rsidR="00DD0744" w:rsidRPr="005B7E42" w:rsidRDefault="00DD0744" w:rsidP="00662C4B">
            <w:pPr>
              <w:autoSpaceDE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fr-CA"/>
              </w:rPr>
            </w:pPr>
            <w:r>
              <w:rPr>
                <w:rFonts w:ascii="Times New Roman" w:hAnsi="Times New Roman" w:cs="Times New Roman"/>
                <w:color w:val="000000"/>
                <w:sz w:val="20"/>
                <w:szCs w:val="20"/>
                <w:lang w:val="fr-CA"/>
              </w:rPr>
              <w:t>(0.696)</w:t>
            </w:r>
          </w:p>
        </w:tc>
        <w:tc>
          <w:tcPr>
            <w:tcW w:w="0" w:type="auto"/>
          </w:tcPr>
          <w:p w14:paraId="146CEA74" w14:textId="77777777" w:rsidR="00662C4B" w:rsidRDefault="00DD0744" w:rsidP="00662C4B">
            <w:pPr>
              <w:autoSpaceDE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fr-CA"/>
              </w:rPr>
            </w:pPr>
            <w:r>
              <w:rPr>
                <w:rFonts w:ascii="Times New Roman" w:hAnsi="Times New Roman" w:cs="Times New Roman"/>
                <w:color w:val="000000"/>
                <w:sz w:val="20"/>
                <w:szCs w:val="20"/>
                <w:lang w:val="fr-CA"/>
              </w:rPr>
              <w:t>0.0816</w:t>
            </w:r>
          </w:p>
          <w:p w14:paraId="316B3284" w14:textId="77777777" w:rsidR="00DD0744" w:rsidRPr="005B7E42" w:rsidRDefault="00DD0744" w:rsidP="00662C4B">
            <w:pPr>
              <w:autoSpaceDE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fr-CA"/>
              </w:rPr>
            </w:pPr>
            <w:r>
              <w:rPr>
                <w:rFonts w:ascii="Times New Roman" w:hAnsi="Times New Roman" w:cs="Times New Roman"/>
                <w:color w:val="000000"/>
                <w:sz w:val="20"/>
                <w:szCs w:val="20"/>
                <w:lang w:val="fr-CA"/>
              </w:rPr>
              <w:t>(0.10)</w:t>
            </w:r>
          </w:p>
        </w:tc>
        <w:tc>
          <w:tcPr>
            <w:tcW w:w="0" w:type="auto"/>
          </w:tcPr>
          <w:p w14:paraId="787DCBA4" w14:textId="77777777" w:rsidR="00662C4B" w:rsidRDefault="000502D0" w:rsidP="00662C4B">
            <w:pPr>
              <w:autoSpaceDE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fr-CA"/>
              </w:rPr>
            </w:pPr>
            <w:r>
              <w:rPr>
                <w:rFonts w:ascii="Times New Roman" w:hAnsi="Times New Roman" w:cs="Times New Roman"/>
                <w:color w:val="000000"/>
                <w:sz w:val="20"/>
                <w:szCs w:val="20"/>
                <w:lang w:val="fr-CA"/>
              </w:rPr>
              <w:t>-3.58</w:t>
            </w:r>
          </w:p>
          <w:p w14:paraId="0CFA3CAE" w14:textId="77777777" w:rsidR="000502D0" w:rsidRPr="005B7E42" w:rsidRDefault="000502D0" w:rsidP="00662C4B">
            <w:pPr>
              <w:autoSpaceDE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fr-CA"/>
              </w:rPr>
            </w:pPr>
            <w:r>
              <w:rPr>
                <w:rFonts w:ascii="Times New Roman" w:hAnsi="Times New Roman" w:cs="Times New Roman"/>
                <w:color w:val="000000"/>
                <w:sz w:val="20"/>
                <w:szCs w:val="20"/>
                <w:lang w:val="fr-CA"/>
              </w:rPr>
              <w:t>(0.0162)</w:t>
            </w:r>
          </w:p>
        </w:tc>
        <w:tc>
          <w:tcPr>
            <w:tcW w:w="0" w:type="auto"/>
          </w:tcPr>
          <w:p w14:paraId="76F69A7A" w14:textId="77777777" w:rsidR="00662C4B" w:rsidRDefault="000502D0" w:rsidP="00662C4B">
            <w:pPr>
              <w:autoSpaceDE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fr-CA"/>
              </w:rPr>
            </w:pPr>
            <w:r>
              <w:rPr>
                <w:rFonts w:ascii="Times New Roman" w:hAnsi="Times New Roman" w:cs="Times New Roman"/>
                <w:color w:val="000000"/>
                <w:sz w:val="20"/>
                <w:szCs w:val="20"/>
                <w:lang w:val="fr-CA"/>
              </w:rPr>
              <w:t>-14.8</w:t>
            </w:r>
          </w:p>
          <w:p w14:paraId="6D912E28" w14:textId="77777777" w:rsidR="000502D0" w:rsidRPr="005B7E42" w:rsidRDefault="000502D0" w:rsidP="00662C4B">
            <w:pPr>
              <w:autoSpaceDE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fr-CA"/>
              </w:rPr>
            </w:pPr>
            <w:r>
              <w:rPr>
                <w:rFonts w:ascii="Times New Roman" w:hAnsi="Times New Roman" w:cs="Times New Roman"/>
                <w:color w:val="000000"/>
                <w:sz w:val="20"/>
                <w:szCs w:val="20"/>
                <w:lang w:val="fr-CA"/>
              </w:rPr>
              <w:t>(0.0238)</w:t>
            </w:r>
          </w:p>
        </w:tc>
        <w:tc>
          <w:tcPr>
            <w:tcW w:w="833" w:type="dxa"/>
          </w:tcPr>
          <w:p w14:paraId="75A4ADD6" w14:textId="77777777" w:rsidR="00662C4B" w:rsidRDefault="000502D0" w:rsidP="00662C4B">
            <w:pPr>
              <w:autoSpaceDE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fr-CA"/>
              </w:rPr>
            </w:pPr>
            <w:r>
              <w:rPr>
                <w:rFonts w:ascii="Times New Roman" w:hAnsi="Times New Roman" w:cs="Times New Roman"/>
                <w:color w:val="000000"/>
                <w:sz w:val="20"/>
                <w:szCs w:val="20"/>
                <w:lang w:val="fr-CA"/>
              </w:rPr>
              <w:t>0.113</w:t>
            </w:r>
          </w:p>
          <w:p w14:paraId="49ADEDF1" w14:textId="77777777" w:rsidR="000502D0" w:rsidRPr="005B7E42" w:rsidRDefault="000502D0" w:rsidP="00662C4B">
            <w:pPr>
              <w:autoSpaceDE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fr-CA"/>
              </w:rPr>
            </w:pPr>
            <w:r>
              <w:rPr>
                <w:rFonts w:ascii="Times New Roman" w:hAnsi="Times New Roman" w:cs="Times New Roman"/>
                <w:color w:val="000000"/>
                <w:sz w:val="20"/>
                <w:szCs w:val="20"/>
                <w:lang w:val="fr-CA"/>
              </w:rPr>
              <w:t>(0.10)</w:t>
            </w:r>
          </w:p>
        </w:tc>
        <w:tc>
          <w:tcPr>
            <w:tcW w:w="0" w:type="auto"/>
          </w:tcPr>
          <w:p w14:paraId="308E127D" w14:textId="77777777" w:rsidR="00662C4B" w:rsidRPr="005B7E42" w:rsidRDefault="00662C4B" w:rsidP="001D5490">
            <w:pPr>
              <w:autoSpaceDE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fr-CA"/>
              </w:rPr>
            </w:pPr>
            <w:r w:rsidRPr="005B7E42">
              <w:rPr>
                <w:rFonts w:ascii="Times New Roman" w:hAnsi="Times New Roman" w:cs="Times New Roman"/>
                <w:color w:val="000000"/>
                <w:sz w:val="20"/>
                <w:szCs w:val="20"/>
                <w:lang w:val="fr-CA"/>
              </w:rPr>
              <w:t>I (1) avec constante</w:t>
            </w:r>
            <w:r w:rsidR="001D5490">
              <w:rPr>
                <w:rFonts w:ascii="Times New Roman" w:hAnsi="Times New Roman" w:cs="Times New Roman"/>
                <w:color w:val="000000"/>
                <w:sz w:val="20"/>
                <w:szCs w:val="20"/>
                <w:lang w:val="fr-CA"/>
              </w:rPr>
              <w:t xml:space="preserve"> sans tendance</w:t>
            </w:r>
          </w:p>
        </w:tc>
      </w:tr>
      <w:tr w:rsidR="00DD0744" w:rsidRPr="005B7E42" w14:paraId="7AD0B5FB" w14:textId="77777777" w:rsidTr="00C12E8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54" w:type="dxa"/>
          </w:tcPr>
          <w:p w14:paraId="15C8D455" w14:textId="77777777" w:rsidR="00662C4B" w:rsidRPr="005B7E42" w:rsidRDefault="001D5490" w:rsidP="00662C4B">
            <w:pPr>
              <w:autoSpaceDE w:val="0"/>
              <w:adjustRightInd w:val="0"/>
              <w:spacing w:line="360" w:lineRule="auto"/>
              <w:jc w:val="center"/>
              <w:rPr>
                <w:rFonts w:ascii="Times New Roman" w:hAnsi="Times New Roman" w:cs="Times New Roman"/>
                <w:color w:val="000000"/>
                <w:sz w:val="20"/>
                <w:szCs w:val="20"/>
                <w:lang w:val="fr-CA"/>
              </w:rPr>
            </w:pPr>
            <w:r>
              <w:rPr>
                <w:rFonts w:ascii="Times New Roman" w:hAnsi="Times New Roman" w:cs="Times New Roman"/>
                <w:color w:val="000000"/>
                <w:sz w:val="20"/>
                <w:szCs w:val="20"/>
                <w:lang w:val="fr-CA"/>
              </w:rPr>
              <w:t>Offre transport</w:t>
            </w:r>
          </w:p>
        </w:tc>
        <w:tc>
          <w:tcPr>
            <w:tcW w:w="0" w:type="auto"/>
          </w:tcPr>
          <w:p w14:paraId="5486733B" w14:textId="77777777" w:rsidR="00662C4B" w:rsidRDefault="000502D0" w:rsidP="00662C4B">
            <w:pPr>
              <w:autoSpaceDE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fr-CA"/>
              </w:rPr>
            </w:pPr>
            <w:r>
              <w:rPr>
                <w:rFonts w:ascii="Times New Roman" w:hAnsi="Times New Roman" w:cs="Times New Roman"/>
                <w:color w:val="000000"/>
                <w:sz w:val="20"/>
                <w:szCs w:val="20"/>
                <w:lang w:val="fr-CA"/>
              </w:rPr>
              <w:t>2.32</w:t>
            </w:r>
          </w:p>
          <w:p w14:paraId="44FF7AAC" w14:textId="77777777" w:rsidR="000502D0" w:rsidRPr="005B7E42" w:rsidRDefault="000502D0" w:rsidP="00662C4B">
            <w:pPr>
              <w:autoSpaceDE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fr-CA"/>
              </w:rPr>
            </w:pPr>
            <w:r>
              <w:rPr>
                <w:rFonts w:ascii="Times New Roman" w:hAnsi="Times New Roman" w:cs="Times New Roman"/>
                <w:color w:val="000000"/>
                <w:sz w:val="20"/>
                <w:szCs w:val="20"/>
                <w:lang w:val="fr-CA"/>
              </w:rPr>
              <w:t>(0.990)</w:t>
            </w:r>
          </w:p>
        </w:tc>
        <w:tc>
          <w:tcPr>
            <w:tcW w:w="0" w:type="auto"/>
          </w:tcPr>
          <w:p w14:paraId="1811E2F7" w14:textId="77777777" w:rsidR="00662C4B" w:rsidRDefault="000502D0" w:rsidP="00662C4B">
            <w:pPr>
              <w:autoSpaceDE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fr-CA"/>
              </w:rPr>
            </w:pPr>
            <w:r>
              <w:rPr>
                <w:rFonts w:ascii="Times New Roman" w:hAnsi="Times New Roman" w:cs="Times New Roman"/>
                <w:color w:val="000000"/>
                <w:sz w:val="20"/>
                <w:szCs w:val="20"/>
                <w:lang w:val="fr-CA"/>
              </w:rPr>
              <w:t>0.143</w:t>
            </w:r>
          </w:p>
          <w:p w14:paraId="013CE657" w14:textId="77777777" w:rsidR="000502D0" w:rsidRPr="005B7E42" w:rsidRDefault="000502D0" w:rsidP="00662C4B">
            <w:pPr>
              <w:autoSpaceDE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fr-CA"/>
              </w:rPr>
            </w:pPr>
            <w:r>
              <w:rPr>
                <w:rFonts w:ascii="Times New Roman" w:hAnsi="Times New Roman" w:cs="Times New Roman"/>
                <w:color w:val="000000"/>
                <w:sz w:val="20"/>
                <w:szCs w:val="20"/>
                <w:lang w:val="fr-CA"/>
              </w:rPr>
              <w:t>(0.711)</w:t>
            </w:r>
          </w:p>
        </w:tc>
        <w:tc>
          <w:tcPr>
            <w:tcW w:w="0" w:type="auto"/>
          </w:tcPr>
          <w:p w14:paraId="185D4B75" w14:textId="77777777" w:rsidR="000502D0" w:rsidRDefault="000502D0" w:rsidP="000502D0">
            <w:pPr>
              <w:pStyle w:val="PrformatHTML"/>
              <w:shd w:val="clear" w:color="auto" w:fill="FFFFFF"/>
              <w:wordWrap w:val="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val="fr-CA" w:eastAsia="en-US"/>
              </w:rPr>
            </w:pPr>
            <w:r w:rsidRPr="000502D0">
              <w:rPr>
                <w:rFonts w:ascii="Times New Roman" w:eastAsiaTheme="minorHAnsi" w:hAnsi="Times New Roman" w:cs="Times New Roman"/>
                <w:lang w:val="fr-CA" w:eastAsia="en-US"/>
              </w:rPr>
              <w:t xml:space="preserve">0.236   </w:t>
            </w:r>
          </w:p>
          <w:p w14:paraId="4E2495A8" w14:textId="77777777" w:rsidR="000502D0" w:rsidRPr="000502D0" w:rsidRDefault="000502D0" w:rsidP="000502D0">
            <w:pPr>
              <w:pStyle w:val="PrformatHTML"/>
              <w:shd w:val="clear" w:color="auto" w:fill="FFFFFF"/>
              <w:wordWrap w:val="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color w:val="000000"/>
                <w:lang w:val="fr-CA" w:eastAsia="en-US"/>
              </w:rPr>
            </w:pPr>
            <w:r w:rsidRPr="000502D0">
              <w:rPr>
                <w:rFonts w:ascii="Times New Roman" w:eastAsiaTheme="minorHAnsi" w:hAnsi="Times New Roman" w:cs="Times New Roman"/>
                <w:lang w:val="fr-CA" w:eastAsia="en-US"/>
              </w:rPr>
              <w:t xml:space="preserve">  (0.1)</w:t>
            </w:r>
          </w:p>
          <w:p w14:paraId="6C8E1E51" w14:textId="77777777" w:rsidR="00662C4B" w:rsidRPr="005B7E42" w:rsidRDefault="00662C4B" w:rsidP="00662C4B">
            <w:pPr>
              <w:autoSpaceDE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fr-CA"/>
              </w:rPr>
            </w:pPr>
          </w:p>
        </w:tc>
        <w:tc>
          <w:tcPr>
            <w:tcW w:w="0" w:type="auto"/>
          </w:tcPr>
          <w:p w14:paraId="232DE823" w14:textId="77777777" w:rsidR="00662C4B" w:rsidRDefault="000502D0" w:rsidP="00662C4B">
            <w:pPr>
              <w:autoSpaceDE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fr-CA"/>
              </w:rPr>
            </w:pPr>
            <w:r>
              <w:rPr>
                <w:rFonts w:ascii="Times New Roman" w:hAnsi="Times New Roman" w:cs="Times New Roman"/>
                <w:color w:val="000000"/>
                <w:sz w:val="20"/>
                <w:szCs w:val="20"/>
                <w:lang w:val="fr-CA"/>
              </w:rPr>
              <w:t>-3.94</w:t>
            </w:r>
          </w:p>
          <w:p w14:paraId="332F50F8" w14:textId="77777777" w:rsidR="000502D0" w:rsidRPr="005B7E42" w:rsidRDefault="000502D0" w:rsidP="00662C4B">
            <w:pPr>
              <w:autoSpaceDE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fr-CA"/>
              </w:rPr>
            </w:pPr>
            <w:r>
              <w:rPr>
                <w:rFonts w:ascii="Times New Roman" w:hAnsi="Times New Roman" w:cs="Times New Roman"/>
                <w:color w:val="000000"/>
                <w:sz w:val="20"/>
                <w:szCs w:val="20"/>
                <w:lang w:val="fr-CA"/>
              </w:rPr>
              <w:t>(0.010)</w:t>
            </w:r>
          </w:p>
        </w:tc>
        <w:tc>
          <w:tcPr>
            <w:tcW w:w="0" w:type="auto"/>
          </w:tcPr>
          <w:p w14:paraId="39421429" w14:textId="77777777" w:rsidR="00662C4B" w:rsidRDefault="000502D0" w:rsidP="00662C4B">
            <w:pPr>
              <w:autoSpaceDE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fr-CA"/>
              </w:rPr>
            </w:pPr>
            <w:r>
              <w:rPr>
                <w:rFonts w:ascii="Times New Roman" w:hAnsi="Times New Roman" w:cs="Times New Roman"/>
                <w:color w:val="000000"/>
                <w:sz w:val="20"/>
                <w:szCs w:val="20"/>
                <w:lang w:val="fr-CA"/>
              </w:rPr>
              <w:t>-22</w:t>
            </w:r>
          </w:p>
          <w:p w14:paraId="370C291C" w14:textId="77777777" w:rsidR="000502D0" w:rsidRPr="005B7E42" w:rsidRDefault="000502D0" w:rsidP="00662C4B">
            <w:pPr>
              <w:autoSpaceDE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fr-CA"/>
              </w:rPr>
            </w:pPr>
            <w:r>
              <w:rPr>
                <w:rFonts w:ascii="Times New Roman" w:hAnsi="Times New Roman" w:cs="Times New Roman"/>
                <w:color w:val="000000"/>
                <w:sz w:val="20"/>
                <w:szCs w:val="20"/>
                <w:lang w:val="fr-CA"/>
              </w:rPr>
              <w:t>(0.01)</w:t>
            </w:r>
          </w:p>
        </w:tc>
        <w:tc>
          <w:tcPr>
            <w:tcW w:w="833" w:type="dxa"/>
          </w:tcPr>
          <w:p w14:paraId="6891E432" w14:textId="77777777" w:rsidR="00662C4B" w:rsidRDefault="000502D0" w:rsidP="00662C4B">
            <w:pPr>
              <w:autoSpaceDE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fr-CA"/>
              </w:rPr>
            </w:pPr>
            <w:r>
              <w:rPr>
                <w:rFonts w:ascii="Times New Roman" w:hAnsi="Times New Roman" w:cs="Times New Roman"/>
                <w:color w:val="000000"/>
                <w:sz w:val="20"/>
                <w:szCs w:val="20"/>
                <w:lang w:val="fr-CA"/>
              </w:rPr>
              <w:t>2.25</w:t>
            </w:r>
          </w:p>
          <w:p w14:paraId="3FEC47E0" w14:textId="77777777" w:rsidR="000502D0" w:rsidRPr="005B7E42" w:rsidRDefault="000502D0" w:rsidP="00662C4B">
            <w:pPr>
              <w:autoSpaceDE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fr-CA"/>
              </w:rPr>
            </w:pPr>
            <w:r>
              <w:rPr>
                <w:rFonts w:ascii="Times New Roman" w:hAnsi="Times New Roman" w:cs="Times New Roman"/>
                <w:color w:val="000000"/>
                <w:sz w:val="20"/>
                <w:szCs w:val="20"/>
                <w:lang w:val="fr-CA"/>
              </w:rPr>
              <w:t>(0.0219</w:t>
            </w:r>
          </w:p>
        </w:tc>
        <w:tc>
          <w:tcPr>
            <w:tcW w:w="0" w:type="auto"/>
          </w:tcPr>
          <w:p w14:paraId="668E43ED" w14:textId="77777777" w:rsidR="00662C4B" w:rsidRPr="005B7E42" w:rsidRDefault="001D5490" w:rsidP="001D5490">
            <w:pPr>
              <w:autoSpaceDE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fr-CA"/>
              </w:rPr>
            </w:pPr>
            <w:r>
              <w:rPr>
                <w:rFonts w:ascii="Times New Roman" w:hAnsi="Times New Roman" w:cs="Times New Roman"/>
                <w:color w:val="000000"/>
                <w:sz w:val="20"/>
                <w:szCs w:val="20"/>
                <w:lang w:val="fr-CA"/>
              </w:rPr>
              <w:t>I (1</w:t>
            </w:r>
            <w:r w:rsidR="00662C4B" w:rsidRPr="005B7E42">
              <w:rPr>
                <w:rFonts w:ascii="Times New Roman" w:hAnsi="Times New Roman" w:cs="Times New Roman"/>
                <w:color w:val="000000"/>
                <w:sz w:val="20"/>
                <w:szCs w:val="20"/>
                <w:lang w:val="fr-CA"/>
              </w:rPr>
              <w:t xml:space="preserve">) </w:t>
            </w:r>
            <w:r>
              <w:rPr>
                <w:rFonts w:ascii="Times New Roman" w:hAnsi="Times New Roman" w:cs="Times New Roman"/>
                <w:color w:val="000000"/>
                <w:sz w:val="20"/>
                <w:szCs w:val="20"/>
                <w:lang w:val="fr-CA"/>
              </w:rPr>
              <w:t>sans tendance ni constante</w:t>
            </w:r>
          </w:p>
        </w:tc>
      </w:tr>
    </w:tbl>
    <w:p w14:paraId="33E26B0D" w14:textId="01174369" w:rsidR="005113FB" w:rsidRDefault="005113FB" w:rsidP="005113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sz w:val="20"/>
          <w:szCs w:val="20"/>
        </w:rPr>
      </w:pPr>
      <w:r w:rsidRPr="001D39BA">
        <w:rPr>
          <w:rFonts w:ascii="Times New Roman" w:eastAsia="Times New Roman" w:hAnsi="Times New Roman" w:cs="Times New Roman"/>
          <w:b/>
          <w:color w:val="000000"/>
          <w:sz w:val="20"/>
          <w:szCs w:val="20"/>
          <w:lang w:eastAsia="fr-FR"/>
        </w:rPr>
        <w:t xml:space="preserve">Source : </w:t>
      </w:r>
      <w:r w:rsidR="00DE6D6E" w:rsidRPr="00317520">
        <w:rPr>
          <w:rFonts w:ascii="Times New Roman" w:eastAsia="Times New Roman" w:hAnsi="Times New Roman" w:cs="Times New Roman"/>
          <w:b/>
          <w:bCs/>
          <w:color w:val="000000"/>
          <w:sz w:val="20"/>
          <w:szCs w:val="20"/>
          <w:lang w:eastAsia="fr-FR"/>
        </w:rPr>
        <w:t xml:space="preserve">Compte déplacements des voyageurs en Île-de-France (Île de France Mobilités) et Île-de-France Mobilités, d'après RATP, </w:t>
      </w:r>
      <w:proofErr w:type="spellStart"/>
      <w:r w:rsidR="00DE6D6E" w:rsidRPr="00317520">
        <w:rPr>
          <w:rFonts w:ascii="Times New Roman" w:eastAsia="Times New Roman" w:hAnsi="Times New Roman" w:cs="Times New Roman"/>
          <w:b/>
          <w:bCs/>
          <w:color w:val="000000"/>
          <w:sz w:val="20"/>
          <w:szCs w:val="20"/>
          <w:lang w:eastAsia="fr-FR"/>
        </w:rPr>
        <w:t>Optile</w:t>
      </w:r>
      <w:proofErr w:type="spellEnd"/>
      <w:r w:rsidR="00DE6D6E" w:rsidRPr="00317520">
        <w:rPr>
          <w:rFonts w:ascii="Times New Roman" w:eastAsia="Times New Roman" w:hAnsi="Times New Roman" w:cs="Times New Roman"/>
          <w:b/>
          <w:bCs/>
          <w:color w:val="000000"/>
          <w:sz w:val="20"/>
          <w:szCs w:val="20"/>
          <w:lang w:eastAsia="fr-FR"/>
        </w:rPr>
        <w:t xml:space="preserve"> et SNCF</w:t>
      </w:r>
      <w:r w:rsidR="00DE6D6E" w:rsidRPr="00317520">
        <w:rPr>
          <w:rFonts w:ascii="Times New Roman" w:hAnsi="Times New Roman" w:cs="Times New Roman"/>
          <w:b/>
          <w:bCs/>
          <w:sz w:val="20"/>
        </w:rPr>
        <w:tab/>
      </w:r>
    </w:p>
    <w:p w14:paraId="103197C9" w14:textId="77777777" w:rsidR="005113FB" w:rsidRPr="005113FB" w:rsidRDefault="005113FB" w:rsidP="005113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sz w:val="20"/>
          <w:szCs w:val="20"/>
        </w:rPr>
      </w:pPr>
    </w:p>
    <w:p w14:paraId="5998A720" w14:textId="77777777" w:rsidR="000502D0" w:rsidRDefault="0019578B" w:rsidP="00FC2E3D">
      <w:pPr>
        <w:jc w:val="both"/>
        <w:rPr>
          <w:rFonts w:ascii="Times New Roman" w:hAnsi="Times New Roman" w:cs="Times New Roman"/>
          <w:sz w:val="24"/>
          <w:lang w:val="fr-CA"/>
        </w:rPr>
      </w:pPr>
      <w:r>
        <w:rPr>
          <w:rFonts w:ascii="Times New Roman" w:hAnsi="Times New Roman" w:cs="Times New Roman"/>
          <w:sz w:val="24"/>
          <w:lang w:val="fr-CA"/>
        </w:rPr>
        <w:t>La variable investissement a fait l’objet d’un traitement spécial afin de prendre en compte la tendance déterministe qui existe dans la série. Pour ce faire, nous allons estimer par les Moindres Carrés Ordinaires (MCO) la relation :</w:t>
      </w:r>
    </w:p>
    <w:p w14:paraId="50505DCD" w14:textId="77777777" w:rsidR="0019578B" w:rsidRPr="0019578B" w:rsidRDefault="000C4BE8" w:rsidP="00FC2E3D">
      <w:pPr>
        <w:jc w:val="both"/>
        <w:rPr>
          <w:rFonts w:ascii="Times New Roman" w:eastAsiaTheme="minorEastAsia" w:hAnsi="Times New Roman" w:cs="Times New Roman"/>
          <w:sz w:val="24"/>
          <w:lang w:val="fr-CA"/>
        </w:rPr>
      </w:pPr>
      <m:oMathPara>
        <m:oMath>
          <m:sSub>
            <m:sSubPr>
              <m:ctrlPr>
                <w:rPr>
                  <w:rFonts w:ascii="Cambria Math" w:hAnsi="Cambria Math" w:cs="Times New Roman"/>
                  <w:i/>
                  <w:sz w:val="24"/>
                  <w:lang w:val="fr-CA"/>
                </w:rPr>
              </m:ctrlPr>
            </m:sSubPr>
            <m:e>
              <m:r>
                <w:rPr>
                  <w:rFonts w:ascii="Cambria Math" w:hAnsi="Cambria Math" w:cs="Times New Roman"/>
                  <w:sz w:val="24"/>
                  <w:lang w:val="fr-CA"/>
                </w:rPr>
                <m:t>Investissement</m:t>
              </m:r>
            </m:e>
            <m:sub>
              <m:r>
                <w:rPr>
                  <w:rFonts w:ascii="Cambria Math" w:hAnsi="Cambria Math" w:cs="Times New Roman"/>
                  <w:sz w:val="24"/>
                  <w:lang w:val="fr-CA"/>
                </w:rPr>
                <m:t>t</m:t>
              </m:r>
            </m:sub>
          </m:sSub>
          <m:r>
            <w:rPr>
              <w:rFonts w:ascii="Cambria Math" w:hAnsi="Cambria Math" w:cs="Times New Roman"/>
              <w:sz w:val="24"/>
              <w:lang w:val="fr-CA"/>
            </w:rPr>
            <m:t>=</m:t>
          </m:r>
          <m:sSub>
            <m:sSubPr>
              <m:ctrlPr>
                <w:rPr>
                  <w:rFonts w:ascii="Cambria Math" w:hAnsi="Cambria Math" w:cs="Times New Roman"/>
                  <w:i/>
                  <w:sz w:val="24"/>
                  <w:lang w:val="fr-CA"/>
                </w:rPr>
              </m:ctrlPr>
            </m:sSubPr>
            <m:e>
              <m:r>
                <w:rPr>
                  <w:rFonts w:ascii="Cambria Math" w:hAnsi="Cambria Math" w:cs="Times New Roman"/>
                  <w:sz w:val="24"/>
                  <w:lang w:val="fr-CA"/>
                </w:rPr>
                <m:t>a</m:t>
              </m:r>
            </m:e>
            <m:sub>
              <m:r>
                <w:rPr>
                  <w:rFonts w:ascii="Cambria Math" w:hAnsi="Cambria Math" w:cs="Times New Roman"/>
                  <w:sz w:val="24"/>
                  <w:lang w:val="fr-CA"/>
                </w:rPr>
                <m:t>0</m:t>
              </m:r>
            </m:sub>
          </m:sSub>
          <m:r>
            <w:rPr>
              <w:rFonts w:ascii="Cambria Math" w:hAnsi="Cambria Math" w:cs="Times New Roman"/>
              <w:sz w:val="24"/>
              <w:lang w:val="fr-CA"/>
            </w:rPr>
            <m:t>+</m:t>
          </m:r>
          <m:sSub>
            <m:sSubPr>
              <m:ctrlPr>
                <w:rPr>
                  <w:rFonts w:ascii="Cambria Math" w:hAnsi="Cambria Math" w:cs="Times New Roman"/>
                  <w:i/>
                  <w:sz w:val="24"/>
                  <w:lang w:val="fr-CA"/>
                </w:rPr>
              </m:ctrlPr>
            </m:sSubPr>
            <m:e>
              <m:r>
                <w:rPr>
                  <w:rFonts w:ascii="Cambria Math" w:hAnsi="Cambria Math" w:cs="Times New Roman"/>
                  <w:sz w:val="24"/>
                  <w:lang w:val="fr-CA"/>
                </w:rPr>
                <m:t>a</m:t>
              </m:r>
            </m:e>
            <m:sub>
              <m:r>
                <w:rPr>
                  <w:rFonts w:ascii="Cambria Math" w:hAnsi="Cambria Math" w:cs="Times New Roman"/>
                  <w:sz w:val="24"/>
                  <w:lang w:val="fr-CA"/>
                </w:rPr>
                <m:t>1</m:t>
              </m:r>
            </m:sub>
          </m:sSub>
          <m:r>
            <w:rPr>
              <w:rFonts w:ascii="Cambria Math" w:hAnsi="Cambria Math" w:cs="Times New Roman"/>
              <w:sz w:val="24"/>
              <w:lang w:val="fr-CA"/>
            </w:rPr>
            <m:t>t</m:t>
          </m:r>
        </m:oMath>
      </m:oMathPara>
    </w:p>
    <w:p w14:paraId="362B5FE2" w14:textId="7CFE5264" w:rsidR="0019578B" w:rsidRDefault="0019578B" w:rsidP="00FC2E3D">
      <w:pPr>
        <w:jc w:val="both"/>
        <w:rPr>
          <w:rFonts w:ascii="Times New Roman" w:eastAsiaTheme="minorEastAsia" w:hAnsi="Times New Roman" w:cs="Times New Roman"/>
          <w:sz w:val="24"/>
          <w:lang w:val="fr-CA"/>
        </w:rPr>
      </w:pPr>
      <w:r>
        <w:rPr>
          <w:rFonts w:ascii="Times New Roman" w:eastAsiaTheme="minorEastAsia" w:hAnsi="Times New Roman" w:cs="Times New Roman"/>
          <w:sz w:val="24"/>
          <w:lang w:val="fr-CA"/>
        </w:rPr>
        <w:t xml:space="preserve">Une fois réalisée, nous avons retranché de la série la composante </w:t>
      </w:r>
      <m:oMath>
        <m:sSub>
          <m:sSubPr>
            <m:ctrlPr>
              <w:rPr>
                <w:rFonts w:ascii="Cambria Math" w:hAnsi="Cambria Math" w:cs="Times New Roman"/>
                <w:i/>
                <w:sz w:val="24"/>
                <w:lang w:val="fr-CA"/>
              </w:rPr>
            </m:ctrlPr>
          </m:sSubPr>
          <m:e>
            <m:acc>
              <m:accPr>
                <m:ctrlPr>
                  <w:rPr>
                    <w:rFonts w:ascii="Cambria Math" w:hAnsi="Cambria Math" w:cs="Times New Roman"/>
                    <w:i/>
                    <w:sz w:val="24"/>
                    <w:lang w:val="fr-CA"/>
                  </w:rPr>
                </m:ctrlPr>
              </m:accPr>
              <m:e>
                <m:r>
                  <w:rPr>
                    <w:rFonts w:ascii="Cambria Math" w:hAnsi="Cambria Math" w:cs="Times New Roman"/>
                    <w:sz w:val="24"/>
                    <w:lang w:val="fr-CA"/>
                  </w:rPr>
                  <m:t>a</m:t>
                </m:r>
              </m:e>
            </m:acc>
          </m:e>
          <m:sub>
            <m:r>
              <w:rPr>
                <w:rFonts w:ascii="Cambria Math" w:hAnsi="Cambria Math" w:cs="Times New Roman"/>
                <w:sz w:val="24"/>
                <w:lang w:val="fr-CA"/>
              </w:rPr>
              <m:t>0</m:t>
            </m:r>
          </m:sub>
        </m:sSub>
        <m:r>
          <w:rPr>
            <w:rFonts w:ascii="Cambria Math" w:hAnsi="Cambria Math" w:cs="Times New Roman"/>
            <w:sz w:val="24"/>
            <w:lang w:val="fr-CA"/>
          </w:rPr>
          <m:t>+</m:t>
        </m:r>
        <m:sSub>
          <m:sSubPr>
            <m:ctrlPr>
              <w:rPr>
                <w:rFonts w:ascii="Cambria Math" w:hAnsi="Cambria Math" w:cs="Times New Roman"/>
                <w:i/>
                <w:sz w:val="24"/>
                <w:lang w:val="fr-CA"/>
              </w:rPr>
            </m:ctrlPr>
          </m:sSubPr>
          <m:e>
            <m:acc>
              <m:accPr>
                <m:ctrlPr>
                  <w:rPr>
                    <w:rFonts w:ascii="Cambria Math" w:hAnsi="Cambria Math" w:cs="Times New Roman"/>
                    <w:i/>
                    <w:sz w:val="24"/>
                    <w:lang w:val="fr-CA"/>
                  </w:rPr>
                </m:ctrlPr>
              </m:accPr>
              <m:e>
                <m:r>
                  <w:rPr>
                    <w:rFonts w:ascii="Cambria Math" w:hAnsi="Cambria Math" w:cs="Times New Roman"/>
                    <w:sz w:val="24"/>
                    <w:lang w:val="fr-CA"/>
                  </w:rPr>
                  <m:t>a</m:t>
                </m:r>
              </m:e>
            </m:acc>
          </m:e>
          <m:sub>
            <m:r>
              <w:rPr>
                <w:rFonts w:ascii="Cambria Math" w:hAnsi="Cambria Math" w:cs="Times New Roman"/>
                <w:sz w:val="24"/>
                <w:lang w:val="fr-CA"/>
              </w:rPr>
              <m:t>1</m:t>
            </m:r>
          </m:sub>
        </m:sSub>
        <m:r>
          <w:rPr>
            <w:rFonts w:ascii="Cambria Math" w:hAnsi="Cambria Math" w:cs="Times New Roman"/>
            <w:sz w:val="24"/>
            <w:lang w:val="fr-CA"/>
          </w:rPr>
          <m:t>t</m:t>
        </m:r>
      </m:oMath>
      <w:r>
        <w:rPr>
          <w:rFonts w:ascii="Times New Roman" w:eastAsiaTheme="minorEastAsia" w:hAnsi="Times New Roman" w:cs="Times New Roman"/>
          <w:sz w:val="24"/>
          <w:lang w:val="fr-CA"/>
        </w:rPr>
        <w:t xml:space="preserve"> pour enlever la tendance déterministe.</w:t>
      </w:r>
    </w:p>
    <w:p w14:paraId="1E8B0C6F" w14:textId="4BD39DCE" w:rsidR="00B506F6" w:rsidRDefault="00B35B04" w:rsidP="00FC2E3D">
      <w:pPr>
        <w:jc w:val="both"/>
        <w:rPr>
          <w:rFonts w:ascii="Times New Roman" w:eastAsiaTheme="minorEastAsia" w:hAnsi="Times New Roman" w:cs="Times New Roman"/>
          <w:sz w:val="24"/>
          <w:lang w:val="fr-CA"/>
        </w:rPr>
      </w:pPr>
      <w:r>
        <w:rPr>
          <w:rFonts w:ascii="Times New Roman" w:eastAsiaTheme="minorEastAsia" w:hAnsi="Times New Roman" w:cs="Times New Roman"/>
          <w:sz w:val="24"/>
          <w:lang w:val="fr-CA"/>
        </w:rPr>
        <w:t xml:space="preserve">Par ailleurs, nous pouvons avancer que </w:t>
      </w:r>
      <w:r w:rsidR="00CF41C4">
        <w:rPr>
          <w:rFonts w:ascii="Times New Roman" w:eastAsiaTheme="minorEastAsia" w:hAnsi="Times New Roman" w:cs="Times New Roman"/>
          <w:sz w:val="24"/>
          <w:lang w:val="fr-CA"/>
        </w:rPr>
        <w:t>la variable rentabilité est stationnaire en niveau sans tendance ni constante</w:t>
      </w:r>
      <w:r w:rsidR="00000545">
        <w:rPr>
          <w:rFonts w:ascii="Times New Roman" w:eastAsiaTheme="minorEastAsia" w:hAnsi="Times New Roman" w:cs="Times New Roman"/>
          <w:sz w:val="24"/>
          <w:lang w:val="fr-CA"/>
        </w:rPr>
        <w:t xml:space="preserve"> (Tableau 3</w:t>
      </w:r>
      <w:r>
        <w:rPr>
          <w:rFonts w:ascii="Times New Roman" w:eastAsiaTheme="minorEastAsia" w:hAnsi="Times New Roman" w:cs="Times New Roman"/>
          <w:sz w:val="24"/>
          <w:lang w:val="fr-CA"/>
        </w:rPr>
        <w:t>) et l</w:t>
      </w:r>
      <w:r w:rsidR="00CF41C4">
        <w:rPr>
          <w:rFonts w:ascii="Times New Roman" w:eastAsiaTheme="minorEastAsia" w:hAnsi="Times New Roman" w:cs="Times New Roman"/>
          <w:sz w:val="24"/>
          <w:lang w:val="fr-CA"/>
        </w:rPr>
        <w:t>es autres variables sont stationnaires en différence première. Ainsi,</w:t>
      </w:r>
      <w:r>
        <w:rPr>
          <w:rFonts w:ascii="Times New Roman" w:eastAsiaTheme="minorEastAsia" w:hAnsi="Times New Roman" w:cs="Times New Roman"/>
          <w:sz w:val="24"/>
          <w:lang w:val="fr-CA"/>
        </w:rPr>
        <w:t xml:space="preserve"> l</w:t>
      </w:r>
      <w:r w:rsidR="00CF41C4">
        <w:rPr>
          <w:rFonts w:ascii="Times New Roman" w:eastAsiaTheme="minorEastAsia" w:hAnsi="Times New Roman" w:cs="Times New Roman"/>
          <w:sz w:val="24"/>
          <w:lang w:val="fr-CA"/>
        </w:rPr>
        <w:t xml:space="preserve">es variables sont stationnaires à des ordres différents. </w:t>
      </w:r>
    </w:p>
    <w:p w14:paraId="506F2F87" w14:textId="77777777" w:rsidR="00137DFC" w:rsidRDefault="00137DFC" w:rsidP="00FC2E3D">
      <w:pPr>
        <w:jc w:val="both"/>
        <w:rPr>
          <w:rFonts w:ascii="Times New Roman" w:eastAsiaTheme="minorEastAsia" w:hAnsi="Times New Roman" w:cs="Times New Roman"/>
          <w:sz w:val="24"/>
          <w:lang w:val="fr-CA"/>
        </w:rPr>
      </w:pPr>
    </w:p>
    <w:p w14:paraId="2098FDAC" w14:textId="75B51C9B" w:rsidR="00B506F6" w:rsidRPr="002C015D" w:rsidRDefault="00320923" w:rsidP="00F61F98">
      <w:pPr>
        <w:pStyle w:val="Titre3"/>
        <w:numPr>
          <w:ilvl w:val="0"/>
          <w:numId w:val="15"/>
        </w:numPr>
        <w:rPr>
          <w:rFonts w:ascii="Times New Roman" w:hAnsi="Times New Roman" w:cs="Times New Roman"/>
          <w:b/>
          <w:bCs/>
        </w:rPr>
      </w:pPr>
      <w:bookmarkStart w:id="40" w:name="_Toc70937419"/>
      <w:r w:rsidRPr="002C015D">
        <w:rPr>
          <w:rFonts w:ascii="Times New Roman" w:hAnsi="Times New Roman" w:cs="Times New Roman"/>
          <w:b/>
          <w:bCs/>
        </w:rPr>
        <w:t>Analyse de causalité</w:t>
      </w:r>
      <w:bookmarkEnd w:id="40"/>
      <w:r w:rsidRPr="002C015D">
        <w:rPr>
          <w:rFonts w:ascii="Times New Roman" w:hAnsi="Times New Roman" w:cs="Times New Roman"/>
          <w:b/>
          <w:bCs/>
        </w:rPr>
        <w:t xml:space="preserve"> </w:t>
      </w:r>
    </w:p>
    <w:p w14:paraId="107BA089" w14:textId="3B5B47F0" w:rsidR="00320923" w:rsidRDefault="00FE128C" w:rsidP="00320923">
      <w:pPr>
        <w:jc w:val="both"/>
        <w:rPr>
          <w:rFonts w:ascii="Times New Roman" w:hAnsi="Times New Roman" w:cs="Times New Roman"/>
          <w:sz w:val="24"/>
        </w:rPr>
      </w:pPr>
      <w:r>
        <w:rPr>
          <w:rFonts w:ascii="Times New Roman" w:hAnsi="Times New Roman" w:cs="Times New Roman"/>
          <w:sz w:val="24"/>
        </w:rPr>
        <w:t xml:space="preserve">Nous avons démontré </w:t>
      </w:r>
      <w:r w:rsidR="00EF18EA">
        <w:rPr>
          <w:rFonts w:ascii="Times New Roman" w:hAnsi="Times New Roman" w:cs="Times New Roman"/>
          <w:sz w:val="24"/>
        </w:rPr>
        <w:t xml:space="preserve">plus haut </w:t>
      </w:r>
      <w:r>
        <w:rPr>
          <w:rFonts w:ascii="Times New Roman" w:hAnsi="Times New Roman" w:cs="Times New Roman"/>
          <w:sz w:val="24"/>
        </w:rPr>
        <w:t xml:space="preserve">qu’il existe </w:t>
      </w:r>
      <w:r w:rsidR="00320923">
        <w:rPr>
          <w:rFonts w:ascii="Times New Roman" w:hAnsi="Times New Roman" w:cs="Times New Roman"/>
          <w:sz w:val="24"/>
        </w:rPr>
        <w:t xml:space="preserve">un fort lien de corrélation entre les variables (tableau 2) </w:t>
      </w:r>
      <w:r w:rsidR="00320923" w:rsidRPr="00037B04">
        <w:rPr>
          <w:rFonts w:ascii="Times New Roman" w:hAnsi="Times New Roman" w:cs="Times New Roman"/>
          <w:sz w:val="24"/>
        </w:rPr>
        <w:t>mais corrélation ne veut pas dire causalité</w:t>
      </w:r>
      <w:r w:rsidR="00320923">
        <w:rPr>
          <w:rFonts w:ascii="Times New Roman" w:hAnsi="Times New Roman" w:cs="Times New Roman"/>
          <w:sz w:val="24"/>
        </w:rPr>
        <w:t xml:space="preserve">. Dans cette section, nous allons faire ressortir les potentiels liens causaux entre les variables. Pour déterminer la causalité, nous utiliserons l’approche de Granger qui définit la relation de causalité d’une variable </w:t>
      </w:r>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t</m:t>
            </m:r>
          </m:sub>
        </m:sSub>
      </m:oMath>
      <w:r w:rsidR="00320923">
        <w:rPr>
          <w:rFonts w:ascii="Times New Roman" w:hAnsi="Times New Roman" w:cs="Times New Roman"/>
          <w:sz w:val="24"/>
        </w:rPr>
        <w:t xml:space="preserve"> sur une autre </w:t>
      </w:r>
      <m:oMath>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t</m:t>
            </m:r>
          </m:sub>
        </m:sSub>
      </m:oMath>
      <w:r w:rsidR="00320923">
        <w:rPr>
          <w:rFonts w:ascii="Times New Roman" w:hAnsi="Times New Roman" w:cs="Times New Roman"/>
          <w:sz w:val="24"/>
        </w:rPr>
        <w:t xml:space="preserve"> si la connaissance d</w:t>
      </w:r>
      <w:r w:rsidR="00E94055">
        <w:rPr>
          <w:rFonts w:ascii="Times New Roman" w:hAnsi="Times New Roman" w:cs="Times New Roman"/>
          <w:sz w:val="24"/>
        </w:rPr>
        <w:t>u passé de</w:t>
      </w:r>
      <w:r w:rsidR="00320923">
        <w:rPr>
          <w:rFonts w:ascii="Times New Roman" w:hAnsi="Times New Roman" w:cs="Times New Roman"/>
          <w:sz w:val="24"/>
        </w:rPr>
        <w:t xml:space="preserve"> </w:t>
      </w:r>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t</m:t>
            </m:r>
          </m:sub>
        </m:sSub>
      </m:oMath>
      <w:r w:rsidR="00320923">
        <w:rPr>
          <w:rFonts w:ascii="Times New Roman" w:hAnsi="Times New Roman" w:cs="Times New Roman"/>
          <w:sz w:val="24"/>
        </w:rPr>
        <w:t xml:space="preserve"> améliore la prédiction de</w:t>
      </w:r>
      <m:oMath>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t</m:t>
            </m:r>
          </m:sub>
        </m:sSub>
      </m:oMath>
      <w:r w:rsidR="00320923">
        <w:rPr>
          <w:rFonts w:ascii="Times New Roman" w:hAnsi="Times New Roman" w:cs="Times New Roman"/>
          <w:sz w:val="24"/>
        </w:rPr>
        <w:t xml:space="preserve">. Le test de Granger permet de déterminer si une telle relation existe. Si tel est le cas, nous dirons que la variable </w:t>
      </w:r>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t</m:t>
            </m:r>
          </m:sub>
        </m:sSub>
      </m:oMath>
      <w:r w:rsidR="00320923">
        <w:rPr>
          <w:rFonts w:ascii="Times New Roman" w:hAnsi="Times New Roman" w:cs="Times New Roman"/>
          <w:sz w:val="24"/>
        </w:rPr>
        <w:t xml:space="preserve"> Granger cause</w:t>
      </w:r>
      <m:oMath>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 xml:space="preserve">y </m:t>
            </m:r>
          </m:e>
          <m:sub>
            <m:r>
              <w:rPr>
                <w:rFonts w:ascii="Cambria Math" w:hAnsi="Cambria Math" w:cs="Times New Roman"/>
                <w:sz w:val="24"/>
              </w:rPr>
              <m:t>t</m:t>
            </m:r>
          </m:sub>
        </m:sSub>
      </m:oMath>
      <w:r w:rsidR="00320923">
        <w:rPr>
          <w:rFonts w:ascii="Times New Roman" w:hAnsi="Times New Roman" w:cs="Times New Roman"/>
          <w:sz w:val="24"/>
        </w:rPr>
        <w:t xml:space="preserve">. </w:t>
      </w:r>
    </w:p>
    <w:p w14:paraId="71CA5C84" w14:textId="0164A4F5" w:rsidR="00320923" w:rsidRDefault="00320923" w:rsidP="00320923">
      <w:pPr>
        <w:jc w:val="both"/>
        <w:rPr>
          <w:rFonts w:ascii="Times New Roman" w:hAnsi="Times New Roman" w:cs="Times New Roman"/>
          <w:sz w:val="24"/>
        </w:rPr>
      </w:pPr>
      <w:r>
        <w:rPr>
          <w:rFonts w:ascii="Times New Roman" w:hAnsi="Times New Roman" w:cs="Times New Roman"/>
          <w:sz w:val="24"/>
        </w:rPr>
        <w:t>L’analyse de stationnarité nous a montré que les variables ne sont pas tou</w:t>
      </w:r>
      <w:r w:rsidR="00DD2882">
        <w:rPr>
          <w:rFonts w:ascii="Times New Roman" w:hAnsi="Times New Roman" w:cs="Times New Roman"/>
          <w:sz w:val="24"/>
        </w:rPr>
        <w:t>tes</w:t>
      </w:r>
      <w:r>
        <w:rPr>
          <w:rFonts w:ascii="Times New Roman" w:hAnsi="Times New Roman" w:cs="Times New Roman"/>
          <w:sz w:val="24"/>
        </w:rPr>
        <w:t xml:space="preserve"> stationnaires en niveau.</w:t>
      </w:r>
      <w:r w:rsidR="005E6145">
        <w:rPr>
          <w:rFonts w:ascii="Times New Roman" w:hAnsi="Times New Roman" w:cs="Times New Roman"/>
          <w:sz w:val="24"/>
        </w:rPr>
        <w:t xml:space="preserve"> A cause de cela</w:t>
      </w:r>
      <w:r>
        <w:rPr>
          <w:rFonts w:ascii="Times New Roman" w:hAnsi="Times New Roman" w:cs="Times New Roman"/>
          <w:sz w:val="24"/>
        </w:rPr>
        <w:t xml:space="preserve">, les séries </w:t>
      </w:r>
      <w:r w:rsidR="005E6145">
        <w:rPr>
          <w:rFonts w:ascii="Times New Roman" w:hAnsi="Times New Roman" w:cs="Times New Roman"/>
          <w:sz w:val="24"/>
        </w:rPr>
        <w:t xml:space="preserve">en niveau </w:t>
      </w:r>
      <w:r w:rsidR="00784816">
        <w:rPr>
          <w:rFonts w:ascii="Times New Roman" w:hAnsi="Times New Roman" w:cs="Times New Roman"/>
          <w:sz w:val="24"/>
        </w:rPr>
        <w:t xml:space="preserve">(investissement, offre commerciale et concours publics) </w:t>
      </w:r>
      <w:r>
        <w:rPr>
          <w:rFonts w:ascii="Times New Roman" w:hAnsi="Times New Roman" w:cs="Times New Roman"/>
          <w:sz w:val="24"/>
        </w:rPr>
        <w:t xml:space="preserve">ne peuvent pas subir de test de causalité de Granger à cause de leur non stationnarité. En </w:t>
      </w:r>
      <w:r>
        <w:rPr>
          <w:rFonts w:ascii="Times New Roman" w:hAnsi="Times New Roman" w:cs="Times New Roman"/>
          <w:sz w:val="24"/>
        </w:rPr>
        <w:lastRenderedPageBreak/>
        <w:t xml:space="preserve">effet, nous avons trois variables sur les quatre de l’étude qui ne sont pas stationnaire en niveau. Nous allons donc travailler avec les séries en différence première qui sont stationnaires. </w:t>
      </w:r>
    </w:p>
    <w:p w14:paraId="23C8296E" w14:textId="6D58C5E1" w:rsidR="00871669" w:rsidRPr="00871669" w:rsidRDefault="00871669" w:rsidP="00320923">
      <w:pPr>
        <w:jc w:val="both"/>
        <w:rPr>
          <w:rFonts w:ascii="Times New Roman" w:hAnsi="Times New Roman" w:cs="Times New Roman"/>
          <w:b/>
          <w:sz w:val="24"/>
          <w:szCs w:val="24"/>
        </w:rPr>
      </w:pPr>
      <w:r w:rsidRPr="00137DFC">
        <w:rPr>
          <w:rFonts w:ascii="Times New Roman" w:hAnsi="Times New Roman" w:cs="Times New Roman"/>
          <w:b/>
          <w:color w:val="000000"/>
          <w:sz w:val="24"/>
          <w:szCs w:val="24"/>
          <w:lang w:val="fr-CA"/>
        </w:rPr>
        <w:t xml:space="preserve">Tableau </w:t>
      </w:r>
      <w:r>
        <w:rPr>
          <w:rFonts w:ascii="Times New Roman" w:hAnsi="Times New Roman" w:cs="Times New Roman"/>
          <w:b/>
          <w:color w:val="000000"/>
          <w:sz w:val="24"/>
          <w:szCs w:val="24"/>
          <w:lang w:val="fr-CA"/>
        </w:rPr>
        <w:t>4</w:t>
      </w:r>
      <w:r w:rsidRPr="00137DFC">
        <w:rPr>
          <w:rFonts w:ascii="Times New Roman" w:hAnsi="Times New Roman" w:cs="Times New Roman"/>
          <w:b/>
          <w:color w:val="000000"/>
          <w:sz w:val="24"/>
          <w:szCs w:val="24"/>
          <w:lang w:val="fr-CA"/>
        </w:rPr>
        <w:t xml:space="preserve"> : </w:t>
      </w:r>
      <w:r>
        <w:rPr>
          <w:rFonts w:ascii="Times New Roman" w:hAnsi="Times New Roman" w:cs="Times New Roman"/>
          <w:b/>
          <w:color w:val="000000"/>
          <w:sz w:val="24"/>
          <w:szCs w:val="24"/>
          <w:lang w:val="fr-CA"/>
        </w:rPr>
        <w:t>Analyse de causalité entre les variables</w:t>
      </w:r>
    </w:p>
    <w:tbl>
      <w:tblPr>
        <w:tblStyle w:val="Grilledutableau"/>
        <w:tblW w:w="9545" w:type="dxa"/>
        <w:tblLook w:val="04A0" w:firstRow="1" w:lastRow="0" w:firstColumn="1" w:lastColumn="0" w:noHBand="0" w:noVBand="1"/>
      </w:tblPr>
      <w:tblGrid>
        <w:gridCol w:w="2065"/>
        <w:gridCol w:w="1870"/>
        <w:gridCol w:w="1870"/>
        <w:gridCol w:w="1870"/>
        <w:gridCol w:w="1870"/>
      </w:tblGrid>
      <w:tr w:rsidR="00320923" w14:paraId="04C20B99" w14:textId="77777777" w:rsidTr="00FF6DE6">
        <w:tc>
          <w:tcPr>
            <w:tcW w:w="2065" w:type="dxa"/>
          </w:tcPr>
          <w:p w14:paraId="7B4C2F5B" w14:textId="77777777" w:rsidR="00320923" w:rsidRDefault="00320923" w:rsidP="00FF6DE6">
            <w:pPr>
              <w:jc w:val="both"/>
              <w:rPr>
                <w:rFonts w:ascii="Times New Roman" w:hAnsi="Times New Roman" w:cs="Times New Roman"/>
                <w:sz w:val="24"/>
              </w:rPr>
            </w:pPr>
          </w:p>
        </w:tc>
        <w:tc>
          <w:tcPr>
            <w:tcW w:w="1870" w:type="dxa"/>
          </w:tcPr>
          <w:p w14:paraId="34C1BC8E" w14:textId="77777777" w:rsidR="00320923" w:rsidRDefault="00320923" w:rsidP="00FF6DE6">
            <w:pPr>
              <w:jc w:val="both"/>
              <w:rPr>
                <w:rFonts w:ascii="Times New Roman" w:hAnsi="Times New Roman" w:cs="Times New Roman"/>
                <w:sz w:val="24"/>
              </w:rPr>
            </w:pPr>
            <w:r w:rsidRPr="00CD446E">
              <w:rPr>
                <w:rFonts w:ascii="Times New Roman" w:hAnsi="Times New Roman" w:cs="Times New Roman"/>
              </w:rPr>
              <w:t>Rentabilité</w:t>
            </w:r>
          </w:p>
        </w:tc>
        <w:tc>
          <w:tcPr>
            <w:tcW w:w="1870" w:type="dxa"/>
          </w:tcPr>
          <w:p w14:paraId="076B6F3A" w14:textId="77777777" w:rsidR="00320923" w:rsidRDefault="00320923" w:rsidP="00FF6DE6">
            <w:pPr>
              <w:jc w:val="both"/>
              <w:rPr>
                <w:rFonts w:ascii="Times New Roman" w:hAnsi="Times New Roman" w:cs="Times New Roman"/>
                <w:sz w:val="24"/>
              </w:rPr>
            </w:pPr>
            <w:r>
              <w:rPr>
                <w:rFonts w:ascii="Times New Roman" w:hAnsi="Times New Roman" w:cs="Times New Roman"/>
              </w:rPr>
              <w:t>Investissement</w:t>
            </w:r>
          </w:p>
        </w:tc>
        <w:tc>
          <w:tcPr>
            <w:tcW w:w="1870" w:type="dxa"/>
          </w:tcPr>
          <w:p w14:paraId="3F96BD2B" w14:textId="77777777" w:rsidR="00320923" w:rsidRPr="00CD446E" w:rsidRDefault="00320923" w:rsidP="00FF6DE6">
            <w:pPr>
              <w:tabs>
                <w:tab w:val="left" w:pos="4056"/>
              </w:tabs>
              <w:rPr>
                <w:rFonts w:ascii="Times New Roman" w:hAnsi="Times New Roman" w:cs="Times New Roman"/>
              </w:rPr>
            </w:pPr>
            <w:r>
              <w:rPr>
                <w:rFonts w:ascii="Times New Roman" w:hAnsi="Times New Roman" w:cs="Times New Roman"/>
              </w:rPr>
              <w:t>Concours Publics</w:t>
            </w:r>
          </w:p>
        </w:tc>
        <w:tc>
          <w:tcPr>
            <w:tcW w:w="1870" w:type="dxa"/>
          </w:tcPr>
          <w:p w14:paraId="14E3DDD6" w14:textId="77777777" w:rsidR="00320923" w:rsidRDefault="00320923" w:rsidP="00FF6DE6">
            <w:pPr>
              <w:jc w:val="both"/>
              <w:rPr>
                <w:rFonts w:ascii="Times New Roman" w:hAnsi="Times New Roman" w:cs="Times New Roman"/>
                <w:sz w:val="24"/>
              </w:rPr>
            </w:pPr>
            <w:r w:rsidRPr="00CD446E">
              <w:rPr>
                <w:rFonts w:ascii="Times New Roman" w:hAnsi="Times New Roman" w:cs="Times New Roman"/>
              </w:rPr>
              <w:t>Offre commerciale</w:t>
            </w:r>
          </w:p>
        </w:tc>
      </w:tr>
      <w:tr w:rsidR="00320923" w14:paraId="5FB58B86" w14:textId="77777777" w:rsidTr="00FF6DE6">
        <w:tc>
          <w:tcPr>
            <w:tcW w:w="2065" w:type="dxa"/>
          </w:tcPr>
          <w:p w14:paraId="2343B08B" w14:textId="77777777" w:rsidR="00320923" w:rsidRPr="00CD446E" w:rsidRDefault="00320923" w:rsidP="00FF6DE6">
            <w:pPr>
              <w:tabs>
                <w:tab w:val="left" w:pos="4056"/>
              </w:tabs>
              <w:rPr>
                <w:rFonts w:ascii="Times New Roman" w:hAnsi="Times New Roman" w:cs="Times New Roman"/>
              </w:rPr>
            </w:pPr>
            <w:r w:rsidRPr="00CD446E">
              <w:rPr>
                <w:rFonts w:ascii="Times New Roman" w:hAnsi="Times New Roman" w:cs="Times New Roman"/>
              </w:rPr>
              <w:t>Rentabilité</w:t>
            </w:r>
          </w:p>
        </w:tc>
        <w:tc>
          <w:tcPr>
            <w:tcW w:w="1870" w:type="dxa"/>
          </w:tcPr>
          <w:p w14:paraId="76D894AB" w14:textId="77777777" w:rsidR="00320923" w:rsidRDefault="00320923" w:rsidP="00FF6DE6">
            <w:pPr>
              <w:jc w:val="both"/>
              <w:rPr>
                <w:rFonts w:ascii="Times New Roman" w:hAnsi="Times New Roman" w:cs="Times New Roman"/>
                <w:sz w:val="24"/>
              </w:rPr>
            </w:pPr>
            <w:r>
              <w:rPr>
                <w:rFonts w:ascii="Times New Roman" w:hAnsi="Times New Roman" w:cs="Times New Roman"/>
                <w:sz w:val="24"/>
              </w:rPr>
              <w:t>--------</w:t>
            </w:r>
          </w:p>
        </w:tc>
        <w:tc>
          <w:tcPr>
            <w:tcW w:w="1870" w:type="dxa"/>
          </w:tcPr>
          <w:p w14:paraId="6DCC4B98" w14:textId="77777777" w:rsidR="00320923" w:rsidRDefault="00320923" w:rsidP="00FF6DE6">
            <w:pPr>
              <w:jc w:val="both"/>
              <w:rPr>
                <w:rFonts w:ascii="Times New Roman" w:hAnsi="Times New Roman" w:cs="Times New Roman"/>
                <w:sz w:val="24"/>
              </w:rPr>
            </w:pPr>
            <w:r w:rsidRPr="00B7596F">
              <w:rPr>
                <w:rFonts w:ascii="Times New Roman" w:hAnsi="Times New Roman" w:cs="Times New Roman"/>
                <w:sz w:val="24"/>
              </w:rPr>
              <w:t xml:space="preserve"> 3.3659</w:t>
            </w:r>
          </w:p>
          <w:p w14:paraId="517D0093" w14:textId="77777777" w:rsidR="00320923" w:rsidRDefault="00320923" w:rsidP="00FF6DE6">
            <w:pPr>
              <w:jc w:val="both"/>
              <w:rPr>
                <w:rFonts w:ascii="Times New Roman" w:hAnsi="Times New Roman" w:cs="Times New Roman"/>
                <w:sz w:val="24"/>
              </w:rPr>
            </w:pPr>
            <w:r>
              <w:rPr>
                <w:rFonts w:ascii="Times New Roman" w:hAnsi="Times New Roman" w:cs="Times New Roman"/>
                <w:sz w:val="24"/>
              </w:rPr>
              <w:t>(</w:t>
            </w:r>
            <w:r w:rsidRPr="00B7596F">
              <w:rPr>
                <w:rFonts w:ascii="Times New Roman" w:hAnsi="Times New Roman" w:cs="Times New Roman"/>
                <w:sz w:val="24"/>
              </w:rPr>
              <w:t>0.03622 *</w:t>
            </w:r>
            <w:r>
              <w:rPr>
                <w:rFonts w:ascii="Times New Roman" w:hAnsi="Times New Roman" w:cs="Times New Roman"/>
                <w:sz w:val="24"/>
              </w:rPr>
              <w:t>)</w:t>
            </w:r>
          </w:p>
        </w:tc>
        <w:tc>
          <w:tcPr>
            <w:tcW w:w="1870" w:type="dxa"/>
          </w:tcPr>
          <w:p w14:paraId="438BF912" w14:textId="77777777" w:rsidR="00320923" w:rsidRDefault="00320923" w:rsidP="00FF6DE6">
            <w:pPr>
              <w:jc w:val="both"/>
              <w:rPr>
                <w:rFonts w:ascii="Times New Roman" w:hAnsi="Times New Roman" w:cs="Times New Roman"/>
                <w:sz w:val="24"/>
              </w:rPr>
            </w:pPr>
            <w:r w:rsidRPr="00B7596F">
              <w:rPr>
                <w:rFonts w:ascii="Times New Roman" w:hAnsi="Times New Roman" w:cs="Times New Roman"/>
                <w:sz w:val="24"/>
              </w:rPr>
              <w:t>2.1171</w:t>
            </w:r>
          </w:p>
          <w:p w14:paraId="6BDEF011" w14:textId="77777777" w:rsidR="00320923" w:rsidRDefault="00320923" w:rsidP="00FF6DE6">
            <w:pPr>
              <w:jc w:val="both"/>
              <w:rPr>
                <w:rFonts w:ascii="Times New Roman" w:hAnsi="Times New Roman" w:cs="Times New Roman"/>
                <w:sz w:val="24"/>
              </w:rPr>
            </w:pPr>
            <w:r>
              <w:rPr>
                <w:rFonts w:ascii="Times New Roman" w:hAnsi="Times New Roman" w:cs="Times New Roman"/>
                <w:sz w:val="24"/>
              </w:rPr>
              <w:t>(</w:t>
            </w:r>
            <w:r w:rsidRPr="00525922">
              <w:rPr>
                <w:rFonts w:ascii="Times New Roman" w:hAnsi="Times New Roman" w:cs="Times New Roman"/>
                <w:sz w:val="24"/>
              </w:rPr>
              <w:t>0.1227</w:t>
            </w:r>
            <w:r>
              <w:rPr>
                <w:rFonts w:ascii="Times New Roman" w:hAnsi="Times New Roman" w:cs="Times New Roman"/>
                <w:sz w:val="24"/>
              </w:rPr>
              <w:t>)</w:t>
            </w:r>
          </w:p>
        </w:tc>
        <w:tc>
          <w:tcPr>
            <w:tcW w:w="1870" w:type="dxa"/>
          </w:tcPr>
          <w:p w14:paraId="62ACB5C8" w14:textId="77777777" w:rsidR="00320923" w:rsidRDefault="00320923" w:rsidP="00FF6DE6">
            <w:pPr>
              <w:jc w:val="both"/>
              <w:rPr>
                <w:rFonts w:ascii="Times New Roman" w:hAnsi="Times New Roman" w:cs="Times New Roman"/>
                <w:sz w:val="24"/>
              </w:rPr>
            </w:pPr>
            <w:r w:rsidRPr="00FD4061">
              <w:rPr>
                <w:rFonts w:ascii="Times New Roman" w:hAnsi="Times New Roman" w:cs="Times New Roman"/>
                <w:sz w:val="24"/>
              </w:rPr>
              <w:t>48.807</w:t>
            </w:r>
          </w:p>
          <w:p w14:paraId="16C6B25E" w14:textId="77777777" w:rsidR="00320923" w:rsidRDefault="00320923" w:rsidP="00FF6DE6">
            <w:pPr>
              <w:jc w:val="both"/>
              <w:rPr>
                <w:rFonts w:ascii="Times New Roman" w:hAnsi="Times New Roman" w:cs="Times New Roman"/>
                <w:sz w:val="24"/>
              </w:rPr>
            </w:pPr>
            <w:r>
              <w:rPr>
                <w:rFonts w:ascii="Times New Roman" w:hAnsi="Times New Roman" w:cs="Times New Roman"/>
                <w:sz w:val="24"/>
              </w:rPr>
              <w:t>(</w:t>
            </w:r>
            <w:r w:rsidRPr="00FD4061">
              <w:rPr>
                <w:rFonts w:ascii="Times New Roman" w:hAnsi="Times New Roman" w:cs="Times New Roman"/>
                <w:sz w:val="24"/>
              </w:rPr>
              <w:t>&lt; 2.2e-16 ***</w:t>
            </w:r>
            <w:r>
              <w:rPr>
                <w:rFonts w:ascii="Times New Roman" w:hAnsi="Times New Roman" w:cs="Times New Roman"/>
                <w:sz w:val="24"/>
              </w:rPr>
              <w:t>)</w:t>
            </w:r>
          </w:p>
        </w:tc>
      </w:tr>
      <w:tr w:rsidR="00320923" w14:paraId="25229575" w14:textId="77777777" w:rsidTr="00FF6DE6">
        <w:tc>
          <w:tcPr>
            <w:tcW w:w="2065" w:type="dxa"/>
          </w:tcPr>
          <w:p w14:paraId="52B6898B" w14:textId="77777777" w:rsidR="00320923" w:rsidRPr="00CD446E" w:rsidRDefault="00320923" w:rsidP="00FF6DE6">
            <w:pPr>
              <w:tabs>
                <w:tab w:val="left" w:pos="4056"/>
              </w:tabs>
              <w:rPr>
                <w:rFonts w:ascii="Times New Roman" w:hAnsi="Times New Roman" w:cs="Times New Roman"/>
              </w:rPr>
            </w:pPr>
            <w:r>
              <w:rPr>
                <w:rFonts w:ascii="Times New Roman" w:hAnsi="Times New Roman" w:cs="Times New Roman"/>
              </w:rPr>
              <w:t>Investissement</w:t>
            </w:r>
          </w:p>
        </w:tc>
        <w:tc>
          <w:tcPr>
            <w:tcW w:w="1870" w:type="dxa"/>
          </w:tcPr>
          <w:p w14:paraId="3FC7689F" w14:textId="77777777" w:rsidR="00320923" w:rsidRDefault="00320923" w:rsidP="00FF6DE6">
            <w:pPr>
              <w:jc w:val="both"/>
              <w:rPr>
                <w:rFonts w:ascii="Times New Roman" w:hAnsi="Times New Roman" w:cs="Times New Roman"/>
                <w:sz w:val="24"/>
              </w:rPr>
            </w:pPr>
            <w:r w:rsidRPr="00CD446E">
              <w:rPr>
                <w:rFonts w:ascii="Times New Roman" w:hAnsi="Times New Roman" w:cs="Times New Roman"/>
                <w:sz w:val="24"/>
              </w:rPr>
              <w:t xml:space="preserve"> 0.4306</w:t>
            </w:r>
          </w:p>
          <w:p w14:paraId="60056E68" w14:textId="77777777" w:rsidR="00320923" w:rsidRDefault="00320923" w:rsidP="00FF6DE6">
            <w:pPr>
              <w:jc w:val="both"/>
              <w:rPr>
                <w:rFonts w:ascii="Times New Roman" w:hAnsi="Times New Roman" w:cs="Times New Roman"/>
                <w:sz w:val="24"/>
              </w:rPr>
            </w:pPr>
            <w:r>
              <w:rPr>
                <w:rFonts w:ascii="Times New Roman" w:hAnsi="Times New Roman" w:cs="Times New Roman"/>
                <w:sz w:val="24"/>
              </w:rPr>
              <w:t>(</w:t>
            </w:r>
            <w:r w:rsidRPr="00CD446E">
              <w:rPr>
                <w:rFonts w:ascii="Times New Roman" w:hAnsi="Times New Roman" w:cs="Times New Roman"/>
                <w:sz w:val="24"/>
              </w:rPr>
              <w:t>0.6506</w:t>
            </w:r>
            <w:r>
              <w:rPr>
                <w:rFonts w:ascii="Times New Roman" w:hAnsi="Times New Roman" w:cs="Times New Roman"/>
                <w:sz w:val="24"/>
              </w:rPr>
              <w:t>)</w:t>
            </w:r>
          </w:p>
        </w:tc>
        <w:tc>
          <w:tcPr>
            <w:tcW w:w="1870" w:type="dxa"/>
          </w:tcPr>
          <w:p w14:paraId="4B697308" w14:textId="77777777" w:rsidR="00320923" w:rsidRDefault="00320923" w:rsidP="00FF6DE6">
            <w:pPr>
              <w:jc w:val="both"/>
              <w:rPr>
                <w:rFonts w:ascii="Times New Roman" w:hAnsi="Times New Roman" w:cs="Times New Roman"/>
                <w:sz w:val="24"/>
              </w:rPr>
            </w:pPr>
            <w:r>
              <w:rPr>
                <w:rFonts w:ascii="Times New Roman" w:hAnsi="Times New Roman" w:cs="Times New Roman"/>
                <w:sz w:val="24"/>
              </w:rPr>
              <w:t>---------</w:t>
            </w:r>
          </w:p>
        </w:tc>
        <w:tc>
          <w:tcPr>
            <w:tcW w:w="1870" w:type="dxa"/>
          </w:tcPr>
          <w:p w14:paraId="276EDF49" w14:textId="77777777" w:rsidR="00320923" w:rsidRDefault="00320923" w:rsidP="00FF6DE6">
            <w:pPr>
              <w:jc w:val="both"/>
              <w:rPr>
                <w:rFonts w:ascii="Times New Roman" w:hAnsi="Times New Roman" w:cs="Times New Roman"/>
                <w:sz w:val="24"/>
              </w:rPr>
            </w:pPr>
            <w:r w:rsidRPr="00525922">
              <w:rPr>
                <w:rFonts w:ascii="Times New Roman" w:hAnsi="Times New Roman" w:cs="Times New Roman"/>
                <w:sz w:val="24"/>
              </w:rPr>
              <w:t>0.1891</w:t>
            </w:r>
          </w:p>
          <w:p w14:paraId="6378C424" w14:textId="77777777" w:rsidR="00320923" w:rsidRDefault="00320923" w:rsidP="00FF6DE6">
            <w:pPr>
              <w:jc w:val="both"/>
              <w:rPr>
                <w:rFonts w:ascii="Times New Roman" w:hAnsi="Times New Roman" w:cs="Times New Roman"/>
                <w:sz w:val="24"/>
              </w:rPr>
            </w:pPr>
            <w:r>
              <w:rPr>
                <w:rFonts w:ascii="Times New Roman" w:hAnsi="Times New Roman" w:cs="Times New Roman"/>
                <w:sz w:val="24"/>
              </w:rPr>
              <w:t>(</w:t>
            </w:r>
            <w:r w:rsidRPr="00525922">
              <w:rPr>
                <w:rFonts w:ascii="Times New Roman" w:hAnsi="Times New Roman" w:cs="Times New Roman"/>
                <w:sz w:val="24"/>
              </w:rPr>
              <w:t>0.8279</w:t>
            </w:r>
            <w:r>
              <w:rPr>
                <w:rFonts w:ascii="Times New Roman" w:hAnsi="Times New Roman" w:cs="Times New Roman"/>
                <w:sz w:val="24"/>
              </w:rPr>
              <w:t>)</w:t>
            </w:r>
          </w:p>
        </w:tc>
        <w:tc>
          <w:tcPr>
            <w:tcW w:w="1870" w:type="dxa"/>
          </w:tcPr>
          <w:p w14:paraId="2B098401" w14:textId="77777777" w:rsidR="00320923" w:rsidRDefault="00320923" w:rsidP="00FF6DE6">
            <w:pPr>
              <w:jc w:val="both"/>
              <w:rPr>
                <w:rFonts w:ascii="Times New Roman" w:hAnsi="Times New Roman" w:cs="Times New Roman"/>
                <w:sz w:val="24"/>
              </w:rPr>
            </w:pPr>
            <w:r w:rsidRPr="00FD4061">
              <w:rPr>
                <w:rFonts w:ascii="Times New Roman" w:hAnsi="Times New Roman" w:cs="Times New Roman"/>
                <w:sz w:val="24"/>
              </w:rPr>
              <w:t>3.2052</w:t>
            </w:r>
          </w:p>
          <w:p w14:paraId="2719D58F" w14:textId="77777777" w:rsidR="00320923" w:rsidRDefault="00320923" w:rsidP="00FF6DE6">
            <w:pPr>
              <w:jc w:val="both"/>
              <w:rPr>
                <w:rFonts w:ascii="Times New Roman" w:hAnsi="Times New Roman" w:cs="Times New Roman"/>
                <w:sz w:val="24"/>
              </w:rPr>
            </w:pPr>
            <w:r>
              <w:rPr>
                <w:rFonts w:ascii="Times New Roman" w:hAnsi="Times New Roman" w:cs="Times New Roman"/>
                <w:sz w:val="24"/>
              </w:rPr>
              <w:t>(</w:t>
            </w:r>
            <w:r w:rsidRPr="00FD4061">
              <w:rPr>
                <w:rFonts w:ascii="Times New Roman" w:hAnsi="Times New Roman" w:cs="Times New Roman"/>
                <w:sz w:val="24"/>
              </w:rPr>
              <w:t>0.04234 *</w:t>
            </w:r>
            <w:r>
              <w:rPr>
                <w:rFonts w:ascii="Times New Roman" w:hAnsi="Times New Roman" w:cs="Times New Roman"/>
                <w:sz w:val="24"/>
              </w:rPr>
              <w:t>)</w:t>
            </w:r>
          </w:p>
        </w:tc>
      </w:tr>
      <w:tr w:rsidR="00320923" w14:paraId="12EC9CA8" w14:textId="77777777" w:rsidTr="00FF6DE6">
        <w:tc>
          <w:tcPr>
            <w:tcW w:w="2065" w:type="dxa"/>
          </w:tcPr>
          <w:p w14:paraId="3ACC806C" w14:textId="77777777" w:rsidR="00320923" w:rsidRPr="00CD446E" w:rsidRDefault="00320923" w:rsidP="00FF6DE6">
            <w:pPr>
              <w:tabs>
                <w:tab w:val="left" w:pos="4056"/>
              </w:tabs>
              <w:rPr>
                <w:rFonts w:ascii="Times New Roman" w:hAnsi="Times New Roman" w:cs="Times New Roman"/>
              </w:rPr>
            </w:pPr>
            <w:r>
              <w:rPr>
                <w:rFonts w:ascii="Times New Roman" w:hAnsi="Times New Roman" w:cs="Times New Roman"/>
              </w:rPr>
              <w:t>Concours Publics</w:t>
            </w:r>
          </w:p>
        </w:tc>
        <w:tc>
          <w:tcPr>
            <w:tcW w:w="1870" w:type="dxa"/>
          </w:tcPr>
          <w:p w14:paraId="52677DAF" w14:textId="77777777" w:rsidR="00320923" w:rsidRDefault="00320923" w:rsidP="00FF6DE6">
            <w:pPr>
              <w:jc w:val="both"/>
              <w:rPr>
                <w:rFonts w:ascii="Times New Roman" w:hAnsi="Times New Roman" w:cs="Times New Roman"/>
                <w:sz w:val="24"/>
              </w:rPr>
            </w:pPr>
            <w:r w:rsidRPr="00B7596F">
              <w:rPr>
                <w:rFonts w:ascii="Times New Roman" w:hAnsi="Times New Roman" w:cs="Times New Roman"/>
                <w:sz w:val="24"/>
              </w:rPr>
              <w:t xml:space="preserve"> 0.8137</w:t>
            </w:r>
          </w:p>
          <w:p w14:paraId="674D833B" w14:textId="77777777" w:rsidR="00320923" w:rsidRDefault="00320923" w:rsidP="00FF6DE6">
            <w:pPr>
              <w:jc w:val="both"/>
              <w:rPr>
                <w:rFonts w:ascii="Times New Roman" w:hAnsi="Times New Roman" w:cs="Times New Roman"/>
                <w:sz w:val="24"/>
              </w:rPr>
            </w:pPr>
            <w:r>
              <w:rPr>
                <w:rFonts w:ascii="Times New Roman" w:hAnsi="Times New Roman" w:cs="Times New Roman"/>
                <w:sz w:val="24"/>
              </w:rPr>
              <w:t>(</w:t>
            </w:r>
            <w:r w:rsidRPr="00B7596F">
              <w:rPr>
                <w:rFonts w:ascii="Times New Roman" w:hAnsi="Times New Roman" w:cs="Times New Roman"/>
                <w:sz w:val="24"/>
              </w:rPr>
              <w:t>0.4445</w:t>
            </w:r>
            <w:r>
              <w:rPr>
                <w:rFonts w:ascii="Times New Roman" w:hAnsi="Times New Roman" w:cs="Times New Roman"/>
                <w:sz w:val="24"/>
              </w:rPr>
              <w:t>)</w:t>
            </w:r>
          </w:p>
        </w:tc>
        <w:tc>
          <w:tcPr>
            <w:tcW w:w="1870" w:type="dxa"/>
          </w:tcPr>
          <w:p w14:paraId="23B0546A" w14:textId="77777777" w:rsidR="00320923" w:rsidRDefault="00320923" w:rsidP="00FF6DE6">
            <w:pPr>
              <w:jc w:val="both"/>
              <w:rPr>
                <w:rFonts w:ascii="Times New Roman" w:hAnsi="Times New Roman" w:cs="Times New Roman"/>
                <w:sz w:val="24"/>
              </w:rPr>
            </w:pPr>
            <w:r w:rsidRPr="00B7596F">
              <w:rPr>
                <w:rFonts w:ascii="Times New Roman" w:hAnsi="Times New Roman" w:cs="Times New Roman"/>
                <w:sz w:val="24"/>
              </w:rPr>
              <w:t>0.2142</w:t>
            </w:r>
          </w:p>
          <w:p w14:paraId="3EA32227" w14:textId="77777777" w:rsidR="00320923" w:rsidRDefault="00320923" w:rsidP="00FF6DE6">
            <w:pPr>
              <w:jc w:val="both"/>
              <w:rPr>
                <w:rFonts w:ascii="Times New Roman" w:hAnsi="Times New Roman" w:cs="Times New Roman"/>
                <w:sz w:val="24"/>
              </w:rPr>
            </w:pPr>
            <w:r>
              <w:rPr>
                <w:rFonts w:ascii="Times New Roman" w:hAnsi="Times New Roman" w:cs="Times New Roman"/>
                <w:sz w:val="24"/>
              </w:rPr>
              <w:t>(</w:t>
            </w:r>
            <w:r w:rsidRPr="00B7596F">
              <w:rPr>
                <w:rFonts w:ascii="Times New Roman" w:hAnsi="Times New Roman" w:cs="Times New Roman"/>
                <w:sz w:val="24"/>
              </w:rPr>
              <w:t>0.8073</w:t>
            </w:r>
            <w:r>
              <w:rPr>
                <w:rFonts w:ascii="Times New Roman" w:hAnsi="Times New Roman" w:cs="Times New Roman"/>
                <w:sz w:val="24"/>
              </w:rPr>
              <w:t>)</w:t>
            </w:r>
          </w:p>
        </w:tc>
        <w:tc>
          <w:tcPr>
            <w:tcW w:w="1870" w:type="dxa"/>
          </w:tcPr>
          <w:p w14:paraId="1361FC20" w14:textId="77777777" w:rsidR="00320923" w:rsidRDefault="00320923" w:rsidP="00FF6DE6">
            <w:pPr>
              <w:jc w:val="both"/>
              <w:rPr>
                <w:rFonts w:ascii="Times New Roman" w:hAnsi="Times New Roman" w:cs="Times New Roman"/>
                <w:sz w:val="24"/>
              </w:rPr>
            </w:pPr>
            <w:r>
              <w:rPr>
                <w:rFonts w:ascii="Times New Roman" w:hAnsi="Times New Roman" w:cs="Times New Roman"/>
                <w:sz w:val="24"/>
              </w:rPr>
              <w:t>--------</w:t>
            </w:r>
          </w:p>
        </w:tc>
        <w:tc>
          <w:tcPr>
            <w:tcW w:w="1870" w:type="dxa"/>
          </w:tcPr>
          <w:p w14:paraId="311215D1" w14:textId="77777777" w:rsidR="00320923" w:rsidRDefault="00320923" w:rsidP="00FF6DE6">
            <w:pPr>
              <w:jc w:val="both"/>
              <w:rPr>
                <w:rFonts w:ascii="Times New Roman" w:hAnsi="Times New Roman" w:cs="Times New Roman"/>
                <w:sz w:val="24"/>
              </w:rPr>
            </w:pPr>
            <w:r w:rsidRPr="00FD4061">
              <w:rPr>
                <w:rFonts w:ascii="Times New Roman" w:hAnsi="Times New Roman" w:cs="Times New Roman"/>
                <w:sz w:val="24"/>
              </w:rPr>
              <w:t>0.1341</w:t>
            </w:r>
          </w:p>
          <w:p w14:paraId="1DDBC3A0" w14:textId="77777777" w:rsidR="00320923" w:rsidRDefault="00320923" w:rsidP="00FF6DE6">
            <w:pPr>
              <w:jc w:val="both"/>
              <w:rPr>
                <w:rFonts w:ascii="Times New Roman" w:hAnsi="Times New Roman" w:cs="Times New Roman"/>
                <w:sz w:val="24"/>
              </w:rPr>
            </w:pPr>
            <w:r>
              <w:rPr>
                <w:rFonts w:ascii="Times New Roman" w:hAnsi="Times New Roman" w:cs="Times New Roman"/>
                <w:sz w:val="24"/>
              </w:rPr>
              <w:t>(</w:t>
            </w:r>
            <w:r w:rsidRPr="00FD4061">
              <w:rPr>
                <w:rFonts w:ascii="Times New Roman" w:hAnsi="Times New Roman" w:cs="Times New Roman"/>
                <w:sz w:val="24"/>
              </w:rPr>
              <w:t>0.8746</w:t>
            </w:r>
            <w:r>
              <w:rPr>
                <w:rFonts w:ascii="Times New Roman" w:hAnsi="Times New Roman" w:cs="Times New Roman"/>
                <w:sz w:val="24"/>
              </w:rPr>
              <w:t>)</w:t>
            </w:r>
          </w:p>
        </w:tc>
      </w:tr>
      <w:tr w:rsidR="00320923" w14:paraId="1A5676FA" w14:textId="77777777" w:rsidTr="00FF6DE6">
        <w:tc>
          <w:tcPr>
            <w:tcW w:w="2065" w:type="dxa"/>
          </w:tcPr>
          <w:p w14:paraId="1A42901B" w14:textId="77777777" w:rsidR="00320923" w:rsidRPr="00CD446E" w:rsidRDefault="00320923" w:rsidP="00FF6DE6">
            <w:pPr>
              <w:tabs>
                <w:tab w:val="left" w:pos="4056"/>
              </w:tabs>
              <w:rPr>
                <w:rFonts w:ascii="Times New Roman" w:hAnsi="Times New Roman" w:cs="Times New Roman"/>
              </w:rPr>
            </w:pPr>
            <w:r w:rsidRPr="00CD446E">
              <w:rPr>
                <w:rFonts w:ascii="Times New Roman" w:hAnsi="Times New Roman" w:cs="Times New Roman"/>
              </w:rPr>
              <w:t>Offre commerciale</w:t>
            </w:r>
          </w:p>
        </w:tc>
        <w:tc>
          <w:tcPr>
            <w:tcW w:w="1870" w:type="dxa"/>
          </w:tcPr>
          <w:p w14:paraId="069F22B2" w14:textId="77777777" w:rsidR="00320923" w:rsidRDefault="00320923" w:rsidP="00FF6DE6">
            <w:pPr>
              <w:jc w:val="both"/>
              <w:rPr>
                <w:rFonts w:ascii="Times New Roman" w:hAnsi="Times New Roman" w:cs="Times New Roman"/>
                <w:sz w:val="24"/>
              </w:rPr>
            </w:pPr>
            <w:r w:rsidRPr="00B7596F">
              <w:rPr>
                <w:rFonts w:ascii="Times New Roman" w:hAnsi="Times New Roman" w:cs="Times New Roman"/>
                <w:sz w:val="24"/>
              </w:rPr>
              <w:t>1.5812</w:t>
            </w:r>
          </w:p>
          <w:p w14:paraId="2202B3B3" w14:textId="77777777" w:rsidR="00320923" w:rsidRDefault="00320923" w:rsidP="00FF6DE6">
            <w:pPr>
              <w:jc w:val="both"/>
              <w:rPr>
                <w:rFonts w:ascii="Times New Roman" w:hAnsi="Times New Roman" w:cs="Times New Roman"/>
                <w:sz w:val="24"/>
              </w:rPr>
            </w:pPr>
            <w:r>
              <w:rPr>
                <w:rFonts w:ascii="Times New Roman" w:hAnsi="Times New Roman" w:cs="Times New Roman"/>
                <w:sz w:val="24"/>
              </w:rPr>
              <w:t>(</w:t>
            </w:r>
            <w:r w:rsidRPr="00B7596F">
              <w:rPr>
                <w:rFonts w:ascii="Times New Roman" w:hAnsi="Times New Roman" w:cs="Times New Roman"/>
                <w:sz w:val="24"/>
              </w:rPr>
              <w:t>0.2079</w:t>
            </w:r>
            <w:r>
              <w:rPr>
                <w:rFonts w:ascii="Times New Roman" w:hAnsi="Times New Roman" w:cs="Times New Roman"/>
                <w:sz w:val="24"/>
              </w:rPr>
              <w:t>)</w:t>
            </w:r>
          </w:p>
          <w:p w14:paraId="5CB493DF" w14:textId="77777777" w:rsidR="00320923" w:rsidRDefault="00320923" w:rsidP="00FF6DE6">
            <w:pPr>
              <w:jc w:val="both"/>
              <w:rPr>
                <w:rFonts w:ascii="Times New Roman" w:hAnsi="Times New Roman" w:cs="Times New Roman"/>
                <w:sz w:val="24"/>
              </w:rPr>
            </w:pPr>
          </w:p>
        </w:tc>
        <w:tc>
          <w:tcPr>
            <w:tcW w:w="1870" w:type="dxa"/>
          </w:tcPr>
          <w:p w14:paraId="1699B48C" w14:textId="77777777" w:rsidR="00320923" w:rsidRDefault="00320923" w:rsidP="00FF6DE6">
            <w:pPr>
              <w:jc w:val="both"/>
              <w:rPr>
                <w:rFonts w:ascii="Times New Roman" w:hAnsi="Times New Roman" w:cs="Times New Roman"/>
                <w:sz w:val="24"/>
              </w:rPr>
            </w:pPr>
            <w:r w:rsidRPr="00B7596F">
              <w:rPr>
                <w:rFonts w:ascii="Times New Roman" w:hAnsi="Times New Roman" w:cs="Times New Roman"/>
                <w:sz w:val="24"/>
              </w:rPr>
              <w:t>0.3441</w:t>
            </w:r>
          </w:p>
          <w:p w14:paraId="21B00CDE" w14:textId="77777777" w:rsidR="00320923" w:rsidRDefault="00320923" w:rsidP="00FF6DE6">
            <w:pPr>
              <w:jc w:val="both"/>
              <w:rPr>
                <w:rFonts w:ascii="Times New Roman" w:hAnsi="Times New Roman" w:cs="Times New Roman"/>
                <w:sz w:val="24"/>
              </w:rPr>
            </w:pPr>
            <w:r>
              <w:rPr>
                <w:rFonts w:ascii="Times New Roman" w:hAnsi="Times New Roman" w:cs="Times New Roman"/>
                <w:sz w:val="24"/>
              </w:rPr>
              <w:t>(</w:t>
            </w:r>
            <w:r w:rsidRPr="00B7596F">
              <w:rPr>
                <w:rFonts w:ascii="Times New Roman" w:hAnsi="Times New Roman" w:cs="Times New Roman"/>
                <w:sz w:val="24"/>
              </w:rPr>
              <w:t>0.7092</w:t>
            </w:r>
            <w:r>
              <w:rPr>
                <w:rFonts w:ascii="Times New Roman" w:hAnsi="Times New Roman" w:cs="Times New Roman"/>
                <w:sz w:val="24"/>
              </w:rPr>
              <w:t>)</w:t>
            </w:r>
          </w:p>
        </w:tc>
        <w:tc>
          <w:tcPr>
            <w:tcW w:w="1870" w:type="dxa"/>
          </w:tcPr>
          <w:p w14:paraId="79EA685A" w14:textId="77777777" w:rsidR="00320923" w:rsidRDefault="00320923" w:rsidP="00FF6DE6">
            <w:pPr>
              <w:jc w:val="both"/>
              <w:rPr>
                <w:rFonts w:ascii="Times New Roman" w:hAnsi="Times New Roman" w:cs="Times New Roman"/>
                <w:sz w:val="24"/>
              </w:rPr>
            </w:pPr>
            <w:r w:rsidRPr="00525922">
              <w:rPr>
                <w:rFonts w:ascii="Times New Roman" w:hAnsi="Times New Roman" w:cs="Times New Roman"/>
                <w:sz w:val="24"/>
              </w:rPr>
              <w:t>0.2392</w:t>
            </w:r>
          </w:p>
          <w:p w14:paraId="30B23E61" w14:textId="77777777" w:rsidR="00320923" w:rsidRDefault="00320923" w:rsidP="00FF6DE6">
            <w:pPr>
              <w:jc w:val="both"/>
              <w:rPr>
                <w:rFonts w:ascii="Times New Roman" w:hAnsi="Times New Roman" w:cs="Times New Roman"/>
                <w:sz w:val="24"/>
              </w:rPr>
            </w:pPr>
            <w:r>
              <w:rPr>
                <w:rFonts w:ascii="Times New Roman" w:hAnsi="Times New Roman" w:cs="Times New Roman"/>
                <w:sz w:val="24"/>
              </w:rPr>
              <w:t>(0.7874)</w:t>
            </w:r>
          </w:p>
        </w:tc>
        <w:tc>
          <w:tcPr>
            <w:tcW w:w="1870" w:type="dxa"/>
          </w:tcPr>
          <w:p w14:paraId="410FE87A" w14:textId="77777777" w:rsidR="00320923" w:rsidRDefault="00320923" w:rsidP="00FF6DE6">
            <w:pPr>
              <w:jc w:val="both"/>
              <w:rPr>
                <w:rFonts w:ascii="Times New Roman" w:hAnsi="Times New Roman" w:cs="Times New Roman"/>
                <w:sz w:val="24"/>
              </w:rPr>
            </w:pPr>
            <w:r>
              <w:rPr>
                <w:rFonts w:ascii="Times New Roman" w:hAnsi="Times New Roman" w:cs="Times New Roman"/>
                <w:sz w:val="24"/>
              </w:rPr>
              <w:t>--------</w:t>
            </w:r>
          </w:p>
        </w:tc>
      </w:tr>
    </w:tbl>
    <w:p w14:paraId="452D08B3" w14:textId="32C466E4" w:rsidR="00871669" w:rsidRDefault="00871669" w:rsidP="008716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sz w:val="20"/>
          <w:szCs w:val="20"/>
        </w:rPr>
      </w:pPr>
      <w:r w:rsidRPr="001D39BA">
        <w:rPr>
          <w:rFonts w:ascii="Times New Roman" w:eastAsia="Times New Roman" w:hAnsi="Times New Roman" w:cs="Times New Roman"/>
          <w:b/>
          <w:color w:val="000000"/>
          <w:sz w:val="20"/>
          <w:szCs w:val="20"/>
          <w:lang w:eastAsia="fr-FR"/>
        </w:rPr>
        <w:t xml:space="preserve">Source : </w:t>
      </w:r>
      <w:r w:rsidR="00DE6D6E" w:rsidRPr="00317520">
        <w:rPr>
          <w:rFonts w:ascii="Times New Roman" w:eastAsia="Times New Roman" w:hAnsi="Times New Roman" w:cs="Times New Roman"/>
          <w:b/>
          <w:bCs/>
          <w:color w:val="000000"/>
          <w:sz w:val="20"/>
          <w:szCs w:val="20"/>
          <w:lang w:eastAsia="fr-FR"/>
        </w:rPr>
        <w:t xml:space="preserve">Compte déplacements des voyageurs en Île-de-France (Île de France Mobilités) et Île-de-France Mobilités, d'après RATP, </w:t>
      </w:r>
      <w:proofErr w:type="spellStart"/>
      <w:r w:rsidR="00DE6D6E" w:rsidRPr="00317520">
        <w:rPr>
          <w:rFonts w:ascii="Times New Roman" w:eastAsia="Times New Roman" w:hAnsi="Times New Roman" w:cs="Times New Roman"/>
          <w:b/>
          <w:bCs/>
          <w:color w:val="000000"/>
          <w:sz w:val="20"/>
          <w:szCs w:val="20"/>
          <w:lang w:eastAsia="fr-FR"/>
        </w:rPr>
        <w:t>Optile</w:t>
      </w:r>
      <w:proofErr w:type="spellEnd"/>
      <w:r w:rsidR="00DE6D6E" w:rsidRPr="00317520">
        <w:rPr>
          <w:rFonts w:ascii="Times New Roman" w:eastAsia="Times New Roman" w:hAnsi="Times New Roman" w:cs="Times New Roman"/>
          <w:b/>
          <w:bCs/>
          <w:color w:val="000000"/>
          <w:sz w:val="20"/>
          <w:szCs w:val="20"/>
          <w:lang w:eastAsia="fr-FR"/>
        </w:rPr>
        <w:t xml:space="preserve"> et SNCF</w:t>
      </w:r>
      <w:r w:rsidR="00DE6D6E" w:rsidRPr="00317520">
        <w:rPr>
          <w:rFonts w:ascii="Times New Roman" w:hAnsi="Times New Roman" w:cs="Times New Roman"/>
          <w:b/>
          <w:bCs/>
          <w:sz w:val="20"/>
        </w:rPr>
        <w:tab/>
      </w:r>
    </w:p>
    <w:p w14:paraId="021F0275" w14:textId="7416A780" w:rsidR="00320923" w:rsidRPr="00A67D27" w:rsidRDefault="00A67D27" w:rsidP="00320923">
      <w:pPr>
        <w:jc w:val="both"/>
        <w:rPr>
          <w:rFonts w:ascii="Times New Roman" w:hAnsi="Times New Roman" w:cs="Times New Roman"/>
          <w:sz w:val="20"/>
        </w:rPr>
      </w:pPr>
      <w:r w:rsidRPr="00A67D27">
        <w:rPr>
          <w:rFonts w:ascii="Times New Roman" w:hAnsi="Times New Roman" w:cs="Times New Roman"/>
          <w:sz w:val="20"/>
        </w:rPr>
        <w:t>Note :(*) : Significativité à 5% ; (***) : significativité à 1%</w:t>
      </w:r>
    </w:p>
    <w:p w14:paraId="7AADE75E" w14:textId="20BC6CE9" w:rsidR="00320923" w:rsidRDefault="00320923" w:rsidP="00320923">
      <w:pPr>
        <w:jc w:val="both"/>
        <w:rPr>
          <w:rFonts w:ascii="Times New Roman" w:hAnsi="Times New Roman" w:cs="Times New Roman"/>
          <w:sz w:val="24"/>
        </w:rPr>
      </w:pPr>
      <w:r>
        <w:rPr>
          <w:rFonts w:ascii="Times New Roman" w:hAnsi="Times New Roman" w:cs="Times New Roman"/>
          <w:sz w:val="24"/>
        </w:rPr>
        <w:t>La première ligne du tableau indique les variables pour lesquel</w:t>
      </w:r>
      <w:r w:rsidR="00871669">
        <w:rPr>
          <w:rFonts w:ascii="Times New Roman" w:hAnsi="Times New Roman" w:cs="Times New Roman"/>
          <w:sz w:val="24"/>
        </w:rPr>
        <w:t>le</w:t>
      </w:r>
      <w:r>
        <w:rPr>
          <w:rFonts w:ascii="Times New Roman" w:hAnsi="Times New Roman" w:cs="Times New Roman"/>
          <w:sz w:val="24"/>
        </w:rPr>
        <w:t xml:space="preserve">s </w:t>
      </w:r>
      <w:r w:rsidR="00871669">
        <w:rPr>
          <w:rFonts w:ascii="Times New Roman" w:hAnsi="Times New Roman" w:cs="Times New Roman"/>
          <w:sz w:val="24"/>
        </w:rPr>
        <w:t xml:space="preserve">nous testerons </w:t>
      </w:r>
      <w:r>
        <w:rPr>
          <w:rFonts w:ascii="Times New Roman" w:hAnsi="Times New Roman" w:cs="Times New Roman"/>
          <w:sz w:val="24"/>
        </w:rPr>
        <w:t>la relation causale au sens de Granger avec les autres. Ainsi, dans la deuxième colonne et</w:t>
      </w:r>
      <w:r w:rsidR="00BF4443">
        <w:rPr>
          <w:rFonts w:ascii="Times New Roman" w:hAnsi="Times New Roman" w:cs="Times New Roman"/>
          <w:sz w:val="24"/>
        </w:rPr>
        <w:t xml:space="preserve"> troisième</w:t>
      </w:r>
      <w:r>
        <w:rPr>
          <w:rFonts w:ascii="Times New Roman" w:hAnsi="Times New Roman" w:cs="Times New Roman"/>
          <w:sz w:val="24"/>
        </w:rPr>
        <w:t xml:space="preserve"> ligne du tableau avec pour résultat (0.4</w:t>
      </w:r>
      <w:r w:rsidR="009E5635">
        <w:rPr>
          <w:rFonts w:ascii="Times New Roman" w:hAnsi="Times New Roman" w:cs="Times New Roman"/>
          <w:sz w:val="24"/>
        </w:rPr>
        <w:t>3</w:t>
      </w:r>
      <w:r>
        <w:rPr>
          <w:rFonts w:ascii="Times New Roman" w:hAnsi="Times New Roman" w:cs="Times New Roman"/>
          <w:sz w:val="24"/>
        </w:rPr>
        <w:t xml:space="preserve">06, </w:t>
      </w:r>
      <w:proofErr w:type="spellStart"/>
      <w:r>
        <w:rPr>
          <w:rFonts w:ascii="Times New Roman" w:hAnsi="Times New Roman" w:cs="Times New Roman"/>
          <w:sz w:val="24"/>
        </w:rPr>
        <w:t>pr</w:t>
      </w:r>
      <w:proofErr w:type="spellEnd"/>
      <w:r>
        <w:rPr>
          <w:rFonts w:ascii="Times New Roman" w:hAnsi="Times New Roman" w:cs="Times New Roman"/>
          <w:sz w:val="24"/>
        </w:rPr>
        <w:t> : 0.6</w:t>
      </w:r>
      <w:r w:rsidR="009E5635">
        <w:rPr>
          <w:rFonts w:ascii="Times New Roman" w:hAnsi="Times New Roman" w:cs="Times New Roman"/>
          <w:sz w:val="24"/>
        </w:rPr>
        <w:t>5</w:t>
      </w:r>
      <w:r>
        <w:rPr>
          <w:rFonts w:ascii="Times New Roman" w:hAnsi="Times New Roman" w:cs="Times New Roman"/>
          <w:sz w:val="24"/>
        </w:rPr>
        <w:t xml:space="preserve">06) nous disons que </w:t>
      </w:r>
      <w:r w:rsidRPr="004A2B8A">
        <w:rPr>
          <w:rFonts w:ascii="Times New Roman" w:hAnsi="Times New Roman" w:cs="Times New Roman"/>
          <w:sz w:val="24"/>
        </w:rPr>
        <w:t>la rentabilité ne Granger cause pas</w:t>
      </w:r>
      <w:r>
        <w:rPr>
          <w:rFonts w:ascii="Times New Roman" w:hAnsi="Times New Roman" w:cs="Times New Roman"/>
          <w:sz w:val="24"/>
        </w:rPr>
        <w:t xml:space="preserve"> les investissements</w:t>
      </w:r>
      <w:r w:rsidR="004A2B8A">
        <w:rPr>
          <w:rFonts w:ascii="Times New Roman" w:hAnsi="Times New Roman" w:cs="Times New Roman"/>
          <w:sz w:val="24"/>
        </w:rPr>
        <w:t xml:space="preserve"> (c’est-à-dire la rentabilité ne cause pas les investissements au sens de Granger)</w:t>
      </w:r>
      <w:r>
        <w:rPr>
          <w:rFonts w:ascii="Times New Roman" w:hAnsi="Times New Roman" w:cs="Times New Roman"/>
          <w:sz w:val="24"/>
        </w:rPr>
        <w:t xml:space="preserve"> car la p-value est supérieure à 0.05. La connaissance de la rentabilité </w:t>
      </w:r>
      <w:r w:rsidR="00871669">
        <w:rPr>
          <w:rFonts w:ascii="Times New Roman" w:hAnsi="Times New Roman" w:cs="Times New Roman"/>
          <w:sz w:val="24"/>
        </w:rPr>
        <w:t xml:space="preserve">du service public de transport </w:t>
      </w:r>
      <w:r>
        <w:rPr>
          <w:rFonts w:ascii="Times New Roman" w:hAnsi="Times New Roman" w:cs="Times New Roman"/>
          <w:sz w:val="24"/>
        </w:rPr>
        <w:t xml:space="preserve">n’améliore en rien la prédiction des investissements. Cependant, l’inverse n’est pas vrai puisqu’en analysant la troisième colonne et deuxième ligne (3.3659, </w:t>
      </w:r>
      <w:proofErr w:type="spellStart"/>
      <w:r>
        <w:rPr>
          <w:rFonts w:ascii="Times New Roman" w:hAnsi="Times New Roman" w:cs="Times New Roman"/>
          <w:sz w:val="24"/>
        </w:rPr>
        <w:t>pr</w:t>
      </w:r>
      <w:proofErr w:type="spellEnd"/>
      <w:r>
        <w:rPr>
          <w:rFonts w:ascii="Times New Roman" w:hAnsi="Times New Roman" w:cs="Times New Roman"/>
          <w:sz w:val="24"/>
        </w:rPr>
        <w:t> : 0.03622) nous constatons que les investissements Granger cause</w:t>
      </w:r>
      <w:r w:rsidR="00871669">
        <w:rPr>
          <w:rFonts w:ascii="Times New Roman" w:hAnsi="Times New Roman" w:cs="Times New Roman"/>
          <w:sz w:val="24"/>
        </w:rPr>
        <w:t>nt</w:t>
      </w:r>
      <w:r>
        <w:rPr>
          <w:rFonts w:ascii="Times New Roman" w:hAnsi="Times New Roman" w:cs="Times New Roman"/>
          <w:sz w:val="24"/>
        </w:rPr>
        <w:t xml:space="preserve"> la rentabilité</w:t>
      </w:r>
      <w:r w:rsidR="00871669">
        <w:rPr>
          <w:rFonts w:ascii="Times New Roman" w:hAnsi="Times New Roman" w:cs="Times New Roman"/>
          <w:sz w:val="24"/>
        </w:rPr>
        <w:t>, c</w:t>
      </w:r>
      <w:r>
        <w:rPr>
          <w:rFonts w:ascii="Times New Roman" w:hAnsi="Times New Roman" w:cs="Times New Roman"/>
          <w:sz w:val="24"/>
        </w:rPr>
        <w:t xml:space="preserve">e qui implique que la connaissance des investissements améliore la prédiction de la rentabilité. </w:t>
      </w:r>
    </w:p>
    <w:p w14:paraId="7C91E913" w14:textId="77777777" w:rsidR="00320923" w:rsidRDefault="00320923" w:rsidP="00FC2E3D">
      <w:pPr>
        <w:jc w:val="both"/>
        <w:rPr>
          <w:rFonts w:ascii="Times New Roman" w:hAnsi="Times New Roman" w:cs="Times New Roman"/>
          <w:sz w:val="24"/>
        </w:rPr>
      </w:pPr>
      <w:r>
        <w:rPr>
          <w:rFonts w:ascii="Times New Roman" w:hAnsi="Times New Roman" w:cs="Times New Roman"/>
          <w:sz w:val="24"/>
        </w:rPr>
        <w:t xml:space="preserve">Partant de ce constat, nous pouvons résumer globalement les relations causales au sens de Granger dans le graphe suivant. </w:t>
      </w:r>
    </w:p>
    <w:p w14:paraId="3AABC2E2" w14:textId="73745BBB" w:rsidR="00883A41" w:rsidRPr="00883A41" w:rsidRDefault="00883A41" w:rsidP="00883A41">
      <w:pPr>
        <w:pStyle w:val="Lgende"/>
        <w:keepNext/>
        <w:jc w:val="both"/>
        <w:rPr>
          <w:rFonts w:ascii="Times New Roman" w:hAnsi="Times New Roman" w:cs="Times New Roman"/>
          <w:b/>
          <w:sz w:val="24"/>
        </w:rPr>
      </w:pPr>
      <w:r w:rsidRPr="00883A41">
        <w:rPr>
          <w:rFonts w:ascii="Times New Roman" w:hAnsi="Times New Roman" w:cs="Times New Roman"/>
          <w:b/>
          <w:sz w:val="24"/>
        </w:rPr>
        <w:lastRenderedPageBreak/>
        <w:t>Relation de causalité entre les variables</w:t>
      </w:r>
    </w:p>
    <w:p w14:paraId="04A76C47" w14:textId="77777777" w:rsidR="00320923" w:rsidRDefault="00320923" w:rsidP="00FC2E3D">
      <w:pPr>
        <w:jc w:val="both"/>
        <w:rPr>
          <w:rFonts w:ascii="Times New Roman" w:hAnsi="Times New Roman" w:cs="Times New Roman"/>
          <w:sz w:val="24"/>
        </w:rPr>
      </w:pPr>
      <w:r>
        <w:rPr>
          <w:noProof/>
          <w:lang w:eastAsia="fr-FR"/>
        </w:rPr>
        <w:drawing>
          <wp:inline distT="0" distB="0" distL="0" distR="0" wp14:anchorId="24DBDCA9" wp14:editId="21AD00BC">
            <wp:extent cx="5655733" cy="2849245"/>
            <wp:effectExtent l="0" t="0" r="254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994" t="1610" r="3970" b="5836"/>
                    <a:stretch/>
                  </pic:blipFill>
                  <pic:spPr bwMode="auto">
                    <a:xfrm>
                      <a:off x="0" y="0"/>
                      <a:ext cx="5715752" cy="2879482"/>
                    </a:xfrm>
                    <a:prstGeom prst="rect">
                      <a:avLst/>
                    </a:prstGeom>
                    <a:ln>
                      <a:noFill/>
                    </a:ln>
                    <a:extLst>
                      <a:ext uri="{53640926-AAD7-44D8-BBD7-CCE9431645EC}">
                        <a14:shadowObscured xmlns:a14="http://schemas.microsoft.com/office/drawing/2010/main"/>
                      </a:ext>
                    </a:extLst>
                  </pic:spPr>
                </pic:pic>
              </a:graphicData>
            </a:graphic>
          </wp:inline>
        </w:drawing>
      </w:r>
    </w:p>
    <w:p w14:paraId="025ECAAC" w14:textId="77777777" w:rsidR="00883A41" w:rsidRPr="002C015D" w:rsidRDefault="00883A41" w:rsidP="00FC2E3D">
      <w:pPr>
        <w:jc w:val="both"/>
        <w:rPr>
          <w:rFonts w:ascii="Times New Roman" w:hAnsi="Times New Roman" w:cs="Times New Roman"/>
          <w:b/>
          <w:bCs/>
          <w:sz w:val="24"/>
        </w:rPr>
      </w:pPr>
    </w:p>
    <w:p w14:paraId="25F18256" w14:textId="2BE8181F" w:rsidR="00D47724" w:rsidRPr="002C015D" w:rsidRDefault="00A5417B" w:rsidP="00F61F98">
      <w:pPr>
        <w:pStyle w:val="Titre3"/>
        <w:numPr>
          <w:ilvl w:val="0"/>
          <w:numId w:val="15"/>
        </w:numPr>
        <w:rPr>
          <w:rFonts w:ascii="Times New Roman" w:hAnsi="Times New Roman" w:cs="Times New Roman"/>
          <w:b/>
          <w:bCs/>
        </w:rPr>
      </w:pPr>
      <w:bookmarkStart w:id="41" w:name="_Toc70937420"/>
      <w:r w:rsidRPr="002C015D">
        <w:rPr>
          <w:rFonts w:ascii="Times New Roman" w:hAnsi="Times New Roman" w:cs="Times New Roman"/>
          <w:b/>
          <w:bCs/>
        </w:rPr>
        <w:t>Décalage</w:t>
      </w:r>
      <w:r w:rsidR="00D47724" w:rsidRPr="002C015D">
        <w:rPr>
          <w:rFonts w:ascii="Times New Roman" w:hAnsi="Times New Roman" w:cs="Times New Roman"/>
          <w:b/>
          <w:bCs/>
        </w:rPr>
        <w:t xml:space="preserve"> optimal et estimation du </w:t>
      </w:r>
      <w:r w:rsidRPr="002C015D">
        <w:rPr>
          <w:rFonts w:ascii="Times New Roman" w:hAnsi="Times New Roman" w:cs="Times New Roman"/>
          <w:b/>
          <w:bCs/>
        </w:rPr>
        <w:t>modèle</w:t>
      </w:r>
      <w:r w:rsidR="00D47724" w:rsidRPr="002C015D">
        <w:rPr>
          <w:rFonts w:ascii="Times New Roman" w:hAnsi="Times New Roman" w:cs="Times New Roman"/>
          <w:b/>
          <w:bCs/>
        </w:rPr>
        <w:t xml:space="preserve"> ARDL</w:t>
      </w:r>
      <w:bookmarkEnd w:id="41"/>
      <w:r w:rsidR="00D47724" w:rsidRPr="002C015D">
        <w:rPr>
          <w:rFonts w:ascii="Times New Roman" w:hAnsi="Times New Roman" w:cs="Times New Roman"/>
          <w:b/>
          <w:bCs/>
        </w:rPr>
        <w:t xml:space="preserve"> </w:t>
      </w:r>
    </w:p>
    <w:p w14:paraId="3D21ECF7" w14:textId="250CB4BB" w:rsidR="004750E8" w:rsidRDefault="002B6206" w:rsidP="004750E8">
      <w:pPr>
        <w:pStyle w:val="Paragraphedeliste"/>
        <w:autoSpaceDE w:val="0"/>
        <w:autoSpaceDN w:val="0"/>
        <w:adjustRightInd w:val="0"/>
        <w:spacing w:after="0" w:line="240" w:lineRule="auto"/>
        <w:ind w:left="0"/>
        <w:jc w:val="both"/>
        <w:rPr>
          <w:rFonts w:ascii="Times New Roman" w:hAnsi="Times New Roman" w:cs="Times New Roman"/>
          <w:bCs/>
          <w:iCs/>
          <w:color w:val="000000"/>
          <w:sz w:val="24"/>
          <w:szCs w:val="24"/>
          <w:lang w:val="fr-CA"/>
        </w:rPr>
      </w:pPr>
      <w:r w:rsidRPr="004750E8">
        <w:rPr>
          <w:rFonts w:ascii="Times New Roman" w:hAnsi="Times New Roman" w:cs="Times New Roman"/>
          <w:bCs/>
          <w:iCs/>
          <w:color w:val="000000"/>
          <w:sz w:val="24"/>
          <w:szCs w:val="24"/>
          <w:lang w:val="fr-CA"/>
        </w:rPr>
        <w:t>Pour l’</w:t>
      </w:r>
      <w:r w:rsidR="004750E8" w:rsidRPr="004750E8">
        <w:rPr>
          <w:rFonts w:ascii="Times New Roman" w:hAnsi="Times New Roman" w:cs="Times New Roman"/>
          <w:bCs/>
          <w:iCs/>
          <w:color w:val="000000"/>
          <w:sz w:val="24"/>
          <w:szCs w:val="24"/>
          <w:lang w:val="fr-CA"/>
        </w:rPr>
        <w:t>estimation</w:t>
      </w:r>
      <w:r w:rsidRPr="004750E8">
        <w:rPr>
          <w:rFonts w:ascii="Times New Roman" w:hAnsi="Times New Roman" w:cs="Times New Roman"/>
          <w:bCs/>
          <w:iCs/>
          <w:color w:val="000000"/>
          <w:sz w:val="24"/>
          <w:szCs w:val="24"/>
          <w:lang w:val="fr-CA"/>
        </w:rPr>
        <w:t xml:space="preserve"> du </w:t>
      </w:r>
      <w:r w:rsidR="004750E8" w:rsidRPr="004750E8">
        <w:rPr>
          <w:rFonts w:ascii="Times New Roman" w:hAnsi="Times New Roman" w:cs="Times New Roman"/>
          <w:bCs/>
          <w:iCs/>
          <w:color w:val="000000"/>
          <w:sz w:val="24"/>
          <w:szCs w:val="24"/>
          <w:lang w:val="fr-CA"/>
        </w:rPr>
        <w:t>modèle</w:t>
      </w:r>
      <w:r w:rsidRPr="004750E8">
        <w:rPr>
          <w:rFonts w:ascii="Times New Roman" w:hAnsi="Times New Roman" w:cs="Times New Roman"/>
          <w:bCs/>
          <w:iCs/>
          <w:color w:val="000000"/>
          <w:sz w:val="24"/>
          <w:szCs w:val="24"/>
          <w:lang w:val="fr-CA"/>
        </w:rPr>
        <w:t xml:space="preserve"> ARDL, il faut </w:t>
      </w:r>
      <w:r w:rsidR="004750E8" w:rsidRPr="004750E8">
        <w:rPr>
          <w:rFonts w:ascii="Times New Roman" w:hAnsi="Times New Roman" w:cs="Times New Roman"/>
          <w:bCs/>
          <w:iCs/>
          <w:color w:val="000000"/>
          <w:sz w:val="24"/>
          <w:szCs w:val="24"/>
          <w:lang w:val="fr-CA"/>
        </w:rPr>
        <w:t>déterminer</w:t>
      </w:r>
      <w:r w:rsidRPr="004750E8">
        <w:rPr>
          <w:rFonts w:ascii="Times New Roman" w:hAnsi="Times New Roman" w:cs="Times New Roman"/>
          <w:bCs/>
          <w:iCs/>
          <w:color w:val="000000"/>
          <w:sz w:val="24"/>
          <w:szCs w:val="24"/>
          <w:lang w:val="fr-CA"/>
        </w:rPr>
        <w:t xml:space="preserve"> les retards optimaux p et q pour la variable </w:t>
      </w:r>
      <w:r w:rsidR="004750E8" w:rsidRPr="004750E8">
        <w:rPr>
          <w:rFonts w:ascii="Times New Roman" w:hAnsi="Times New Roman" w:cs="Times New Roman"/>
          <w:bCs/>
          <w:iCs/>
          <w:color w:val="000000"/>
          <w:sz w:val="24"/>
          <w:szCs w:val="24"/>
          <w:lang w:val="fr-CA"/>
        </w:rPr>
        <w:t>dépendante</w:t>
      </w:r>
      <w:r w:rsidRPr="004750E8">
        <w:rPr>
          <w:rFonts w:ascii="Times New Roman" w:hAnsi="Times New Roman" w:cs="Times New Roman"/>
          <w:bCs/>
          <w:iCs/>
          <w:color w:val="000000"/>
          <w:sz w:val="24"/>
          <w:szCs w:val="24"/>
          <w:lang w:val="fr-CA"/>
        </w:rPr>
        <w:t xml:space="preserve"> et les variables </w:t>
      </w:r>
      <w:r w:rsidR="004750E8" w:rsidRPr="004750E8">
        <w:rPr>
          <w:rFonts w:ascii="Times New Roman" w:hAnsi="Times New Roman" w:cs="Times New Roman"/>
          <w:bCs/>
          <w:iCs/>
          <w:color w:val="000000"/>
          <w:sz w:val="24"/>
          <w:szCs w:val="24"/>
          <w:lang w:val="fr-CA"/>
        </w:rPr>
        <w:t>indépendantes</w:t>
      </w:r>
      <w:r w:rsidRPr="004750E8">
        <w:rPr>
          <w:rFonts w:ascii="Times New Roman" w:hAnsi="Times New Roman" w:cs="Times New Roman"/>
          <w:bCs/>
          <w:iCs/>
          <w:color w:val="000000"/>
          <w:sz w:val="24"/>
          <w:szCs w:val="24"/>
          <w:lang w:val="fr-CA"/>
        </w:rPr>
        <w:t>.</w:t>
      </w:r>
      <w:r>
        <w:rPr>
          <w:rFonts w:ascii="Times New Roman" w:hAnsi="Times New Roman" w:cs="Times New Roman"/>
        </w:rPr>
        <w:t xml:space="preserve"> </w:t>
      </w:r>
      <w:r w:rsidR="004750E8" w:rsidRPr="004E4639">
        <w:rPr>
          <w:rFonts w:ascii="Times New Roman" w:hAnsi="Times New Roman" w:cs="Times New Roman"/>
          <w:bCs/>
          <w:iCs/>
          <w:color w:val="000000"/>
          <w:sz w:val="24"/>
          <w:szCs w:val="24"/>
          <w:lang w:val="fr-CA"/>
        </w:rPr>
        <w:t xml:space="preserve">Le nombre de retard optimal est indissociable de l’estimation, ainsi nous poserons un certain nombre d’hypothèses indispensables à </w:t>
      </w:r>
      <w:r w:rsidR="00252369">
        <w:rPr>
          <w:rFonts w:ascii="Times New Roman" w:hAnsi="Times New Roman" w:cs="Times New Roman"/>
          <w:bCs/>
          <w:iCs/>
          <w:color w:val="000000"/>
          <w:sz w:val="24"/>
          <w:szCs w:val="24"/>
          <w:lang w:val="fr-CA"/>
        </w:rPr>
        <w:t>cette dernière</w:t>
      </w:r>
      <w:r w:rsidR="004750E8" w:rsidRPr="004E4639">
        <w:rPr>
          <w:rFonts w:ascii="Times New Roman" w:hAnsi="Times New Roman" w:cs="Times New Roman"/>
          <w:bCs/>
          <w:iCs/>
          <w:color w:val="000000"/>
          <w:sz w:val="24"/>
          <w:szCs w:val="24"/>
          <w:lang w:val="fr-CA"/>
        </w:rPr>
        <w:t xml:space="preserve">. </w:t>
      </w:r>
    </w:p>
    <w:p w14:paraId="598CA3C2" w14:textId="77777777" w:rsidR="000502D0" w:rsidRPr="004E4639" w:rsidRDefault="000502D0" w:rsidP="004750E8">
      <w:pPr>
        <w:pStyle w:val="Paragraphedeliste"/>
        <w:autoSpaceDE w:val="0"/>
        <w:autoSpaceDN w:val="0"/>
        <w:adjustRightInd w:val="0"/>
        <w:spacing w:after="0" w:line="240" w:lineRule="auto"/>
        <w:ind w:left="0"/>
        <w:jc w:val="both"/>
        <w:rPr>
          <w:rFonts w:ascii="Times New Roman" w:hAnsi="Times New Roman" w:cs="Times New Roman"/>
          <w:bCs/>
          <w:iCs/>
          <w:color w:val="000000"/>
          <w:sz w:val="24"/>
          <w:szCs w:val="24"/>
          <w:lang w:val="fr-CA"/>
        </w:rPr>
      </w:pPr>
    </w:p>
    <w:p w14:paraId="03733620" w14:textId="77777777" w:rsidR="004750E8" w:rsidRPr="000219B4" w:rsidRDefault="004750E8" w:rsidP="004750E8">
      <w:pPr>
        <w:pStyle w:val="Paragraphedeliste"/>
        <w:numPr>
          <w:ilvl w:val="0"/>
          <w:numId w:val="5"/>
        </w:numPr>
        <w:tabs>
          <w:tab w:val="left" w:pos="990"/>
        </w:tabs>
        <w:spacing w:after="0" w:line="360" w:lineRule="auto"/>
        <w:ind w:left="720" w:firstLine="0"/>
        <w:jc w:val="both"/>
        <w:rPr>
          <w:rFonts w:ascii="Times New Roman" w:hAnsi="Times New Roman" w:cs="Times New Roman"/>
          <w:b/>
          <w:i/>
          <w:sz w:val="24"/>
          <w:szCs w:val="24"/>
        </w:rPr>
      </w:pPr>
      <w:r w:rsidRPr="000219B4">
        <w:rPr>
          <w:rFonts w:ascii="Times New Roman" w:hAnsi="Times New Roman" w:cs="Times New Roman"/>
          <w:b/>
          <w:i/>
          <w:sz w:val="24"/>
          <w:szCs w:val="24"/>
        </w:rPr>
        <w:t>Hypothèses statistiques</w:t>
      </w:r>
    </w:p>
    <w:p w14:paraId="75F02BA2" w14:textId="77777777" w:rsidR="004750E8" w:rsidRPr="004E4639" w:rsidRDefault="004750E8" w:rsidP="004750E8">
      <w:pPr>
        <w:spacing w:after="0" w:line="360" w:lineRule="auto"/>
        <w:jc w:val="both"/>
        <w:rPr>
          <w:rFonts w:ascii="Times New Roman" w:hAnsi="Times New Roman" w:cs="Times New Roman"/>
          <w:sz w:val="24"/>
          <w:szCs w:val="24"/>
        </w:rPr>
      </w:pPr>
      <w:r w:rsidRPr="004E4639">
        <w:rPr>
          <w:rFonts w:ascii="Times New Roman" w:hAnsi="Times New Roman" w:cs="Times New Roman"/>
          <w:sz w:val="24"/>
          <w:szCs w:val="24"/>
        </w:rPr>
        <w:t>Ce modèle est spécifié sous les différentes hypothèses classiques suivantes :</w:t>
      </w:r>
    </w:p>
    <w:p w14:paraId="19C6E708" w14:textId="77777777" w:rsidR="004750E8" w:rsidRPr="004750E8" w:rsidRDefault="004750E8" w:rsidP="004750E8">
      <w:pPr>
        <w:pStyle w:val="Paragraphedeliste"/>
        <w:numPr>
          <w:ilvl w:val="0"/>
          <w:numId w:val="6"/>
        </w:numPr>
        <w:tabs>
          <w:tab w:val="left" w:pos="1620"/>
        </w:tabs>
        <w:spacing w:after="0" w:line="360" w:lineRule="auto"/>
        <w:jc w:val="both"/>
        <w:rPr>
          <w:rFonts w:ascii="Times New Roman" w:hAnsi="Times New Roman" w:cs="Times New Roman"/>
          <w:sz w:val="24"/>
          <w:szCs w:val="24"/>
        </w:rPr>
      </w:pPr>
      <w:r w:rsidRPr="004750E8">
        <w:rPr>
          <w:rFonts w:ascii="Times New Roman" w:hAnsi="Times New Roman" w:cs="Times New Roman"/>
          <w:sz w:val="24"/>
          <w:szCs w:val="24"/>
        </w:rPr>
        <w:t>Les variables indépendantes sont observées sans erreurs.</w:t>
      </w:r>
    </w:p>
    <w:p w14:paraId="7E99D713" w14:textId="77777777" w:rsidR="004750E8" w:rsidRPr="004750E8" w:rsidRDefault="004750E8" w:rsidP="004750E8">
      <w:pPr>
        <w:pStyle w:val="Paragraphedeliste"/>
        <w:numPr>
          <w:ilvl w:val="0"/>
          <w:numId w:val="6"/>
        </w:numPr>
        <w:tabs>
          <w:tab w:val="left" w:pos="1620"/>
        </w:tabs>
        <w:spacing w:after="0" w:line="360" w:lineRule="auto"/>
        <w:jc w:val="both"/>
        <w:rPr>
          <w:rFonts w:ascii="Times New Roman" w:hAnsi="Times New Roman" w:cs="Times New Roman"/>
          <w:sz w:val="24"/>
          <w:szCs w:val="24"/>
        </w:rPr>
      </w:pPr>
      <w:r w:rsidRPr="004750E8">
        <w:rPr>
          <w:rFonts w:ascii="Times New Roman" w:hAnsi="Times New Roman" w:cs="Times New Roman"/>
          <w:sz w:val="24"/>
          <w:szCs w:val="24"/>
        </w:rPr>
        <w:t>L’erreur suit une loi normale dont l’espérance est nulle et la variance constante (Homoscédasticité de l’erreur).</w:t>
      </w:r>
    </w:p>
    <w:p w14:paraId="6EDCE471" w14:textId="77777777" w:rsidR="004750E8" w:rsidRPr="004750E8" w:rsidRDefault="004750E8" w:rsidP="004750E8">
      <w:pPr>
        <w:pStyle w:val="Paragraphedeliste"/>
        <w:numPr>
          <w:ilvl w:val="0"/>
          <w:numId w:val="6"/>
        </w:numPr>
        <w:tabs>
          <w:tab w:val="left" w:pos="1620"/>
        </w:tabs>
        <w:spacing w:after="0" w:line="360" w:lineRule="auto"/>
        <w:jc w:val="both"/>
        <w:rPr>
          <w:rFonts w:ascii="Times New Roman" w:hAnsi="Times New Roman" w:cs="Times New Roman"/>
          <w:sz w:val="24"/>
          <w:szCs w:val="24"/>
        </w:rPr>
      </w:pPr>
      <w:r w:rsidRPr="004750E8">
        <w:rPr>
          <w:rFonts w:ascii="Times New Roman" w:hAnsi="Times New Roman" w:cs="Times New Roman"/>
          <w:sz w:val="24"/>
          <w:szCs w:val="24"/>
        </w:rPr>
        <w:t>Les erreurs ne sont pas corrélées dans le temps (non autocorrélation).</w:t>
      </w:r>
    </w:p>
    <w:p w14:paraId="2B34BCA9" w14:textId="77777777" w:rsidR="004750E8" w:rsidRPr="004750E8" w:rsidRDefault="004750E8" w:rsidP="004750E8">
      <w:pPr>
        <w:pStyle w:val="Paragraphedeliste"/>
        <w:numPr>
          <w:ilvl w:val="0"/>
          <w:numId w:val="6"/>
        </w:numPr>
        <w:tabs>
          <w:tab w:val="left" w:pos="1620"/>
        </w:tabs>
        <w:spacing w:after="0" w:line="360" w:lineRule="auto"/>
        <w:jc w:val="both"/>
        <w:rPr>
          <w:rFonts w:ascii="Times New Roman" w:hAnsi="Times New Roman" w:cs="Times New Roman"/>
          <w:sz w:val="24"/>
          <w:szCs w:val="24"/>
        </w:rPr>
      </w:pPr>
      <w:r w:rsidRPr="004750E8">
        <w:rPr>
          <w:rFonts w:ascii="Times New Roman" w:hAnsi="Times New Roman" w:cs="Times New Roman"/>
          <w:sz w:val="24"/>
          <w:szCs w:val="24"/>
        </w:rPr>
        <w:t>L’erreur est indépendante des variables explicatives.</w:t>
      </w:r>
    </w:p>
    <w:p w14:paraId="213671BE" w14:textId="77777777" w:rsidR="004750E8" w:rsidRDefault="004750E8" w:rsidP="004750E8">
      <w:pPr>
        <w:pStyle w:val="Paragraphedeliste"/>
        <w:numPr>
          <w:ilvl w:val="0"/>
          <w:numId w:val="6"/>
        </w:numPr>
        <w:tabs>
          <w:tab w:val="left" w:pos="1620"/>
        </w:tabs>
        <w:spacing w:after="0" w:line="360" w:lineRule="auto"/>
        <w:jc w:val="both"/>
        <w:rPr>
          <w:rFonts w:ascii="Times New Roman" w:hAnsi="Times New Roman" w:cs="Times New Roman"/>
          <w:sz w:val="24"/>
          <w:szCs w:val="24"/>
        </w:rPr>
      </w:pPr>
      <w:r w:rsidRPr="004750E8">
        <w:rPr>
          <w:rFonts w:ascii="Times New Roman" w:hAnsi="Times New Roman" w:cs="Times New Roman"/>
          <w:sz w:val="24"/>
          <w:szCs w:val="24"/>
        </w:rPr>
        <w:t>Absence de colinéarité entre les variables explicatives.</w:t>
      </w:r>
    </w:p>
    <w:p w14:paraId="40B65167" w14:textId="77777777" w:rsidR="004750E8" w:rsidRPr="004750E8" w:rsidRDefault="004750E8" w:rsidP="004750E8">
      <w:pPr>
        <w:pStyle w:val="Paragraphedeliste"/>
        <w:numPr>
          <w:ilvl w:val="0"/>
          <w:numId w:val="6"/>
        </w:numPr>
        <w:tabs>
          <w:tab w:val="left" w:pos="16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La forme mathématique employée correspond au phénomène étudié. </w:t>
      </w:r>
    </w:p>
    <w:p w14:paraId="2D5DABEB" w14:textId="77777777" w:rsidR="004750E8" w:rsidRPr="004750E8" w:rsidRDefault="004750E8" w:rsidP="004750E8">
      <w:pPr>
        <w:pStyle w:val="Paragraphedeliste"/>
        <w:numPr>
          <w:ilvl w:val="0"/>
          <w:numId w:val="6"/>
        </w:numPr>
        <w:tabs>
          <w:tab w:val="left" w:pos="1620"/>
        </w:tabs>
        <w:spacing w:after="0" w:line="360" w:lineRule="auto"/>
        <w:jc w:val="both"/>
        <w:rPr>
          <w:rFonts w:ascii="Times New Roman" w:hAnsi="Times New Roman" w:cs="Times New Roman"/>
          <w:sz w:val="24"/>
          <w:szCs w:val="24"/>
        </w:rPr>
      </w:pPr>
      <w:r w:rsidRPr="004750E8">
        <w:rPr>
          <w:rFonts w:ascii="Times New Roman" w:hAnsi="Times New Roman" w:cs="Times New Roman"/>
          <w:sz w:val="24"/>
          <w:szCs w:val="24"/>
        </w:rPr>
        <w:t>Pas de changement structurel au cours de la période sous-étude.</w:t>
      </w:r>
    </w:p>
    <w:p w14:paraId="7D99257E" w14:textId="77777777" w:rsidR="004750E8" w:rsidRPr="004E4639" w:rsidRDefault="004750E8" w:rsidP="004750E8">
      <w:pPr>
        <w:tabs>
          <w:tab w:val="left" w:pos="1620"/>
        </w:tabs>
        <w:spacing w:after="0" w:line="360" w:lineRule="auto"/>
        <w:ind w:left="1260"/>
        <w:jc w:val="both"/>
        <w:rPr>
          <w:rFonts w:ascii="Times New Roman" w:hAnsi="Times New Roman" w:cs="Times New Roman"/>
          <w:sz w:val="24"/>
          <w:szCs w:val="24"/>
        </w:rPr>
      </w:pPr>
    </w:p>
    <w:p w14:paraId="77404BC8" w14:textId="5BE8BBA9" w:rsidR="006F094C" w:rsidRDefault="004750E8" w:rsidP="004750E8">
      <w:pPr>
        <w:jc w:val="both"/>
        <w:rPr>
          <w:rFonts w:ascii="Times New Roman" w:hAnsi="Times New Roman" w:cs="Times New Roman"/>
          <w:sz w:val="24"/>
        </w:rPr>
      </w:pPr>
      <w:r w:rsidRPr="001028B1">
        <w:rPr>
          <w:rFonts w:ascii="Times New Roman" w:hAnsi="Times New Roman" w:cs="Times New Roman"/>
          <w:sz w:val="24"/>
        </w:rPr>
        <w:t xml:space="preserve">Ainsi après l’estimation, il faut nous assurer du respect de ces hypothèses afin de valider notre modèle. Pour </w:t>
      </w:r>
      <w:r w:rsidR="001028B1" w:rsidRPr="001028B1">
        <w:rPr>
          <w:rFonts w:ascii="Times New Roman" w:hAnsi="Times New Roman" w:cs="Times New Roman"/>
          <w:sz w:val="24"/>
        </w:rPr>
        <w:t>déterminer</w:t>
      </w:r>
      <w:r w:rsidRPr="001028B1">
        <w:rPr>
          <w:rFonts w:ascii="Times New Roman" w:hAnsi="Times New Roman" w:cs="Times New Roman"/>
          <w:sz w:val="24"/>
        </w:rPr>
        <w:t xml:space="preserve"> le nombre de retard</w:t>
      </w:r>
      <w:r w:rsidR="00862AFC">
        <w:rPr>
          <w:rFonts w:ascii="Times New Roman" w:hAnsi="Times New Roman" w:cs="Times New Roman"/>
          <w:sz w:val="24"/>
        </w:rPr>
        <w:t>s</w:t>
      </w:r>
      <w:r w:rsidRPr="001028B1">
        <w:rPr>
          <w:rFonts w:ascii="Times New Roman" w:hAnsi="Times New Roman" w:cs="Times New Roman"/>
          <w:sz w:val="24"/>
        </w:rPr>
        <w:t>, nous utilisons le package de R studio « </w:t>
      </w:r>
      <w:r w:rsidR="001028B1" w:rsidRPr="001028B1">
        <w:rPr>
          <w:rFonts w:ascii="Times New Roman" w:hAnsi="Times New Roman" w:cs="Times New Roman"/>
          <w:sz w:val="24"/>
        </w:rPr>
        <w:t>ARDL</w:t>
      </w:r>
      <w:r w:rsidRPr="001028B1">
        <w:rPr>
          <w:rFonts w:ascii="Times New Roman" w:hAnsi="Times New Roman" w:cs="Times New Roman"/>
          <w:sz w:val="24"/>
        </w:rPr>
        <w:t>»</w:t>
      </w:r>
      <w:r w:rsidR="001028B1" w:rsidRPr="001028B1">
        <w:rPr>
          <w:rFonts w:ascii="Times New Roman" w:hAnsi="Times New Roman" w:cs="Times New Roman"/>
          <w:sz w:val="24"/>
        </w:rPr>
        <w:t xml:space="preserve"> avec la fonction « </w:t>
      </w:r>
      <w:proofErr w:type="spellStart"/>
      <w:r w:rsidR="001028B1" w:rsidRPr="001028B1">
        <w:rPr>
          <w:rFonts w:ascii="Times New Roman" w:hAnsi="Times New Roman" w:cs="Times New Roman"/>
          <w:sz w:val="24"/>
        </w:rPr>
        <w:t>auto_ardl</w:t>
      </w:r>
      <w:proofErr w:type="spellEnd"/>
      <w:r w:rsidR="001028B1" w:rsidRPr="001028B1">
        <w:rPr>
          <w:rFonts w:ascii="Times New Roman" w:hAnsi="Times New Roman" w:cs="Times New Roman"/>
          <w:sz w:val="24"/>
        </w:rPr>
        <w:t> » qui nous donne la spécification automatique du modèle. Nous avons fixé</w:t>
      </w:r>
      <w:r w:rsidR="001028B1">
        <w:rPr>
          <w:rFonts w:ascii="Times New Roman" w:hAnsi="Times New Roman" w:cs="Times New Roman"/>
          <w:sz w:val="24"/>
        </w:rPr>
        <w:t xml:space="preserve"> le nombre</w:t>
      </w:r>
      <w:r w:rsidR="00862AFC">
        <w:rPr>
          <w:rFonts w:ascii="Times New Roman" w:hAnsi="Times New Roman" w:cs="Times New Roman"/>
          <w:sz w:val="24"/>
        </w:rPr>
        <w:t xml:space="preserve"> maximal</w:t>
      </w:r>
      <w:r w:rsidR="001028B1">
        <w:rPr>
          <w:rFonts w:ascii="Times New Roman" w:hAnsi="Times New Roman" w:cs="Times New Roman"/>
          <w:sz w:val="24"/>
        </w:rPr>
        <w:t xml:space="preserve"> de retard</w:t>
      </w:r>
      <w:r w:rsidR="00862AFC">
        <w:rPr>
          <w:rFonts w:ascii="Times New Roman" w:hAnsi="Times New Roman" w:cs="Times New Roman"/>
          <w:sz w:val="24"/>
        </w:rPr>
        <w:t>s</w:t>
      </w:r>
      <w:r w:rsidR="001028B1">
        <w:rPr>
          <w:rFonts w:ascii="Times New Roman" w:hAnsi="Times New Roman" w:cs="Times New Roman"/>
          <w:sz w:val="24"/>
        </w:rPr>
        <w:t xml:space="preserve"> à 3</w:t>
      </w:r>
      <w:r w:rsidR="001028B1" w:rsidRPr="001028B1">
        <w:rPr>
          <w:rFonts w:ascii="Times New Roman" w:hAnsi="Times New Roman" w:cs="Times New Roman"/>
          <w:sz w:val="24"/>
        </w:rPr>
        <w:t xml:space="preserve"> pour les variables dépendante et indépendante. Ce choix </w:t>
      </w:r>
      <w:r w:rsidR="001028B1" w:rsidRPr="001028B1">
        <w:rPr>
          <w:rFonts w:ascii="Times New Roman" w:hAnsi="Times New Roman" w:cs="Times New Roman"/>
          <w:sz w:val="24"/>
        </w:rPr>
        <w:lastRenderedPageBreak/>
        <w:t xml:space="preserve">vient du fait que nous supposons que l’impact des variables sur le phénomène étudié ne durera pas plus de </w:t>
      </w:r>
      <w:r w:rsidR="001028B1">
        <w:rPr>
          <w:rFonts w:ascii="Times New Roman" w:hAnsi="Times New Roman" w:cs="Times New Roman"/>
          <w:sz w:val="24"/>
        </w:rPr>
        <w:t>trois (3</w:t>
      </w:r>
      <w:r w:rsidR="001028B1" w:rsidRPr="001028B1">
        <w:rPr>
          <w:rFonts w:ascii="Times New Roman" w:hAnsi="Times New Roman" w:cs="Times New Roman"/>
          <w:sz w:val="24"/>
        </w:rPr>
        <w:t>) ans, d’autant que le nombre d’observation</w:t>
      </w:r>
      <w:r w:rsidR="000B1F8B">
        <w:rPr>
          <w:rFonts w:ascii="Times New Roman" w:hAnsi="Times New Roman" w:cs="Times New Roman"/>
          <w:sz w:val="24"/>
        </w:rPr>
        <w:t>s</w:t>
      </w:r>
      <w:r w:rsidR="001028B1" w:rsidRPr="001028B1">
        <w:rPr>
          <w:rFonts w:ascii="Times New Roman" w:hAnsi="Times New Roman" w:cs="Times New Roman"/>
          <w:sz w:val="24"/>
        </w:rPr>
        <w:t xml:space="preserve"> de l’étude est relativement faible</w:t>
      </w:r>
      <w:r w:rsidR="000B1F8B">
        <w:rPr>
          <w:rFonts w:ascii="Times New Roman" w:hAnsi="Times New Roman" w:cs="Times New Roman"/>
          <w:sz w:val="24"/>
        </w:rPr>
        <w:t xml:space="preserve"> (20 ans)</w:t>
      </w:r>
      <w:r w:rsidR="001028B1" w:rsidRPr="001028B1">
        <w:rPr>
          <w:rFonts w:ascii="Times New Roman" w:hAnsi="Times New Roman" w:cs="Times New Roman"/>
          <w:sz w:val="24"/>
        </w:rPr>
        <w:t xml:space="preserve">. </w:t>
      </w:r>
      <w:r w:rsidR="001028B1">
        <w:rPr>
          <w:rFonts w:ascii="Times New Roman" w:hAnsi="Times New Roman" w:cs="Times New Roman"/>
          <w:sz w:val="24"/>
        </w:rPr>
        <w:t xml:space="preserve">De plus, au-delà de 3, nous obtenons une matrice singulière qui rend impossible l’estimation des paramètres. </w:t>
      </w:r>
    </w:p>
    <w:p w14:paraId="22DBD76E" w14:textId="31828038" w:rsidR="00CB4389" w:rsidRDefault="00C87731" w:rsidP="004750E8">
      <w:pPr>
        <w:jc w:val="both"/>
        <w:rPr>
          <w:rFonts w:ascii="Times New Roman" w:hAnsi="Times New Roman" w:cs="Times New Roman"/>
          <w:sz w:val="24"/>
        </w:rPr>
      </w:pPr>
      <w:r>
        <w:rPr>
          <w:rFonts w:ascii="Times New Roman" w:hAnsi="Times New Roman" w:cs="Times New Roman"/>
          <w:sz w:val="24"/>
        </w:rPr>
        <w:t>Par la suite, nous avons trouvé que l</w:t>
      </w:r>
      <w:r w:rsidR="001028B1">
        <w:rPr>
          <w:rFonts w:ascii="Times New Roman" w:hAnsi="Times New Roman" w:cs="Times New Roman"/>
          <w:sz w:val="24"/>
        </w:rPr>
        <w:t xml:space="preserve">e </w:t>
      </w:r>
      <w:r w:rsidR="00AA44F9">
        <w:rPr>
          <w:rFonts w:ascii="Times New Roman" w:hAnsi="Times New Roman" w:cs="Times New Roman"/>
          <w:sz w:val="24"/>
        </w:rPr>
        <w:t>modèle</w:t>
      </w:r>
      <w:r w:rsidR="001028B1">
        <w:rPr>
          <w:rFonts w:ascii="Times New Roman" w:hAnsi="Times New Roman" w:cs="Times New Roman"/>
          <w:sz w:val="24"/>
        </w:rPr>
        <w:t xml:space="preserve"> optimal, c’est-à-dire celui qui minimise le critère d’information à la fois d’AKAIKE et de </w:t>
      </w:r>
      <w:r w:rsidR="00677212">
        <w:rPr>
          <w:rFonts w:ascii="Times New Roman" w:hAnsi="Times New Roman" w:cs="Times New Roman"/>
          <w:sz w:val="24"/>
        </w:rPr>
        <w:t>Schwartz</w:t>
      </w:r>
      <w:r w:rsidR="00CB4389">
        <w:rPr>
          <w:rFonts w:ascii="Times New Roman" w:hAnsi="Times New Roman" w:cs="Times New Roman"/>
          <w:sz w:val="24"/>
        </w:rPr>
        <w:t>,</w:t>
      </w:r>
      <w:r w:rsidR="001028B1">
        <w:rPr>
          <w:rFonts w:ascii="Times New Roman" w:hAnsi="Times New Roman" w:cs="Times New Roman"/>
          <w:sz w:val="24"/>
        </w:rPr>
        <w:t xml:space="preserve"> est un ARDL (1, 0, 0,0). Seule la variable </w:t>
      </w:r>
      <w:r w:rsidR="00AA44F9">
        <w:rPr>
          <w:rFonts w:ascii="Times New Roman" w:hAnsi="Times New Roman" w:cs="Times New Roman"/>
          <w:sz w:val="24"/>
        </w:rPr>
        <w:t>dépendante</w:t>
      </w:r>
      <w:r w:rsidR="001028B1">
        <w:rPr>
          <w:rFonts w:ascii="Times New Roman" w:hAnsi="Times New Roman" w:cs="Times New Roman"/>
          <w:sz w:val="24"/>
        </w:rPr>
        <w:t xml:space="preserve"> sera </w:t>
      </w:r>
      <w:r w:rsidR="00AA44F9">
        <w:rPr>
          <w:rFonts w:ascii="Times New Roman" w:hAnsi="Times New Roman" w:cs="Times New Roman"/>
          <w:sz w:val="24"/>
        </w:rPr>
        <w:t>affectée</w:t>
      </w:r>
      <w:r w:rsidR="001028B1">
        <w:rPr>
          <w:rFonts w:ascii="Times New Roman" w:hAnsi="Times New Roman" w:cs="Times New Roman"/>
          <w:sz w:val="24"/>
        </w:rPr>
        <w:t xml:space="preserve"> d’un retard, </w:t>
      </w:r>
      <w:r w:rsidR="00CB4389">
        <w:rPr>
          <w:rFonts w:ascii="Times New Roman" w:hAnsi="Times New Roman" w:cs="Times New Roman"/>
          <w:sz w:val="24"/>
        </w:rPr>
        <w:t xml:space="preserve">donc </w:t>
      </w:r>
      <w:r w:rsidR="00AA44F9">
        <w:rPr>
          <w:rFonts w:ascii="Times New Roman" w:hAnsi="Times New Roman" w:cs="Times New Roman"/>
          <w:sz w:val="24"/>
        </w:rPr>
        <w:t>décalée</w:t>
      </w:r>
      <w:r w:rsidR="001028B1">
        <w:rPr>
          <w:rFonts w:ascii="Times New Roman" w:hAnsi="Times New Roman" w:cs="Times New Roman"/>
          <w:sz w:val="24"/>
        </w:rPr>
        <w:t xml:space="preserve"> d’une année. </w:t>
      </w:r>
      <w:r w:rsidR="00BB5C2F">
        <w:rPr>
          <w:rFonts w:ascii="Times New Roman" w:hAnsi="Times New Roman" w:cs="Times New Roman"/>
          <w:sz w:val="24"/>
        </w:rPr>
        <w:t>Pou</w:t>
      </w:r>
      <w:r w:rsidR="00DE6D6E">
        <w:rPr>
          <w:rFonts w:ascii="Times New Roman" w:hAnsi="Times New Roman" w:cs="Times New Roman"/>
          <w:sz w:val="24"/>
        </w:rPr>
        <w:t>r</w:t>
      </w:r>
      <w:r w:rsidR="00BB5C2F">
        <w:rPr>
          <w:rFonts w:ascii="Times New Roman" w:hAnsi="Times New Roman" w:cs="Times New Roman"/>
          <w:sz w:val="24"/>
        </w:rPr>
        <w:t xml:space="preserve"> l</w:t>
      </w:r>
      <w:r w:rsidR="001028B1">
        <w:rPr>
          <w:rFonts w:ascii="Times New Roman" w:hAnsi="Times New Roman" w:cs="Times New Roman"/>
          <w:sz w:val="24"/>
        </w:rPr>
        <w:t xml:space="preserve">es autres variables, </w:t>
      </w:r>
      <w:r w:rsidR="00717F0E">
        <w:rPr>
          <w:rFonts w:ascii="Times New Roman" w:hAnsi="Times New Roman" w:cs="Times New Roman"/>
          <w:sz w:val="24"/>
        </w:rPr>
        <w:t>indépendante</w:t>
      </w:r>
      <w:r w:rsidR="001028B1">
        <w:rPr>
          <w:rFonts w:ascii="Times New Roman" w:hAnsi="Times New Roman" w:cs="Times New Roman"/>
          <w:sz w:val="24"/>
        </w:rPr>
        <w:t xml:space="preserve"> et de contrôle, leur impact sur la rentabilité est </w:t>
      </w:r>
      <w:r w:rsidR="00AA44F9">
        <w:rPr>
          <w:rFonts w:ascii="Times New Roman" w:hAnsi="Times New Roman" w:cs="Times New Roman"/>
          <w:sz w:val="24"/>
        </w:rPr>
        <w:t>instantané</w:t>
      </w:r>
      <w:r w:rsidR="00717F0E">
        <w:rPr>
          <w:rFonts w:ascii="Times New Roman" w:hAnsi="Times New Roman" w:cs="Times New Roman"/>
          <w:sz w:val="24"/>
        </w:rPr>
        <w:t xml:space="preserve">.  </w:t>
      </w:r>
    </w:p>
    <w:p w14:paraId="63CE2565" w14:textId="77777777" w:rsidR="00CB4389" w:rsidRDefault="00CB4389" w:rsidP="004750E8">
      <w:pPr>
        <w:jc w:val="both"/>
        <w:rPr>
          <w:rFonts w:ascii="Times New Roman" w:hAnsi="Times New Roman" w:cs="Times New Roman"/>
          <w:sz w:val="24"/>
        </w:rPr>
      </w:pPr>
    </w:p>
    <w:p w14:paraId="6C86BA40" w14:textId="07A412FA" w:rsidR="00717F0E" w:rsidRPr="00717F0E" w:rsidRDefault="00717F0E" w:rsidP="004750E8">
      <w:pPr>
        <w:jc w:val="both"/>
        <w:rPr>
          <w:rFonts w:ascii="Times New Roman" w:hAnsi="Times New Roman" w:cs="Times New Roman"/>
          <w:b/>
          <w:sz w:val="32"/>
        </w:rPr>
      </w:pPr>
      <w:r w:rsidRPr="00717F0E">
        <w:rPr>
          <w:rFonts w:ascii="Times New Roman" w:eastAsia="Times New Roman" w:hAnsi="Times New Roman" w:cs="Times New Roman"/>
          <w:b/>
          <w:color w:val="000000"/>
          <w:sz w:val="24"/>
          <w:szCs w:val="20"/>
          <w:lang w:eastAsia="fr-FR"/>
        </w:rPr>
        <w:t>Tableau 4 : Résultats de l'estimation</w:t>
      </w:r>
    </w:p>
    <w:tbl>
      <w:tblPr>
        <w:tblStyle w:val="Tableausimple2"/>
        <w:tblW w:w="9382" w:type="dxa"/>
        <w:tblLook w:val="04A0" w:firstRow="1" w:lastRow="0" w:firstColumn="1" w:lastColumn="0" w:noHBand="0" w:noVBand="1"/>
      </w:tblPr>
      <w:tblGrid>
        <w:gridCol w:w="2442"/>
        <w:gridCol w:w="1366"/>
        <w:gridCol w:w="1660"/>
        <w:gridCol w:w="1269"/>
        <w:gridCol w:w="2645"/>
      </w:tblGrid>
      <w:tr w:rsidR="00161875" w:rsidRPr="00D77DF1" w14:paraId="43212A4C" w14:textId="77777777" w:rsidTr="00717F0E">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442" w:type="dxa"/>
            <w:noWrap/>
            <w:hideMark/>
          </w:tcPr>
          <w:p w14:paraId="270D23BA" w14:textId="77777777" w:rsidR="00AA44F9" w:rsidRPr="00D77DF1" w:rsidRDefault="00AA44F9" w:rsidP="00161875">
            <w:pPr>
              <w:jc w:val="center"/>
              <w:rPr>
                <w:rFonts w:ascii="Times New Roman" w:eastAsia="Times New Roman" w:hAnsi="Times New Roman" w:cs="Times New Roman"/>
                <w:color w:val="000000"/>
                <w:sz w:val="20"/>
                <w:szCs w:val="20"/>
                <w:lang w:eastAsia="fr-FR"/>
              </w:rPr>
            </w:pPr>
            <w:r w:rsidRPr="00D77DF1">
              <w:rPr>
                <w:rFonts w:ascii="Times New Roman" w:eastAsia="Times New Roman" w:hAnsi="Times New Roman" w:cs="Times New Roman"/>
                <w:b w:val="0"/>
                <w:color w:val="000000"/>
                <w:sz w:val="20"/>
                <w:szCs w:val="20"/>
                <w:lang w:eastAsia="fr-FR"/>
              </w:rPr>
              <w:t>Coefficients</w:t>
            </w:r>
            <w:r w:rsidRPr="00D77DF1">
              <w:rPr>
                <w:rFonts w:ascii="Times New Roman" w:eastAsia="Times New Roman" w:hAnsi="Times New Roman" w:cs="Times New Roman"/>
                <w:color w:val="000000"/>
                <w:sz w:val="20"/>
                <w:szCs w:val="20"/>
                <w:lang w:eastAsia="fr-FR"/>
              </w:rPr>
              <w:t>:</w:t>
            </w:r>
          </w:p>
        </w:tc>
        <w:tc>
          <w:tcPr>
            <w:tcW w:w="1366" w:type="dxa"/>
            <w:noWrap/>
            <w:hideMark/>
          </w:tcPr>
          <w:p w14:paraId="3E20670B" w14:textId="77777777" w:rsidR="00AA44F9" w:rsidRPr="00D77DF1" w:rsidRDefault="00161875" w:rsidP="001618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D77DF1">
              <w:rPr>
                <w:rFonts w:ascii="Times New Roman" w:eastAsia="Times New Roman" w:hAnsi="Times New Roman" w:cs="Times New Roman"/>
                <w:color w:val="000000"/>
                <w:sz w:val="20"/>
                <w:szCs w:val="20"/>
                <w:lang w:eastAsia="fr-FR"/>
              </w:rPr>
              <w:t>Estimateur</w:t>
            </w:r>
          </w:p>
        </w:tc>
        <w:tc>
          <w:tcPr>
            <w:tcW w:w="1660" w:type="dxa"/>
            <w:noWrap/>
            <w:hideMark/>
          </w:tcPr>
          <w:p w14:paraId="7C1DEDFB" w14:textId="77777777" w:rsidR="00AA44F9" w:rsidRPr="00D77DF1" w:rsidRDefault="000219B4" w:rsidP="001618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fr-FR"/>
              </w:rPr>
            </w:pPr>
            <w:r w:rsidRPr="00D77DF1">
              <w:rPr>
                <w:rFonts w:ascii="Times New Roman" w:eastAsia="Times New Roman" w:hAnsi="Times New Roman" w:cs="Times New Roman"/>
                <w:color w:val="000000"/>
                <w:sz w:val="20"/>
                <w:szCs w:val="20"/>
                <w:lang w:eastAsia="fr-FR"/>
              </w:rPr>
              <w:t>St</w:t>
            </w:r>
            <w:r w:rsidR="00D77DF1">
              <w:rPr>
                <w:rFonts w:ascii="Times New Roman" w:eastAsia="Times New Roman" w:hAnsi="Times New Roman" w:cs="Times New Roman"/>
                <w:color w:val="000000"/>
                <w:sz w:val="20"/>
                <w:szCs w:val="20"/>
                <w:lang w:eastAsia="fr-FR"/>
              </w:rPr>
              <w:t>an</w:t>
            </w:r>
            <w:r w:rsidRPr="00D77DF1">
              <w:rPr>
                <w:rFonts w:ascii="Times New Roman" w:eastAsia="Times New Roman" w:hAnsi="Times New Roman" w:cs="Times New Roman"/>
                <w:color w:val="000000"/>
                <w:sz w:val="20"/>
                <w:szCs w:val="20"/>
                <w:lang w:eastAsia="fr-FR"/>
              </w:rPr>
              <w:t>d</w:t>
            </w:r>
            <w:r w:rsidR="00D77DF1">
              <w:rPr>
                <w:rFonts w:ascii="Times New Roman" w:eastAsia="Times New Roman" w:hAnsi="Times New Roman" w:cs="Times New Roman"/>
                <w:color w:val="000000"/>
                <w:sz w:val="20"/>
                <w:szCs w:val="20"/>
                <w:lang w:eastAsia="fr-FR"/>
              </w:rPr>
              <w:t>ard</w:t>
            </w:r>
            <w:r w:rsidRPr="00D77DF1">
              <w:rPr>
                <w:rFonts w:ascii="Times New Roman" w:eastAsia="Times New Roman" w:hAnsi="Times New Roman" w:cs="Times New Roman"/>
                <w:color w:val="000000"/>
                <w:sz w:val="20"/>
                <w:szCs w:val="20"/>
                <w:lang w:eastAsia="fr-FR"/>
              </w:rPr>
              <w:t>. Erreu</w:t>
            </w:r>
            <w:r w:rsidR="00161875" w:rsidRPr="00D77DF1">
              <w:rPr>
                <w:rFonts w:ascii="Times New Roman" w:eastAsia="Times New Roman" w:hAnsi="Times New Roman" w:cs="Times New Roman"/>
                <w:color w:val="000000"/>
                <w:sz w:val="20"/>
                <w:szCs w:val="20"/>
                <w:lang w:eastAsia="fr-FR"/>
              </w:rPr>
              <w:t>r</w:t>
            </w:r>
          </w:p>
        </w:tc>
        <w:tc>
          <w:tcPr>
            <w:tcW w:w="1269" w:type="dxa"/>
            <w:noWrap/>
            <w:hideMark/>
          </w:tcPr>
          <w:p w14:paraId="233F9FFC" w14:textId="77777777" w:rsidR="00AA44F9" w:rsidRPr="00D77DF1" w:rsidRDefault="00161875" w:rsidP="001618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fr-FR"/>
              </w:rPr>
            </w:pPr>
            <w:r w:rsidRPr="00D77DF1">
              <w:rPr>
                <w:rFonts w:ascii="Times New Roman" w:eastAsia="Times New Roman" w:hAnsi="Times New Roman" w:cs="Times New Roman"/>
                <w:color w:val="000000"/>
                <w:sz w:val="20"/>
                <w:szCs w:val="20"/>
                <w:lang w:eastAsia="fr-FR"/>
              </w:rPr>
              <w:t>t value</w:t>
            </w:r>
          </w:p>
        </w:tc>
        <w:tc>
          <w:tcPr>
            <w:tcW w:w="2645" w:type="dxa"/>
            <w:noWrap/>
            <w:hideMark/>
          </w:tcPr>
          <w:p w14:paraId="5AE94C4E" w14:textId="77777777" w:rsidR="00AA44F9" w:rsidRPr="00D77DF1" w:rsidRDefault="000219B4" w:rsidP="001618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fr-FR"/>
              </w:rPr>
            </w:pPr>
            <w:r w:rsidRPr="00D77DF1">
              <w:rPr>
                <w:rFonts w:ascii="Times New Roman" w:eastAsia="Times New Roman" w:hAnsi="Times New Roman" w:cs="Times New Roman"/>
                <w:color w:val="000000"/>
                <w:sz w:val="20"/>
                <w:szCs w:val="20"/>
                <w:lang w:eastAsia="fr-FR"/>
              </w:rPr>
              <w:t>Pr (</w:t>
            </w:r>
            <w:r w:rsidR="00161875" w:rsidRPr="00D77DF1">
              <w:rPr>
                <w:rFonts w:ascii="Times New Roman" w:eastAsia="Times New Roman" w:hAnsi="Times New Roman" w:cs="Times New Roman"/>
                <w:color w:val="000000"/>
                <w:sz w:val="20"/>
                <w:szCs w:val="20"/>
                <w:lang w:eastAsia="fr-FR"/>
              </w:rPr>
              <w:t>&gt;|t|)</w:t>
            </w:r>
          </w:p>
        </w:tc>
      </w:tr>
      <w:tr w:rsidR="00161875" w:rsidRPr="00D77DF1" w14:paraId="4BEA9B23" w14:textId="77777777" w:rsidTr="00717F0E">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442" w:type="dxa"/>
            <w:noWrap/>
            <w:hideMark/>
          </w:tcPr>
          <w:p w14:paraId="6A6076E8" w14:textId="77777777" w:rsidR="00AA44F9" w:rsidRPr="00D77DF1" w:rsidRDefault="00AA44F9" w:rsidP="00D77DF1">
            <w:pPr>
              <w:jc w:val="center"/>
              <w:rPr>
                <w:rFonts w:ascii="Times New Roman" w:eastAsia="Times New Roman" w:hAnsi="Times New Roman" w:cs="Times New Roman"/>
                <w:color w:val="000000"/>
                <w:sz w:val="20"/>
                <w:szCs w:val="20"/>
                <w:lang w:eastAsia="fr-FR"/>
              </w:rPr>
            </w:pPr>
            <w:r w:rsidRPr="00D77DF1">
              <w:rPr>
                <w:rFonts w:ascii="Times New Roman" w:eastAsia="Times New Roman" w:hAnsi="Times New Roman" w:cs="Times New Roman"/>
                <w:color w:val="000000"/>
                <w:sz w:val="20"/>
                <w:szCs w:val="20"/>
                <w:lang w:eastAsia="fr-FR"/>
              </w:rPr>
              <w:t>(</w:t>
            </w:r>
            <w:r w:rsidR="00D77DF1">
              <w:rPr>
                <w:rFonts w:ascii="Times New Roman" w:eastAsia="Times New Roman" w:hAnsi="Times New Roman" w:cs="Times New Roman"/>
                <w:color w:val="000000"/>
                <w:sz w:val="20"/>
                <w:szCs w:val="20"/>
                <w:lang w:eastAsia="fr-FR"/>
              </w:rPr>
              <w:t>Constante</w:t>
            </w:r>
            <w:r w:rsidRPr="00D77DF1">
              <w:rPr>
                <w:rFonts w:ascii="Times New Roman" w:eastAsia="Times New Roman" w:hAnsi="Times New Roman" w:cs="Times New Roman"/>
                <w:color w:val="000000"/>
                <w:sz w:val="20"/>
                <w:szCs w:val="20"/>
                <w:lang w:eastAsia="fr-FR"/>
              </w:rPr>
              <w:t>)</w:t>
            </w:r>
          </w:p>
        </w:tc>
        <w:tc>
          <w:tcPr>
            <w:tcW w:w="1366" w:type="dxa"/>
            <w:noWrap/>
            <w:hideMark/>
          </w:tcPr>
          <w:p w14:paraId="11BE7F32" w14:textId="77777777" w:rsidR="00AA44F9" w:rsidRPr="00D77DF1" w:rsidRDefault="00AA44F9" w:rsidP="001618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D77DF1">
              <w:rPr>
                <w:rFonts w:ascii="Times New Roman" w:eastAsia="Times New Roman" w:hAnsi="Times New Roman" w:cs="Times New Roman"/>
                <w:color w:val="000000"/>
                <w:sz w:val="20"/>
                <w:szCs w:val="20"/>
                <w:lang w:eastAsia="fr-FR"/>
              </w:rPr>
              <w:t>0.004295</w:t>
            </w:r>
          </w:p>
        </w:tc>
        <w:tc>
          <w:tcPr>
            <w:tcW w:w="1660" w:type="dxa"/>
            <w:noWrap/>
            <w:hideMark/>
          </w:tcPr>
          <w:p w14:paraId="54225DA1" w14:textId="77777777" w:rsidR="00AA44F9" w:rsidRPr="00D77DF1" w:rsidRDefault="00AA44F9" w:rsidP="001618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D77DF1">
              <w:rPr>
                <w:rFonts w:ascii="Times New Roman" w:eastAsia="Times New Roman" w:hAnsi="Times New Roman" w:cs="Times New Roman"/>
                <w:color w:val="000000"/>
                <w:sz w:val="20"/>
                <w:szCs w:val="20"/>
                <w:lang w:eastAsia="fr-FR"/>
              </w:rPr>
              <w:t>4.91E-03</w:t>
            </w:r>
          </w:p>
        </w:tc>
        <w:tc>
          <w:tcPr>
            <w:tcW w:w="1269" w:type="dxa"/>
            <w:noWrap/>
            <w:hideMark/>
          </w:tcPr>
          <w:p w14:paraId="456ED9BB" w14:textId="77777777" w:rsidR="00AA44F9" w:rsidRPr="00D77DF1" w:rsidRDefault="00AA44F9" w:rsidP="001618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D77DF1">
              <w:rPr>
                <w:rFonts w:ascii="Times New Roman" w:eastAsia="Times New Roman" w:hAnsi="Times New Roman" w:cs="Times New Roman"/>
                <w:color w:val="000000"/>
                <w:sz w:val="20"/>
                <w:szCs w:val="20"/>
                <w:lang w:eastAsia="fr-FR"/>
              </w:rPr>
              <w:t>0.875</w:t>
            </w:r>
          </w:p>
        </w:tc>
        <w:tc>
          <w:tcPr>
            <w:tcW w:w="2645" w:type="dxa"/>
            <w:noWrap/>
            <w:hideMark/>
          </w:tcPr>
          <w:p w14:paraId="48A3B885" w14:textId="77777777" w:rsidR="00AA44F9" w:rsidRPr="00D77DF1" w:rsidRDefault="00AA44F9" w:rsidP="001618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D77DF1">
              <w:rPr>
                <w:rFonts w:ascii="Times New Roman" w:eastAsia="Times New Roman" w:hAnsi="Times New Roman" w:cs="Times New Roman"/>
                <w:color w:val="000000"/>
                <w:sz w:val="20"/>
                <w:szCs w:val="20"/>
                <w:lang w:eastAsia="fr-FR"/>
              </w:rPr>
              <w:t>0.396</w:t>
            </w:r>
          </w:p>
        </w:tc>
      </w:tr>
      <w:tr w:rsidR="00161875" w:rsidRPr="00D77DF1" w14:paraId="54A7DE3C" w14:textId="77777777" w:rsidTr="00717F0E">
        <w:trPr>
          <w:trHeight w:val="261"/>
        </w:trPr>
        <w:tc>
          <w:tcPr>
            <w:cnfStyle w:val="001000000000" w:firstRow="0" w:lastRow="0" w:firstColumn="1" w:lastColumn="0" w:oddVBand="0" w:evenVBand="0" w:oddHBand="0" w:evenHBand="0" w:firstRowFirstColumn="0" w:firstRowLastColumn="0" w:lastRowFirstColumn="0" w:lastRowLastColumn="0"/>
            <w:tcW w:w="2442" w:type="dxa"/>
            <w:noWrap/>
            <w:hideMark/>
          </w:tcPr>
          <w:p w14:paraId="024E58DF" w14:textId="77777777" w:rsidR="00AA44F9" w:rsidRPr="00D77DF1" w:rsidRDefault="00D77DF1" w:rsidP="00161875">
            <w:pPr>
              <w:jc w:val="center"/>
              <w:rPr>
                <w:rFonts w:ascii="Times New Roman" w:eastAsia="Times New Roman" w:hAnsi="Times New Roman" w:cs="Times New Roman"/>
                <w:color w:val="000000"/>
                <w:sz w:val="20"/>
                <w:szCs w:val="20"/>
                <w:lang w:eastAsia="fr-FR"/>
              </w:rPr>
            </w:pPr>
            <w:r w:rsidRPr="00D77DF1">
              <w:rPr>
                <w:rFonts w:ascii="Times New Roman" w:eastAsia="Times New Roman" w:hAnsi="Times New Roman" w:cs="Times New Roman"/>
                <w:color w:val="000000"/>
                <w:sz w:val="20"/>
                <w:szCs w:val="20"/>
                <w:lang w:eastAsia="fr-FR"/>
              </w:rPr>
              <w:t>Rentabilité</w:t>
            </w:r>
            <w:r>
              <w:rPr>
                <w:rFonts w:ascii="Times New Roman" w:eastAsia="Times New Roman" w:hAnsi="Times New Roman" w:cs="Times New Roman"/>
                <w:color w:val="000000"/>
                <w:sz w:val="20"/>
                <w:szCs w:val="20"/>
                <w:lang w:eastAsia="fr-FR"/>
              </w:rPr>
              <w:t xml:space="preserve"> </w:t>
            </w:r>
            <w:r w:rsidR="00AA44F9" w:rsidRPr="00D77DF1">
              <w:rPr>
                <w:rFonts w:ascii="Times New Roman" w:eastAsia="Times New Roman" w:hAnsi="Times New Roman" w:cs="Times New Roman"/>
                <w:color w:val="000000"/>
                <w:sz w:val="20"/>
                <w:szCs w:val="20"/>
                <w:lang w:eastAsia="fr-FR"/>
              </w:rPr>
              <w:t>(-1)</w:t>
            </w:r>
          </w:p>
        </w:tc>
        <w:tc>
          <w:tcPr>
            <w:tcW w:w="1366" w:type="dxa"/>
            <w:noWrap/>
            <w:hideMark/>
          </w:tcPr>
          <w:p w14:paraId="12B41D9C" w14:textId="77777777" w:rsidR="00AA44F9" w:rsidRPr="00D77DF1" w:rsidRDefault="00AA44F9" w:rsidP="001618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D77DF1">
              <w:rPr>
                <w:rFonts w:ascii="Times New Roman" w:eastAsia="Times New Roman" w:hAnsi="Times New Roman" w:cs="Times New Roman"/>
                <w:color w:val="000000"/>
                <w:sz w:val="20"/>
                <w:szCs w:val="20"/>
                <w:lang w:eastAsia="fr-FR"/>
              </w:rPr>
              <w:t>0.9906</w:t>
            </w:r>
          </w:p>
        </w:tc>
        <w:tc>
          <w:tcPr>
            <w:tcW w:w="1660" w:type="dxa"/>
            <w:noWrap/>
            <w:hideMark/>
          </w:tcPr>
          <w:p w14:paraId="22E09ECD" w14:textId="77777777" w:rsidR="00AA44F9" w:rsidRPr="00D77DF1" w:rsidRDefault="00AA44F9" w:rsidP="001618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D77DF1">
              <w:rPr>
                <w:rFonts w:ascii="Times New Roman" w:eastAsia="Times New Roman" w:hAnsi="Times New Roman" w:cs="Times New Roman"/>
                <w:color w:val="000000"/>
                <w:sz w:val="20"/>
                <w:szCs w:val="20"/>
                <w:lang w:eastAsia="fr-FR"/>
              </w:rPr>
              <w:t>4.36E-02</w:t>
            </w:r>
          </w:p>
        </w:tc>
        <w:tc>
          <w:tcPr>
            <w:tcW w:w="1269" w:type="dxa"/>
            <w:noWrap/>
            <w:hideMark/>
          </w:tcPr>
          <w:p w14:paraId="1E38E0A3" w14:textId="77777777" w:rsidR="00AA44F9" w:rsidRPr="00D77DF1" w:rsidRDefault="00AA44F9" w:rsidP="001618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D77DF1">
              <w:rPr>
                <w:rFonts w:ascii="Times New Roman" w:eastAsia="Times New Roman" w:hAnsi="Times New Roman" w:cs="Times New Roman"/>
                <w:color w:val="000000"/>
                <w:sz w:val="20"/>
                <w:szCs w:val="20"/>
                <w:lang w:eastAsia="fr-FR"/>
              </w:rPr>
              <w:t>22.729</w:t>
            </w:r>
          </w:p>
        </w:tc>
        <w:tc>
          <w:tcPr>
            <w:tcW w:w="2645" w:type="dxa"/>
            <w:noWrap/>
            <w:hideMark/>
          </w:tcPr>
          <w:p w14:paraId="070E8F9B" w14:textId="77777777" w:rsidR="00AA44F9" w:rsidRPr="00D77DF1" w:rsidRDefault="00AA44F9" w:rsidP="001618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D77DF1">
              <w:rPr>
                <w:rFonts w:ascii="Times New Roman" w:eastAsia="Times New Roman" w:hAnsi="Times New Roman" w:cs="Times New Roman"/>
                <w:color w:val="000000"/>
                <w:sz w:val="20"/>
                <w:szCs w:val="20"/>
                <w:lang w:eastAsia="fr-FR"/>
              </w:rPr>
              <w:t>0.00000000000189***</w:t>
            </w:r>
          </w:p>
        </w:tc>
      </w:tr>
      <w:tr w:rsidR="00161875" w:rsidRPr="00D77DF1" w14:paraId="7286C69F" w14:textId="77777777" w:rsidTr="00717F0E">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442" w:type="dxa"/>
            <w:noWrap/>
            <w:hideMark/>
          </w:tcPr>
          <w:p w14:paraId="47059517" w14:textId="77777777" w:rsidR="00AA44F9" w:rsidRPr="00D77DF1" w:rsidRDefault="00AA44F9" w:rsidP="00161875">
            <w:pPr>
              <w:jc w:val="center"/>
              <w:rPr>
                <w:rFonts w:ascii="Times New Roman" w:eastAsia="Times New Roman" w:hAnsi="Times New Roman" w:cs="Times New Roman"/>
                <w:color w:val="000000"/>
                <w:sz w:val="20"/>
                <w:szCs w:val="20"/>
                <w:lang w:eastAsia="fr-FR"/>
              </w:rPr>
            </w:pPr>
            <w:r w:rsidRPr="00D77DF1">
              <w:rPr>
                <w:rFonts w:ascii="Times New Roman" w:eastAsia="Times New Roman" w:hAnsi="Times New Roman" w:cs="Times New Roman"/>
                <w:color w:val="000000"/>
                <w:sz w:val="20"/>
                <w:szCs w:val="20"/>
                <w:lang w:eastAsia="fr-FR"/>
              </w:rPr>
              <w:t>Investissement</w:t>
            </w:r>
          </w:p>
        </w:tc>
        <w:tc>
          <w:tcPr>
            <w:tcW w:w="1366" w:type="dxa"/>
            <w:noWrap/>
            <w:hideMark/>
          </w:tcPr>
          <w:p w14:paraId="3C355F69" w14:textId="77777777" w:rsidR="00AA44F9" w:rsidRPr="00D77DF1" w:rsidRDefault="00AA44F9" w:rsidP="001618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D77DF1">
              <w:rPr>
                <w:rFonts w:ascii="Times New Roman" w:eastAsia="Times New Roman" w:hAnsi="Times New Roman" w:cs="Times New Roman"/>
                <w:color w:val="000000"/>
                <w:sz w:val="20"/>
                <w:szCs w:val="20"/>
                <w:lang w:eastAsia="fr-FR"/>
              </w:rPr>
              <w:t>-5.312E-13</w:t>
            </w:r>
          </w:p>
        </w:tc>
        <w:tc>
          <w:tcPr>
            <w:tcW w:w="1660" w:type="dxa"/>
            <w:noWrap/>
            <w:hideMark/>
          </w:tcPr>
          <w:p w14:paraId="669A00A1" w14:textId="77777777" w:rsidR="00AA44F9" w:rsidRPr="00D77DF1" w:rsidRDefault="00AA44F9" w:rsidP="001618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D77DF1">
              <w:rPr>
                <w:rFonts w:ascii="Times New Roman" w:eastAsia="Times New Roman" w:hAnsi="Times New Roman" w:cs="Times New Roman"/>
                <w:color w:val="000000"/>
                <w:sz w:val="20"/>
                <w:szCs w:val="20"/>
                <w:lang w:eastAsia="fr-FR"/>
              </w:rPr>
              <w:t>1.58E-11</w:t>
            </w:r>
          </w:p>
        </w:tc>
        <w:tc>
          <w:tcPr>
            <w:tcW w:w="1269" w:type="dxa"/>
            <w:noWrap/>
            <w:hideMark/>
          </w:tcPr>
          <w:p w14:paraId="3D171740" w14:textId="77777777" w:rsidR="00AA44F9" w:rsidRPr="00D77DF1" w:rsidRDefault="00AA44F9" w:rsidP="001618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D77DF1">
              <w:rPr>
                <w:rFonts w:ascii="Times New Roman" w:eastAsia="Times New Roman" w:hAnsi="Times New Roman" w:cs="Times New Roman"/>
                <w:color w:val="000000"/>
                <w:sz w:val="20"/>
                <w:szCs w:val="20"/>
                <w:lang w:eastAsia="fr-FR"/>
              </w:rPr>
              <w:t>-0.034</w:t>
            </w:r>
          </w:p>
        </w:tc>
        <w:tc>
          <w:tcPr>
            <w:tcW w:w="2645" w:type="dxa"/>
            <w:noWrap/>
            <w:hideMark/>
          </w:tcPr>
          <w:p w14:paraId="39E3C845" w14:textId="77777777" w:rsidR="00AA44F9" w:rsidRPr="00D77DF1" w:rsidRDefault="00AA44F9" w:rsidP="001618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D77DF1">
              <w:rPr>
                <w:rFonts w:ascii="Times New Roman" w:eastAsia="Times New Roman" w:hAnsi="Times New Roman" w:cs="Times New Roman"/>
                <w:color w:val="000000"/>
                <w:sz w:val="20"/>
                <w:szCs w:val="20"/>
                <w:lang w:eastAsia="fr-FR"/>
              </w:rPr>
              <w:t>0.974</w:t>
            </w:r>
          </w:p>
        </w:tc>
      </w:tr>
      <w:tr w:rsidR="00161875" w:rsidRPr="00D77DF1" w14:paraId="39401FD3" w14:textId="77777777" w:rsidTr="00717F0E">
        <w:trPr>
          <w:trHeight w:val="261"/>
        </w:trPr>
        <w:tc>
          <w:tcPr>
            <w:cnfStyle w:val="001000000000" w:firstRow="0" w:lastRow="0" w:firstColumn="1" w:lastColumn="0" w:oddVBand="0" w:evenVBand="0" w:oddHBand="0" w:evenHBand="0" w:firstRowFirstColumn="0" w:firstRowLastColumn="0" w:lastRowFirstColumn="0" w:lastRowLastColumn="0"/>
            <w:tcW w:w="2442" w:type="dxa"/>
            <w:noWrap/>
            <w:hideMark/>
          </w:tcPr>
          <w:p w14:paraId="377EAD82" w14:textId="77777777" w:rsidR="00AA44F9" w:rsidRPr="00D77DF1" w:rsidRDefault="00AA44F9" w:rsidP="00161875">
            <w:pPr>
              <w:jc w:val="center"/>
              <w:rPr>
                <w:rFonts w:ascii="Times New Roman" w:eastAsia="Times New Roman" w:hAnsi="Times New Roman" w:cs="Times New Roman"/>
                <w:color w:val="000000"/>
                <w:sz w:val="20"/>
                <w:szCs w:val="20"/>
                <w:lang w:eastAsia="fr-FR"/>
              </w:rPr>
            </w:pPr>
            <w:r w:rsidRPr="00D77DF1">
              <w:rPr>
                <w:rFonts w:ascii="Times New Roman" w:eastAsia="Times New Roman" w:hAnsi="Times New Roman" w:cs="Times New Roman"/>
                <w:color w:val="000000"/>
                <w:sz w:val="20"/>
                <w:szCs w:val="20"/>
                <w:lang w:eastAsia="fr-FR"/>
              </w:rPr>
              <w:t>concours public</w:t>
            </w:r>
          </w:p>
        </w:tc>
        <w:tc>
          <w:tcPr>
            <w:tcW w:w="1366" w:type="dxa"/>
            <w:noWrap/>
            <w:hideMark/>
          </w:tcPr>
          <w:p w14:paraId="11D335DC" w14:textId="77777777" w:rsidR="00AA44F9" w:rsidRPr="00D77DF1" w:rsidRDefault="00AA44F9" w:rsidP="001618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D77DF1">
              <w:rPr>
                <w:rFonts w:ascii="Times New Roman" w:eastAsia="Times New Roman" w:hAnsi="Times New Roman" w:cs="Times New Roman"/>
                <w:color w:val="000000"/>
                <w:sz w:val="20"/>
                <w:szCs w:val="20"/>
                <w:lang w:eastAsia="fr-FR"/>
              </w:rPr>
              <w:t>7.678E-12</w:t>
            </w:r>
          </w:p>
        </w:tc>
        <w:tc>
          <w:tcPr>
            <w:tcW w:w="1660" w:type="dxa"/>
            <w:noWrap/>
            <w:hideMark/>
          </w:tcPr>
          <w:p w14:paraId="6EC60665" w14:textId="77777777" w:rsidR="00AA44F9" w:rsidRPr="00D77DF1" w:rsidRDefault="00AA44F9" w:rsidP="001618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D77DF1">
              <w:rPr>
                <w:rFonts w:ascii="Times New Roman" w:eastAsia="Times New Roman" w:hAnsi="Times New Roman" w:cs="Times New Roman"/>
                <w:color w:val="000000"/>
                <w:sz w:val="20"/>
                <w:szCs w:val="20"/>
                <w:lang w:eastAsia="fr-FR"/>
              </w:rPr>
              <w:t>2.20E-11</w:t>
            </w:r>
          </w:p>
        </w:tc>
        <w:tc>
          <w:tcPr>
            <w:tcW w:w="1269" w:type="dxa"/>
            <w:noWrap/>
            <w:hideMark/>
          </w:tcPr>
          <w:p w14:paraId="3DF049DA" w14:textId="77777777" w:rsidR="00AA44F9" w:rsidRPr="00D77DF1" w:rsidRDefault="00AA44F9" w:rsidP="001618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D77DF1">
              <w:rPr>
                <w:rFonts w:ascii="Times New Roman" w:eastAsia="Times New Roman" w:hAnsi="Times New Roman" w:cs="Times New Roman"/>
                <w:color w:val="000000"/>
                <w:sz w:val="20"/>
                <w:szCs w:val="20"/>
                <w:lang w:eastAsia="fr-FR"/>
              </w:rPr>
              <w:t>0.349</w:t>
            </w:r>
          </w:p>
        </w:tc>
        <w:tc>
          <w:tcPr>
            <w:tcW w:w="2645" w:type="dxa"/>
            <w:noWrap/>
            <w:hideMark/>
          </w:tcPr>
          <w:p w14:paraId="464DFF18" w14:textId="77777777" w:rsidR="00AA44F9" w:rsidRPr="00D77DF1" w:rsidRDefault="00AA44F9" w:rsidP="001618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D77DF1">
              <w:rPr>
                <w:rFonts w:ascii="Times New Roman" w:eastAsia="Times New Roman" w:hAnsi="Times New Roman" w:cs="Times New Roman"/>
                <w:color w:val="000000"/>
                <w:sz w:val="20"/>
                <w:szCs w:val="20"/>
                <w:lang w:eastAsia="fr-FR"/>
              </w:rPr>
              <w:t>0.733</w:t>
            </w:r>
          </w:p>
        </w:tc>
      </w:tr>
      <w:tr w:rsidR="00161875" w:rsidRPr="00D77DF1" w14:paraId="4EDE32AB" w14:textId="77777777" w:rsidTr="00717F0E">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442" w:type="dxa"/>
            <w:noWrap/>
            <w:hideMark/>
          </w:tcPr>
          <w:p w14:paraId="6C11AEE7" w14:textId="77777777" w:rsidR="00AA44F9" w:rsidRPr="00D77DF1" w:rsidRDefault="00AA44F9" w:rsidP="00161875">
            <w:pPr>
              <w:jc w:val="center"/>
              <w:rPr>
                <w:rFonts w:ascii="Times New Roman" w:eastAsia="Times New Roman" w:hAnsi="Times New Roman" w:cs="Times New Roman"/>
                <w:color w:val="000000"/>
                <w:sz w:val="20"/>
                <w:szCs w:val="20"/>
                <w:lang w:eastAsia="fr-FR"/>
              </w:rPr>
            </w:pPr>
            <w:r w:rsidRPr="00D77DF1">
              <w:rPr>
                <w:rFonts w:ascii="Times New Roman" w:eastAsia="Times New Roman" w:hAnsi="Times New Roman" w:cs="Times New Roman"/>
                <w:color w:val="000000"/>
                <w:sz w:val="20"/>
                <w:szCs w:val="20"/>
                <w:lang w:eastAsia="fr-FR"/>
              </w:rPr>
              <w:t>offre transport</w:t>
            </w:r>
          </w:p>
        </w:tc>
        <w:tc>
          <w:tcPr>
            <w:tcW w:w="1366" w:type="dxa"/>
            <w:noWrap/>
            <w:hideMark/>
          </w:tcPr>
          <w:p w14:paraId="7D6FB82B" w14:textId="77777777" w:rsidR="00AA44F9" w:rsidRPr="00D77DF1" w:rsidRDefault="00AA44F9" w:rsidP="001618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D77DF1">
              <w:rPr>
                <w:rFonts w:ascii="Times New Roman" w:eastAsia="Times New Roman" w:hAnsi="Times New Roman" w:cs="Times New Roman"/>
                <w:color w:val="000000"/>
                <w:sz w:val="20"/>
                <w:szCs w:val="20"/>
                <w:lang w:eastAsia="fr-FR"/>
              </w:rPr>
              <w:t>1.332E-09</w:t>
            </w:r>
          </w:p>
        </w:tc>
        <w:tc>
          <w:tcPr>
            <w:tcW w:w="1660" w:type="dxa"/>
            <w:noWrap/>
            <w:hideMark/>
          </w:tcPr>
          <w:p w14:paraId="41F94B52" w14:textId="77777777" w:rsidR="00AA44F9" w:rsidRPr="00D77DF1" w:rsidRDefault="00AA44F9" w:rsidP="001618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D77DF1">
              <w:rPr>
                <w:rFonts w:ascii="Times New Roman" w:eastAsia="Times New Roman" w:hAnsi="Times New Roman" w:cs="Times New Roman"/>
                <w:color w:val="000000"/>
                <w:sz w:val="20"/>
                <w:szCs w:val="20"/>
                <w:lang w:eastAsia="fr-FR"/>
              </w:rPr>
              <w:t>9.28E-10</w:t>
            </w:r>
          </w:p>
        </w:tc>
        <w:tc>
          <w:tcPr>
            <w:tcW w:w="1269" w:type="dxa"/>
            <w:noWrap/>
            <w:hideMark/>
          </w:tcPr>
          <w:p w14:paraId="13CB72D1" w14:textId="77777777" w:rsidR="00AA44F9" w:rsidRPr="00D77DF1" w:rsidRDefault="00AA44F9" w:rsidP="001618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D77DF1">
              <w:rPr>
                <w:rFonts w:ascii="Times New Roman" w:eastAsia="Times New Roman" w:hAnsi="Times New Roman" w:cs="Times New Roman"/>
                <w:color w:val="000000"/>
                <w:sz w:val="20"/>
                <w:szCs w:val="20"/>
                <w:lang w:eastAsia="fr-FR"/>
              </w:rPr>
              <w:t>1.435</w:t>
            </w:r>
          </w:p>
        </w:tc>
        <w:tc>
          <w:tcPr>
            <w:tcW w:w="2645" w:type="dxa"/>
            <w:noWrap/>
            <w:hideMark/>
          </w:tcPr>
          <w:p w14:paraId="7F007039" w14:textId="77777777" w:rsidR="00AA44F9" w:rsidRPr="00D77DF1" w:rsidRDefault="00AA44F9" w:rsidP="001618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D77DF1">
              <w:rPr>
                <w:rFonts w:ascii="Times New Roman" w:eastAsia="Times New Roman" w:hAnsi="Times New Roman" w:cs="Times New Roman"/>
                <w:color w:val="000000"/>
                <w:sz w:val="20"/>
                <w:szCs w:val="20"/>
                <w:lang w:eastAsia="fr-FR"/>
              </w:rPr>
              <w:t>0.173</w:t>
            </w:r>
          </w:p>
        </w:tc>
      </w:tr>
      <w:tr w:rsidR="00161875" w:rsidRPr="00D77DF1" w14:paraId="726732B6" w14:textId="77777777" w:rsidTr="00C62FBD">
        <w:trPr>
          <w:trHeight w:val="261"/>
        </w:trPr>
        <w:tc>
          <w:tcPr>
            <w:cnfStyle w:val="001000000000" w:firstRow="0" w:lastRow="0" w:firstColumn="1" w:lastColumn="0" w:oddVBand="0" w:evenVBand="0" w:oddHBand="0" w:evenHBand="0" w:firstRowFirstColumn="0" w:firstRowLastColumn="0" w:lastRowFirstColumn="0" w:lastRowLastColumn="0"/>
            <w:tcW w:w="9382" w:type="dxa"/>
            <w:gridSpan w:val="5"/>
            <w:noWrap/>
            <w:hideMark/>
          </w:tcPr>
          <w:p w14:paraId="3D4A9C9E" w14:textId="77777777" w:rsidR="00161875" w:rsidRPr="00D77DF1" w:rsidRDefault="00161875" w:rsidP="00161875">
            <w:pPr>
              <w:jc w:val="center"/>
              <w:rPr>
                <w:rFonts w:ascii="Times New Roman" w:eastAsia="Times New Roman" w:hAnsi="Times New Roman" w:cs="Times New Roman"/>
                <w:sz w:val="20"/>
                <w:szCs w:val="20"/>
                <w:lang w:eastAsia="fr-FR"/>
              </w:rPr>
            </w:pPr>
          </w:p>
        </w:tc>
      </w:tr>
      <w:tr w:rsidR="00161875" w:rsidRPr="00D77DF1" w14:paraId="18957FB2" w14:textId="77777777" w:rsidTr="00717F0E">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442" w:type="dxa"/>
            <w:noWrap/>
            <w:hideMark/>
          </w:tcPr>
          <w:p w14:paraId="7C115DBC" w14:textId="77777777" w:rsidR="00AA44F9" w:rsidRPr="00D77DF1" w:rsidRDefault="00AA44F9" w:rsidP="00D77DF1">
            <w:pPr>
              <w:jc w:val="center"/>
              <w:rPr>
                <w:rFonts w:ascii="Times New Roman" w:eastAsia="Times New Roman" w:hAnsi="Times New Roman" w:cs="Times New Roman"/>
                <w:color w:val="000000"/>
                <w:sz w:val="20"/>
                <w:szCs w:val="20"/>
                <w:lang w:eastAsia="fr-FR"/>
              </w:rPr>
            </w:pPr>
            <w:r w:rsidRPr="00D77DF1">
              <w:rPr>
                <w:rFonts w:ascii="Times New Roman" w:eastAsia="Times New Roman" w:hAnsi="Times New Roman" w:cs="Times New Roman"/>
                <w:color w:val="000000"/>
                <w:sz w:val="20"/>
                <w:szCs w:val="20"/>
                <w:lang w:eastAsia="fr-FR"/>
              </w:rPr>
              <w:t>Multiple R-</w:t>
            </w:r>
            <w:r w:rsidR="00D77DF1">
              <w:rPr>
                <w:rFonts w:ascii="Times New Roman" w:eastAsia="Times New Roman" w:hAnsi="Times New Roman" w:cs="Times New Roman"/>
                <w:color w:val="000000"/>
                <w:sz w:val="20"/>
                <w:szCs w:val="20"/>
                <w:lang w:eastAsia="fr-FR"/>
              </w:rPr>
              <w:t>carré</w:t>
            </w:r>
          </w:p>
        </w:tc>
        <w:tc>
          <w:tcPr>
            <w:tcW w:w="1366" w:type="dxa"/>
            <w:noWrap/>
            <w:hideMark/>
          </w:tcPr>
          <w:p w14:paraId="4145EB9C" w14:textId="77777777" w:rsidR="00AA44F9" w:rsidRPr="00D77DF1" w:rsidRDefault="00AA44F9" w:rsidP="001618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D77DF1">
              <w:rPr>
                <w:rFonts w:ascii="Times New Roman" w:eastAsia="Times New Roman" w:hAnsi="Times New Roman" w:cs="Times New Roman"/>
                <w:color w:val="000000"/>
                <w:sz w:val="20"/>
                <w:szCs w:val="20"/>
                <w:lang w:eastAsia="fr-FR"/>
              </w:rPr>
              <w:t>0.975</w:t>
            </w:r>
          </w:p>
        </w:tc>
        <w:tc>
          <w:tcPr>
            <w:tcW w:w="1660" w:type="dxa"/>
            <w:noWrap/>
            <w:hideMark/>
          </w:tcPr>
          <w:p w14:paraId="326C9252" w14:textId="77777777" w:rsidR="00AA44F9" w:rsidRPr="00D77DF1" w:rsidRDefault="00AA44F9" w:rsidP="001618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p>
        </w:tc>
        <w:tc>
          <w:tcPr>
            <w:tcW w:w="1269" w:type="dxa"/>
            <w:noWrap/>
            <w:hideMark/>
          </w:tcPr>
          <w:p w14:paraId="0A3614AE" w14:textId="77777777" w:rsidR="00AA44F9" w:rsidRPr="00D77DF1" w:rsidRDefault="00AA44F9" w:rsidP="001618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fr-FR"/>
              </w:rPr>
            </w:pPr>
          </w:p>
        </w:tc>
        <w:tc>
          <w:tcPr>
            <w:tcW w:w="2645" w:type="dxa"/>
            <w:noWrap/>
            <w:hideMark/>
          </w:tcPr>
          <w:p w14:paraId="57C41639" w14:textId="77777777" w:rsidR="00AA44F9" w:rsidRPr="00D77DF1" w:rsidRDefault="00AA44F9" w:rsidP="001618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fr-FR"/>
              </w:rPr>
            </w:pPr>
          </w:p>
        </w:tc>
      </w:tr>
      <w:tr w:rsidR="00161875" w:rsidRPr="00D77DF1" w14:paraId="3BBF6400" w14:textId="77777777" w:rsidTr="00717F0E">
        <w:trPr>
          <w:trHeight w:val="261"/>
        </w:trPr>
        <w:tc>
          <w:tcPr>
            <w:cnfStyle w:val="001000000000" w:firstRow="0" w:lastRow="0" w:firstColumn="1" w:lastColumn="0" w:oddVBand="0" w:evenVBand="0" w:oddHBand="0" w:evenHBand="0" w:firstRowFirstColumn="0" w:firstRowLastColumn="0" w:lastRowFirstColumn="0" w:lastRowLastColumn="0"/>
            <w:tcW w:w="2442" w:type="dxa"/>
            <w:noWrap/>
            <w:hideMark/>
          </w:tcPr>
          <w:p w14:paraId="3A509439" w14:textId="77777777" w:rsidR="00AA44F9" w:rsidRPr="00D77DF1" w:rsidRDefault="00D77DF1" w:rsidP="00161875">
            <w:pPr>
              <w:jc w:val="center"/>
              <w:rPr>
                <w:rFonts w:ascii="Times New Roman" w:eastAsia="Times New Roman" w:hAnsi="Times New Roman" w:cs="Times New Roman"/>
                <w:color w:val="000000"/>
                <w:sz w:val="20"/>
                <w:szCs w:val="20"/>
                <w:lang w:eastAsia="fr-FR"/>
              </w:rPr>
            </w:pPr>
            <w:r>
              <w:rPr>
                <w:rFonts w:ascii="Times New Roman" w:eastAsia="Times New Roman" w:hAnsi="Times New Roman" w:cs="Times New Roman"/>
                <w:color w:val="000000"/>
                <w:sz w:val="20"/>
                <w:szCs w:val="20"/>
                <w:lang w:eastAsia="fr-FR"/>
              </w:rPr>
              <w:t>R-carré ajusté</w:t>
            </w:r>
          </w:p>
        </w:tc>
        <w:tc>
          <w:tcPr>
            <w:tcW w:w="1366" w:type="dxa"/>
            <w:noWrap/>
            <w:hideMark/>
          </w:tcPr>
          <w:p w14:paraId="40533044" w14:textId="77777777" w:rsidR="00AA44F9" w:rsidRPr="00D77DF1" w:rsidRDefault="00AA44F9" w:rsidP="001618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D77DF1">
              <w:rPr>
                <w:rFonts w:ascii="Times New Roman" w:eastAsia="Times New Roman" w:hAnsi="Times New Roman" w:cs="Times New Roman"/>
                <w:color w:val="000000"/>
                <w:sz w:val="20"/>
                <w:szCs w:val="20"/>
                <w:lang w:eastAsia="fr-FR"/>
              </w:rPr>
              <w:t>0.9679</w:t>
            </w:r>
          </w:p>
        </w:tc>
        <w:tc>
          <w:tcPr>
            <w:tcW w:w="1660" w:type="dxa"/>
            <w:noWrap/>
            <w:hideMark/>
          </w:tcPr>
          <w:p w14:paraId="526F6736" w14:textId="77777777" w:rsidR="00AA44F9" w:rsidRPr="00D77DF1" w:rsidRDefault="00AA44F9" w:rsidP="001618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p>
        </w:tc>
        <w:tc>
          <w:tcPr>
            <w:tcW w:w="1269" w:type="dxa"/>
            <w:noWrap/>
            <w:hideMark/>
          </w:tcPr>
          <w:p w14:paraId="16D75989" w14:textId="77777777" w:rsidR="00AA44F9" w:rsidRPr="00D77DF1" w:rsidRDefault="00AA44F9" w:rsidP="001618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fr-FR"/>
              </w:rPr>
            </w:pPr>
          </w:p>
        </w:tc>
        <w:tc>
          <w:tcPr>
            <w:tcW w:w="2645" w:type="dxa"/>
            <w:noWrap/>
            <w:hideMark/>
          </w:tcPr>
          <w:p w14:paraId="5E92AB38" w14:textId="77777777" w:rsidR="00AA44F9" w:rsidRPr="00D77DF1" w:rsidRDefault="00AA44F9" w:rsidP="001618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fr-FR"/>
              </w:rPr>
            </w:pPr>
          </w:p>
        </w:tc>
      </w:tr>
      <w:tr w:rsidR="00161875" w:rsidRPr="00D77DF1" w14:paraId="1B049FE5" w14:textId="77777777" w:rsidTr="00717F0E">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442" w:type="dxa"/>
            <w:noWrap/>
            <w:hideMark/>
          </w:tcPr>
          <w:p w14:paraId="386C39FA" w14:textId="09F88627" w:rsidR="00AA44F9" w:rsidRPr="00D77DF1" w:rsidRDefault="00287933" w:rsidP="00287933">
            <w:pPr>
              <w:jc w:val="center"/>
              <w:rPr>
                <w:rFonts w:ascii="Times New Roman" w:eastAsia="Times New Roman" w:hAnsi="Times New Roman" w:cs="Times New Roman"/>
                <w:color w:val="000000"/>
                <w:sz w:val="20"/>
                <w:szCs w:val="20"/>
                <w:lang w:eastAsia="fr-FR"/>
              </w:rPr>
            </w:pPr>
            <w:r>
              <w:rPr>
                <w:rFonts w:ascii="Times New Roman" w:eastAsia="Times New Roman" w:hAnsi="Times New Roman" w:cs="Times New Roman"/>
                <w:color w:val="000000"/>
                <w:sz w:val="20"/>
                <w:szCs w:val="20"/>
                <w:lang w:eastAsia="fr-FR"/>
              </w:rPr>
              <w:t>F</w:t>
            </w:r>
          </w:p>
        </w:tc>
        <w:tc>
          <w:tcPr>
            <w:tcW w:w="1366" w:type="dxa"/>
            <w:noWrap/>
            <w:hideMark/>
          </w:tcPr>
          <w:p w14:paraId="2AF90DD4" w14:textId="77777777" w:rsidR="00AA44F9" w:rsidRPr="00D77DF1" w:rsidRDefault="00AA44F9" w:rsidP="001618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D77DF1">
              <w:rPr>
                <w:rFonts w:ascii="Times New Roman" w:eastAsia="Times New Roman" w:hAnsi="Times New Roman" w:cs="Times New Roman"/>
                <w:color w:val="000000"/>
                <w:sz w:val="20"/>
                <w:szCs w:val="20"/>
                <w:lang w:eastAsia="fr-FR"/>
              </w:rPr>
              <w:t>136.6</w:t>
            </w:r>
          </w:p>
        </w:tc>
        <w:tc>
          <w:tcPr>
            <w:tcW w:w="1660" w:type="dxa"/>
            <w:noWrap/>
            <w:hideMark/>
          </w:tcPr>
          <w:p w14:paraId="2F9447F9" w14:textId="77777777" w:rsidR="00AA44F9" w:rsidRPr="00D77DF1" w:rsidRDefault="00AA44F9" w:rsidP="001618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p>
        </w:tc>
        <w:tc>
          <w:tcPr>
            <w:tcW w:w="1269" w:type="dxa"/>
            <w:noWrap/>
            <w:hideMark/>
          </w:tcPr>
          <w:p w14:paraId="6699D9A5" w14:textId="77777777" w:rsidR="00AA44F9" w:rsidRPr="00D77DF1" w:rsidRDefault="00AA44F9" w:rsidP="001618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fr-FR"/>
              </w:rPr>
            </w:pPr>
          </w:p>
        </w:tc>
        <w:tc>
          <w:tcPr>
            <w:tcW w:w="2645" w:type="dxa"/>
            <w:noWrap/>
            <w:hideMark/>
          </w:tcPr>
          <w:p w14:paraId="373F8601" w14:textId="77777777" w:rsidR="00AA44F9" w:rsidRPr="00D77DF1" w:rsidRDefault="00AA44F9" w:rsidP="0016187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fr-FR"/>
              </w:rPr>
            </w:pPr>
          </w:p>
        </w:tc>
      </w:tr>
      <w:tr w:rsidR="00161875" w:rsidRPr="00D77DF1" w14:paraId="395AEDD3" w14:textId="77777777" w:rsidTr="00717F0E">
        <w:trPr>
          <w:trHeight w:val="261"/>
        </w:trPr>
        <w:tc>
          <w:tcPr>
            <w:cnfStyle w:val="001000000000" w:firstRow="0" w:lastRow="0" w:firstColumn="1" w:lastColumn="0" w:oddVBand="0" w:evenVBand="0" w:oddHBand="0" w:evenHBand="0" w:firstRowFirstColumn="0" w:firstRowLastColumn="0" w:lastRowFirstColumn="0" w:lastRowLastColumn="0"/>
            <w:tcW w:w="2442" w:type="dxa"/>
            <w:noWrap/>
            <w:hideMark/>
          </w:tcPr>
          <w:p w14:paraId="1B76CB44" w14:textId="77777777" w:rsidR="00AA44F9" w:rsidRPr="00D77DF1" w:rsidRDefault="00AA44F9" w:rsidP="00161875">
            <w:pPr>
              <w:jc w:val="center"/>
              <w:rPr>
                <w:rFonts w:ascii="Times New Roman" w:eastAsia="Times New Roman" w:hAnsi="Times New Roman" w:cs="Times New Roman"/>
                <w:color w:val="000000"/>
                <w:sz w:val="20"/>
                <w:szCs w:val="20"/>
                <w:lang w:eastAsia="fr-FR"/>
              </w:rPr>
            </w:pPr>
            <w:r w:rsidRPr="00D77DF1">
              <w:rPr>
                <w:rFonts w:ascii="Times New Roman" w:eastAsia="Times New Roman" w:hAnsi="Times New Roman" w:cs="Times New Roman"/>
                <w:color w:val="000000"/>
                <w:sz w:val="20"/>
                <w:szCs w:val="20"/>
                <w:lang w:eastAsia="fr-FR"/>
              </w:rPr>
              <w:t>p-value</w:t>
            </w:r>
          </w:p>
        </w:tc>
        <w:tc>
          <w:tcPr>
            <w:tcW w:w="1366" w:type="dxa"/>
            <w:noWrap/>
            <w:hideMark/>
          </w:tcPr>
          <w:p w14:paraId="3760B696" w14:textId="77777777" w:rsidR="00AA44F9" w:rsidRPr="00D77DF1" w:rsidRDefault="00AA44F9" w:rsidP="001618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D77DF1">
              <w:rPr>
                <w:rFonts w:ascii="Times New Roman" w:eastAsia="Times New Roman" w:hAnsi="Times New Roman" w:cs="Times New Roman"/>
                <w:color w:val="000000"/>
                <w:sz w:val="20"/>
                <w:szCs w:val="20"/>
                <w:lang w:eastAsia="fr-FR"/>
              </w:rPr>
              <w:t>4.76E-11</w:t>
            </w:r>
          </w:p>
        </w:tc>
        <w:tc>
          <w:tcPr>
            <w:tcW w:w="1660" w:type="dxa"/>
            <w:noWrap/>
            <w:hideMark/>
          </w:tcPr>
          <w:p w14:paraId="14496BE4" w14:textId="77777777" w:rsidR="00AA44F9" w:rsidRPr="00D77DF1" w:rsidRDefault="00AA44F9" w:rsidP="001618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p>
        </w:tc>
        <w:tc>
          <w:tcPr>
            <w:tcW w:w="1269" w:type="dxa"/>
            <w:noWrap/>
            <w:hideMark/>
          </w:tcPr>
          <w:p w14:paraId="5FBCC3AC" w14:textId="77777777" w:rsidR="00AA44F9" w:rsidRPr="00D77DF1" w:rsidRDefault="00AA44F9" w:rsidP="001618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fr-FR"/>
              </w:rPr>
            </w:pPr>
          </w:p>
        </w:tc>
        <w:tc>
          <w:tcPr>
            <w:tcW w:w="2645" w:type="dxa"/>
            <w:noWrap/>
            <w:hideMark/>
          </w:tcPr>
          <w:p w14:paraId="67AB8003" w14:textId="77777777" w:rsidR="00AA44F9" w:rsidRPr="00D77DF1" w:rsidRDefault="00AA44F9" w:rsidP="0016187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fr-FR"/>
              </w:rPr>
            </w:pPr>
          </w:p>
        </w:tc>
      </w:tr>
    </w:tbl>
    <w:p w14:paraId="2424D07D" w14:textId="77777777" w:rsidR="00A67D27" w:rsidRDefault="00B8439C" w:rsidP="00B84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000000"/>
          <w:sz w:val="20"/>
          <w:szCs w:val="20"/>
          <w:lang w:eastAsia="fr-FR"/>
        </w:rPr>
      </w:pPr>
      <w:r w:rsidRPr="001D39BA">
        <w:rPr>
          <w:rFonts w:ascii="Times New Roman" w:eastAsia="Times New Roman" w:hAnsi="Times New Roman" w:cs="Times New Roman"/>
          <w:b/>
          <w:color w:val="000000"/>
          <w:sz w:val="20"/>
          <w:szCs w:val="20"/>
          <w:lang w:eastAsia="fr-FR"/>
        </w:rPr>
        <w:t xml:space="preserve">Source : </w:t>
      </w:r>
      <w:r w:rsidR="00DE6D6E" w:rsidRPr="00317520">
        <w:rPr>
          <w:rFonts w:ascii="Times New Roman" w:eastAsia="Times New Roman" w:hAnsi="Times New Roman" w:cs="Times New Roman"/>
          <w:b/>
          <w:bCs/>
          <w:color w:val="000000"/>
          <w:sz w:val="20"/>
          <w:szCs w:val="20"/>
          <w:lang w:eastAsia="fr-FR"/>
        </w:rPr>
        <w:t xml:space="preserve">Compte déplacements des voyageurs en Île-de-France (Île de France Mobilités) et Île-de-France Mobilités, d'après RATP, </w:t>
      </w:r>
      <w:proofErr w:type="spellStart"/>
      <w:r w:rsidR="00DE6D6E" w:rsidRPr="00317520">
        <w:rPr>
          <w:rFonts w:ascii="Times New Roman" w:eastAsia="Times New Roman" w:hAnsi="Times New Roman" w:cs="Times New Roman"/>
          <w:b/>
          <w:bCs/>
          <w:color w:val="000000"/>
          <w:sz w:val="20"/>
          <w:szCs w:val="20"/>
          <w:lang w:eastAsia="fr-FR"/>
        </w:rPr>
        <w:t>Optile</w:t>
      </w:r>
      <w:proofErr w:type="spellEnd"/>
      <w:r w:rsidR="00DE6D6E" w:rsidRPr="00317520">
        <w:rPr>
          <w:rFonts w:ascii="Times New Roman" w:eastAsia="Times New Roman" w:hAnsi="Times New Roman" w:cs="Times New Roman"/>
          <w:b/>
          <w:bCs/>
          <w:color w:val="000000"/>
          <w:sz w:val="20"/>
          <w:szCs w:val="20"/>
          <w:lang w:eastAsia="fr-FR"/>
        </w:rPr>
        <w:t xml:space="preserve"> et SNCF</w:t>
      </w:r>
    </w:p>
    <w:p w14:paraId="3E7AB1FE" w14:textId="6FF83F97" w:rsidR="00D77DF1" w:rsidRDefault="00A67D27" w:rsidP="00B84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sz w:val="20"/>
          <w:szCs w:val="20"/>
        </w:rPr>
      </w:pPr>
      <w:r>
        <w:rPr>
          <w:rFonts w:ascii="Times New Roman" w:eastAsia="Times New Roman" w:hAnsi="Times New Roman" w:cs="Times New Roman"/>
          <w:b/>
          <w:bCs/>
          <w:color w:val="000000"/>
          <w:sz w:val="20"/>
          <w:szCs w:val="20"/>
          <w:lang w:eastAsia="fr-FR"/>
        </w:rPr>
        <w:t xml:space="preserve">Note : </w:t>
      </w:r>
      <w:r>
        <w:rPr>
          <w:rStyle w:val="gd15mcfceub"/>
          <w:rFonts w:ascii="Times New Roman" w:hAnsi="Times New Roman" w:cs="Times New Roman"/>
          <w:color w:val="000000"/>
          <w:sz w:val="20"/>
          <w:bdr w:val="none" w:sz="0" w:space="0" w:color="auto" w:frame="1"/>
        </w:rPr>
        <w:t xml:space="preserve">(***) : significativité à 1% ; </w:t>
      </w:r>
      <w:r w:rsidR="00DE6D6E" w:rsidRPr="00317520">
        <w:rPr>
          <w:rFonts w:ascii="Times New Roman" w:hAnsi="Times New Roman" w:cs="Times New Roman"/>
          <w:b/>
          <w:bCs/>
          <w:sz w:val="20"/>
        </w:rPr>
        <w:tab/>
      </w:r>
    </w:p>
    <w:p w14:paraId="040B3146" w14:textId="77777777" w:rsidR="00B8439C" w:rsidRPr="00B8439C" w:rsidRDefault="00B8439C" w:rsidP="00B84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sz w:val="20"/>
          <w:szCs w:val="20"/>
        </w:rPr>
      </w:pPr>
    </w:p>
    <w:p w14:paraId="6081F82C" w14:textId="56C85446" w:rsidR="007B0D5B" w:rsidRDefault="00161875" w:rsidP="004750E8">
      <w:pPr>
        <w:jc w:val="both"/>
        <w:rPr>
          <w:rFonts w:ascii="Times New Roman" w:hAnsi="Times New Roman" w:cs="Times New Roman"/>
          <w:sz w:val="24"/>
        </w:rPr>
      </w:pPr>
      <w:r>
        <w:rPr>
          <w:rFonts w:ascii="Times New Roman" w:hAnsi="Times New Roman" w:cs="Times New Roman"/>
          <w:sz w:val="24"/>
        </w:rPr>
        <w:t>Les résultats montrent que la rentabilité d’une année précédente a un impact positif et significatif sur la rentabilité d</w:t>
      </w:r>
      <w:r w:rsidR="00D45DD1">
        <w:rPr>
          <w:rFonts w:ascii="Times New Roman" w:hAnsi="Times New Roman" w:cs="Times New Roman"/>
          <w:sz w:val="24"/>
        </w:rPr>
        <w:t>e l’</w:t>
      </w:r>
      <w:r>
        <w:rPr>
          <w:rFonts w:ascii="Times New Roman" w:hAnsi="Times New Roman" w:cs="Times New Roman"/>
          <w:sz w:val="24"/>
        </w:rPr>
        <w:t xml:space="preserve">année en cours. </w:t>
      </w:r>
      <w:r w:rsidR="00D45DD1">
        <w:rPr>
          <w:rFonts w:ascii="Times New Roman" w:hAnsi="Times New Roman" w:cs="Times New Roman"/>
          <w:sz w:val="24"/>
        </w:rPr>
        <w:t>Cependant, l</w:t>
      </w:r>
      <w:r>
        <w:rPr>
          <w:rFonts w:ascii="Times New Roman" w:hAnsi="Times New Roman" w:cs="Times New Roman"/>
          <w:sz w:val="24"/>
        </w:rPr>
        <w:t xml:space="preserve">es investissements dans la transition énergétique ont un impact négatif sur la rentabilité </w:t>
      </w:r>
      <w:r w:rsidR="00D45DD1">
        <w:rPr>
          <w:rFonts w:ascii="Times New Roman" w:hAnsi="Times New Roman" w:cs="Times New Roman"/>
          <w:sz w:val="24"/>
        </w:rPr>
        <w:t xml:space="preserve">et </w:t>
      </w:r>
      <w:r>
        <w:rPr>
          <w:rFonts w:ascii="Times New Roman" w:hAnsi="Times New Roman" w:cs="Times New Roman"/>
          <w:sz w:val="24"/>
        </w:rPr>
        <w:t>ce dernier n’est pas significatif. Les variables de contrôle, les concours publics et l’offre</w:t>
      </w:r>
      <w:r w:rsidR="00D45DD1">
        <w:rPr>
          <w:rFonts w:ascii="Times New Roman" w:hAnsi="Times New Roman" w:cs="Times New Roman"/>
          <w:sz w:val="24"/>
        </w:rPr>
        <w:t xml:space="preserve"> commerciale réalisée</w:t>
      </w:r>
      <w:r>
        <w:rPr>
          <w:rFonts w:ascii="Times New Roman" w:hAnsi="Times New Roman" w:cs="Times New Roman"/>
          <w:sz w:val="24"/>
        </w:rPr>
        <w:t xml:space="preserve"> de transport impactent positivement la rentabilité mais ne sont pas</w:t>
      </w:r>
      <w:r w:rsidR="001800D1">
        <w:rPr>
          <w:rFonts w:ascii="Times New Roman" w:hAnsi="Times New Roman" w:cs="Times New Roman"/>
          <w:sz w:val="24"/>
        </w:rPr>
        <w:t xml:space="preserve"> non plus</w:t>
      </w:r>
      <w:r>
        <w:rPr>
          <w:rFonts w:ascii="Times New Roman" w:hAnsi="Times New Roman" w:cs="Times New Roman"/>
          <w:sz w:val="24"/>
        </w:rPr>
        <w:t xml:space="preserve"> significatifs. </w:t>
      </w:r>
      <w:r w:rsidR="007B0D5B">
        <w:rPr>
          <w:rFonts w:ascii="Times New Roman" w:hAnsi="Times New Roman" w:cs="Times New Roman"/>
          <w:sz w:val="24"/>
        </w:rPr>
        <w:t xml:space="preserve">Les résultats </w:t>
      </w:r>
      <w:r w:rsidR="006078E1">
        <w:rPr>
          <w:rFonts w:ascii="Times New Roman" w:hAnsi="Times New Roman" w:cs="Times New Roman"/>
          <w:sz w:val="24"/>
        </w:rPr>
        <w:t>dé</w:t>
      </w:r>
      <w:r w:rsidR="007B0D5B">
        <w:rPr>
          <w:rFonts w:ascii="Times New Roman" w:hAnsi="Times New Roman" w:cs="Times New Roman"/>
          <w:sz w:val="24"/>
        </w:rPr>
        <w:t>montrent</w:t>
      </w:r>
      <w:r w:rsidR="006078E1">
        <w:rPr>
          <w:rFonts w:ascii="Times New Roman" w:hAnsi="Times New Roman" w:cs="Times New Roman"/>
          <w:sz w:val="24"/>
        </w:rPr>
        <w:t xml:space="preserve"> donc</w:t>
      </w:r>
      <w:r w:rsidR="007B0D5B">
        <w:rPr>
          <w:rFonts w:ascii="Times New Roman" w:hAnsi="Times New Roman" w:cs="Times New Roman"/>
          <w:sz w:val="24"/>
        </w:rPr>
        <w:t xml:space="preserve"> des incohérences dans</w:t>
      </w:r>
      <w:r w:rsidR="00287933">
        <w:rPr>
          <w:rFonts w:ascii="Times New Roman" w:hAnsi="Times New Roman" w:cs="Times New Roman"/>
          <w:sz w:val="24"/>
        </w:rPr>
        <w:t xml:space="preserve"> les signes attendus</w:t>
      </w:r>
      <w:r w:rsidR="00B2605C">
        <w:rPr>
          <w:rFonts w:ascii="Times New Roman" w:hAnsi="Times New Roman" w:cs="Times New Roman"/>
          <w:sz w:val="24"/>
        </w:rPr>
        <w:t xml:space="preserve"> (impact négatif des investissements)</w:t>
      </w:r>
      <w:r w:rsidR="00287933">
        <w:rPr>
          <w:rFonts w:ascii="Times New Roman" w:hAnsi="Times New Roman" w:cs="Times New Roman"/>
          <w:sz w:val="24"/>
        </w:rPr>
        <w:t xml:space="preserve"> et dans la</w:t>
      </w:r>
      <w:r w:rsidR="007B0D5B">
        <w:rPr>
          <w:rFonts w:ascii="Times New Roman" w:hAnsi="Times New Roman" w:cs="Times New Roman"/>
          <w:sz w:val="24"/>
        </w:rPr>
        <w:t xml:space="preserve"> significativité des variables. Seule la variable rentabilité décalée à l’ordre 1 est significative. Ce résultat </w:t>
      </w:r>
      <w:r w:rsidR="001F52FA">
        <w:rPr>
          <w:rFonts w:ascii="Times New Roman" w:hAnsi="Times New Roman" w:cs="Times New Roman"/>
          <w:sz w:val="24"/>
        </w:rPr>
        <w:t xml:space="preserve">de non significativité des investissements sur la rentabilité </w:t>
      </w:r>
      <w:r w:rsidR="007B0D5B">
        <w:rPr>
          <w:rFonts w:ascii="Times New Roman" w:hAnsi="Times New Roman" w:cs="Times New Roman"/>
          <w:sz w:val="24"/>
        </w:rPr>
        <w:t>peut s’expliquer par le faible nombre d’observations dans les séries</w:t>
      </w:r>
      <w:r w:rsidR="001F52FA">
        <w:rPr>
          <w:rFonts w:ascii="Times New Roman" w:hAnsi="Times New Roman" w:cs="Times New Roman"/>
          <w:sz w:val="24"/>
        </w:rPr>
        <w:t>, ce que nous craign</w:t>
      </w:r>
      <w:r w:rsidR="00593CA3">
        <w:rPr>
          <w:rFonts w:ascii="Times New Roman" w:hAnsi="Times New Roman" w:cs="Times New Roman"/>
          <w:sz w:val="24"/>
        </w:rPr>
        <w:t>i</w:t>
      </w:r>
      <w:r w:rsidR="001F52FA">
        <w:rPr>
          <w:rFonts w:ascii="Times New Roman" w:hAnsi="Times New Roman" w:cs="Times New Roman"/>
          <w:sz w:val="24"/>
        </w:rPr>
        <w:t>ons au départ</w:t>
      </w:r>
      <w:r w:rsidR="007B0D5B">
        <w:rPr>
          <w:rFonts w:ascii="Times New Roman" w:hAnsi="Times New Roman" w:cs="Times New Roman"/>
          <w:sz w:val="24"/>
        </w:rPr>
        <w:t>. Plusieurs auteurs dans la littérature s’accorde</w:t>
      </w:r>
      <w:r w:rsidR="00193DA9">
        <w:rPr>
          <w:rFonts w:ascii="Times New Roman" w:hAnsi="Times New Roman" w:cs="Times New Roman"/>
          <w:sz w:val="24"/>
        </w:rPr>
        <w:t>nt</w:t>
      </w:r>
      <w:r w:rsidR="007B0D5B">
        <w:rPr>
          <w:rFonts w:ascii="Times New Roman" w:hAnsi="Times New Roman" w:cs="Times New Roman"/>
          <w:sz w:val="24"/>
        </w:rPr>
        <w:t xml:space="preserve"> </w:t>
      </w:r>
      <w:r w:rsidR="00AE3E5B">
        <w:rPr>
          <w:rFonts w:ascii="Times New Roman" w:hAnsi="Times New Roman" w:cs="Times New Roman"/>
          <w:sz w:val="24"/>
        </w:rPr>
        <w:t>à</w:t>
      </w:r>
      <w:r w:rsidR="007B0D5B">
        <w:rPr>
          <w:rFonts w:ascii="Times New Roman" w:hAnsi="Times New Roman" w:cs="Times New Roman"/>
          <w:sz w:val="24"/>
        </w:rPr>
        <w:t xml:space="preserve"> dire que le nombre d’observation</w:t>
      </w:r>
      <w:r w:rsidR="005A3B04">
        <w:rPr>
          <w:rFonts w:ascii="Times New Roman" w:hAnsi="Times New Roman" w:cs="Times New Roman"/>
          <w:sz w:val="24"/>
        </w:rPr>
        <w:t>s</w:t>
      </w:r>
      <w:r w:rsidR="007B0D5B">
        <w:rPr>
          <w:rFonts w:ascii="Times New Roman" w:hAnsi="Times New Roman" w:cs="Times New Roman"/>
          <w:sz w:val="24"/>
        </w:rPr>
        <w:t xml:space="preserve"> minimale</w:t>
      </w:r>
      <w:r w:rsidR="005A3B04">
        <w:rPr>
          <w:rFonts w:ascii="Times New Roman" w:hAnsi="Times New Roman" w:cs="Times New Roman"/>
          <w:sz w:val="24"/>
        </w:rPr>
        <w:t>s</w:t>
      </w:r>
      <w:r w:rsidR="007B0D5B">
        <w:rPr>
          <w:rFonts w:ascii="Times New Roman" w:hAnsi="Times New Roman" w:cs="Times New Roman"/>
          <w:sz w:val="24"/>
        </w:rPr>
        <w:t xml:space="preserve"> pour un modèle ARDL est</w:t>
      </w:r>
      <w:r w:rsidR="00193DA9">
        <w:rPr>
          <w:rFonts w:ascii="Times New Roman" w:hAnsi="Times New Roman" w:cs="Times New Roman"/>
          <w:sz w:val="24"/>
        </w:rPr>
        <w:t xml:space="preserve"> de</w:t>
      </w:r>
      <w:r w:rsidR="007B0D5B">
        <w:rPr>
          <w:rFonts w:ascii="Times New Roman" w:hAnsi="Times New Roman" w:cs="Times New Roman"/>
          <w:sz w:val="24"/>
        </w:rPr>
        <w:t xml:space="preserve"> 30</w:t>
      </w:r>
      <w:r w:rsidR="00667377">
        <w:rPr>
          <w:rFonts w:ascii="Times New Roman" w:hAnsi="Times New Roman" w:cs="Times New Roman"/>
          <w:sz w:val="24"/>
        </w:rPr>
        <w:t xml:space="preserve"> (</w:t>
      </w:r>
      <w:proofErr w:type="spellStart"/>
      <w:r w:rsidR="00667377">
        <w:rPr>
          <w:rFonts w:ascii="Times New Roman" w:hAnsi="Times New Roman" w:cs="Times New Roman"/>
          <w:sz w:val="24"/>
        </w:rPr>
        <w:t>Narayan</w:t>
      </w:r>
      <w:proofErr w:type="spellEnd"/>
      <w:r w:rsidR="00667377">
        <w:rPr>
          <w:rFonts w:ascii="Times New Roman" w:hAnsi="Times New Roman" w:cs="Times New Roman"/>
          <w:sz w:val="24"/>
        </w:rPr>
        <w:t>, 2004)</w:t>
      </w:r>
      <w:r w:rsidR="007B0D5B">
        <w:rPr>
          <w:rFonts w:ascii="Times New Roman" w:hAnsi="Times New Roman" w:cs="Times New Roman"/>
          <w:sz w:val="24"/>
        </w:rPr>
        <w:t xml:space="preserve">. Ainsi, nous devons trouver un moyen d’augmenter le nombre d’observations sans compromettre la juste mesure du phénomène. </w:t>
      </w:r>
    </w:p>
    <w:p w14:paraId="6B744DE6" w14:textId="11DDF12D" w:rsidR="00CB2275" w:rsidRDefault="00CB2275" w:rsidP="004750E8">
      <w:pPr>
        <w:jc w:val="both"/>
        <w:rPr>
          <w:rFonts w:ascii="Times New Roman" w:hAnsi="Times New Roman" w:cs="Times New Roman"/>
          <w:sz w:val="24"/>
        </w:rPr>
      </w:pPr>
      <w:r>
        <w:rPr>
          <w:rFonts w:ascii="Times New Roman" w:hAnsi="Times New Roman" w:cs="Times New Roman"/>
          <w:sz w:val="24"/>
        </w:rPr>
        <w:t xml:space="preserve">Pour contourner le </w:t>
      </w:r>
      <w:r w:rsidR="00C66834">
        <w:rPr>
          <w:rFonts w:ascii="Times New Roman" w:hAnsi="Times New Roman" w:cs="Times New Roman"/>
          <w:sz w:val="24"/>
        </w:rPr>
        <w:t>problème</w:t>
      </w:r>
      <w:r>
        <w:rPr>
          <w:rFonts w:ascii="Times New Roman" w:hAnsi="Times New Roman" w:cs="Times New Roman"/>
          <w:sz w:val="24"/>
        </w:rPr>
        <w:t xml:space="preserve"> du manque d’observations qui conduit </w:t>
      </w:r>
      <w:r w:rsidR="00C66834">
        <w:rPr>
          <w:rFonts w:ascii="Times New Roman" w:hAnsi="Times New Roman" w:cs="Times New Roman"/>
          <w:sz w:val="24"/>
        </w:rPr>
        <w:t>à</w:t>
      </w:r>
      <w:r>
        <w:rPr>
          <w:rFonts w:ascii="Times New Roman" w:hAnsi="Times New Roman" w:cs="Times New Roman"/>
          <w:sz w:val="24"/>
        </w:rPr>
        <w:t xml:space="preserve"> des </w:t>
      </w:r>
      <w:r w:rsidR="00C66834">
        <w:rPr>
          <w:rFonts w:ascii="Times New Roman" w:hAnsi="Times New Roman" w:cs="Times New Roman"/>
          <w:sz w:val="24"/>
        </w:rPr>
        <w:t>résultats</w:t>
      </w:r>
      <w:r>
        <w:rPr>
          <w:rFonts w:ascii="Times New Roman" w:hAnsi="Times New Roman" w:cs="Times New Roman"/>
          <w:sz w:val="24"/>
        </w:rPr>
        <w:t xml:space="preserve"> </w:t>
      </w:r>
      <w:r w:rsidR="00C66834">
        <w:rPr>
          <w:rFonts w:ascii="Times New Roman" w:hAnsi="Times New Roman" w:cs="Times New Roman"/>
          <w:sz w:val="24"/>
        </w:rPr>
        <w:t>incohérents</w:t>
      </w:r>
      <w:r>
        <w:rPr>
          <w:rFonts w:ascii="Times New Roman" w:hAnsi="Times New Roman" w:cs="Times New Roman"/>
          <w:sz w:val="24"/>
        </w:rPr>
        <w:t xml:space="preserve">, nous utiliserons l’approche qui consiste à </w:t>
      </w:r>
      <w:r w:rsidR="00C66834">
        <w:rPr>
          <w:rFonts w:ascii="Times New Roman" w:hAnsi="Times New Roman" w:cs="Times New Roman"/>
          <w:sz w:val="24"/>
        </w:rPr>
        <w:t>désagréger</w:t>
      </w:r>
      <w:r>
        <w:rPr>
          <w:rFonts w:ascii="Times New Roman" w:hAnsi="Times New Roman" w:cs="Times New Roman"/>
          <w:sz w:val="24"/>
        </w:rPr>
        <w:t xml:space="preserve"> la </w:t>
      </w:r>
      <w:r w:rsidR="00C66834">
        <w:rPr>
          <w:rFonts w:ascii="Times New Roman" w:hAnsi="Times New Roman" w:cs="Times New Roman"/>
          <w:sz w:val="24"/>
        </w:rPr>
        <w:t>série</w:t>
      </w:r>
      <w:r>
        <w:rPr>
          <w:rFonts w:ascii="Times New Roman" w:hAnsi="Times New Roman" w:cs="Times New Roman"/>
          <w:sz w:val="24"/>
        </w:rPr>
        <w:t xml:space="preserve"> en de plus grande</w:t>
      </w:r>
      <w:r w:rsidR="00AC7BA4">
        <w:rPr>
          <w:rFonts w:ascii="Times New Roman" w:hAnsi="Times New Roman" w:cs="Times New Roman"/>
          <w:sz w:val="24"/>
        </w:rPr>
        <w:t>s</w:t>
      </w:r>
      <w:r>
        <w:rPr>
          <w:rFonts w:ascii="Times New Roman" w:hAnsi="Times New Roman" w:cs="Times New Roman"/>
          <w:sz w:val="24"/>
        </w:rPr>
        <w:t xml:space="preserve"> </w:t>
      </w:r>
      <w:r w:rsidR="00C66834">
        <w:rPr>
          <w:rFonts w:ascii="Times New Roman" w:hAnsi="Times New Roman" w:cs="Times New Roman"/>
          <w:sz w:val="24"/>
        </w:rPr>
        <w:t>fréquence</w:t>
      </w:r>
      <w:r w:rsidR="00AC7BA4">
        <w:rPr>
          <w:rFonts w:ascii="Times New Roman" w:hAnsi="Times New Roman" w:cs="Times New Roman"/>
          <w:sz w:val="24"/>
        </w:rPr>
        <w:t>s.</w:t>
      </w:r>
      <w:r>
        <w:rPr>
          <w:rFonts w:ascii="Times New Roman" w:hAnsi="Times New Roman" w:cs="Times New Roman"/>
          <w:sz w:val="24"/>
        </w:rPr>
        <w:t xml:space="preserve"> Dans </w:t>
      </w:r>
      <w:r w:rsidR="00C66834">
        <w:rPr>
          <w:rFonts w:ascii="Times New Roman" w:hAnsi="Times New Roman" w:cs="Times New Roman"/>
          <w:sz w:val="24"/>
        </w:rPr>
        <w:t>notre cas, nous avons des donné</w:t>
      </w:r>
      <w:r>
        <w:rPr>
          <w:rFonts w:ascii="Times New Roman" w:hAnsi="Times New Roman" w:cs="Times New Roman"/>
          <w:sz w:val="24"/>
        </w:rPr>
        <w:t xml:space="preserve">es annuelles que nous </w:t>
      </w:r>
      <w:r w:rsidR="00564561">
        <w:rPr>
          <w:rFonts w:ascii="Times New Roman" w:hAnsi="Times New Roman" w:cs="Times New Roman"/>
          <w:sz w:val="24"/>
        </w:rPr>
        <w:t xml:space="preserve">devons </w:t>
      </w:r>
      <w:r>
        <w:rPr>
          <w:rFonts w:ascii="Times New Roman" w:hAnsi="Times New Roman" w:cs="Times New Roman"/>
          <w:sz w:val="24"/>
        </w:rPr>
        <w:t>transformer en données mensuelles.</w:t>
      </w:r>
      <w:r w:rsidR="00A54872">
        <w:rPr>
          <w:rFonts w:ascii="Times New Roman" w:hAnsi="Times New Roman" w:cs="Times New Roman"/>
          <w:sz w:val="24"/>
        </w:rPr>
        <w:t xml:space="preserve"> </w:t>
      </w:r>
      <w:r>
        <w:rPr>
          <w:rFonts w:ascii="Times New Roman" w:hAnsi="Times New Roman" w:cs="Times New Roman"/>
          <w:sz w:val="24"/>
        </w:rPr>
        <w:t xml:space="preserve">Dans la littérature, plusieurs </w:t>
      </w:r>
      <w:r w:rsidR="00C66834">
        <w:rPr>
          <w:rFonts w:ascii="Times New Roman" w:hAnsi="Times New Roman" w:cs="Times New Roman"/>
          <w:sz w:val="24"/>
        </w:rPr>
        <w:t>méthodes</w:t>
      </w:r>
      <w:r>
        <w:rPr>
          <w:rFonts w:ascii="Times New Roman" w:hAnsi="Times New Roman" w:cs="Times New Roman"/>
          <w:sz w:val="24"/>
        </w:rPr>
        <w:t xml:space="preserve"> existent pour </w:t>
      </w:r>
      <w:r w:rsidR="00C66834">
        <w:rPr>
          <w:rFonts w:ascii="Times New Roman" w:hAnsi="Times New Roman" w:cs="Times New Roman"/>
          <w:sz w:val="24"/>
        </w:rPr>
        <w:t>désagréger</w:t>
      </w:r>
      <w:r>
        <w:rPr>
          <w:rFonts w:ascii="Times New Roman" w:hAnsi="Times New Roman" w:cs="Times New Roman"/>
          <w:sz w:val="24"/>
        </w:rPr>
        <w:t xml:space="preserve"> une </w:t>
      </w:r>
      <w:r w:rsidR="00C66834">
        <w:rPr>
          <w:rFonts w:ascii="Times New Roman" w:hAnsi="Times New Roman" w:cs="Times New Roman"/>
          <w:sz w:val="24"/>
        </w:rPr>
        <w:t>série</w:t>
      </w:r>
      <w:r>
        <w:rPr>
          <w:rFonts w:ascii="Times New Roman" w:hAnsi="Times New Roman" w:cs="Times New Roman"/>
          <w:sz w:val="24"/>
        </w:rPr>
        <w:t xml:space="preserve">. Les plus connues sont </w:t>
      </w:r>
      <w:r>
        <w:rPr>
          <w:rFonts w:ascii="Times New Roman" w:hAnsi="Times New Roman" w:cs="Times New Roman"/>
          <w:sz w:val="24"/>
        </w:rPr>
        <w:lastRenderedPageBreak/>
        <w:t>celle de Denton (Denton, 1971), Denton-Cholette (</w:t>
      </w:r>
      <w:proofErr w:type="spellStart"/>
      <w:r>
        <w:rPr>
          <w:rFonts w:ascii="Times New Roman" w:hAnsi="Times New Roman" w:cs="Times New Roman"/>
          <w:sz w:val="24"/>
        </w:rPr>
        <w:t>Dagun</w:t>
      </w:r>
      <w:proofErr w:type="spellEnd"/>
      <w:r>
        <w:rPr>
          <w:rFonts w:ascii="Times New Roman" w:hAnsi="Times New Roman" w:cs="Times New Roman"/>
          <w:sz w:val="24"/>
        </w:rPr>
        <w:t xml:space="preserve"> et Cholette, 2006), Chow-Lin (Show et Lin, 1971), Fernandez (Fernandez, 1971) et </w:t>
      </w:r>
      <w:proofErr w:type="spellStart"/>
      <w:r>
        <w:rPr>
          <w:rFonts w:ascii="Times New Roman" w:hAnsi="Times New Roman" w:cs="Times New Roman"/>
          <w:sz w:val="24"/>
        </w:rPr>
        <w:t>Litterman</w:t>
      </w:r>
      <w:proofErr w:type="spellEnd"/>
      <w:r>
        <w:rPr>
          <w:rFonts w:ascii="Times New Roman" w:hAnsi="Times New Roman" w:cs="Times New Roman"/>
          <w:sz w:val="24"/>
        </w:rPr>
        <w:t xml:space="preserve"> (</w:t>
      </w:r>
      <w:proofErr w:type="spellStart"/>
      <w:r>
        <w:rPr>
          <w:rFonts w:ascii="Times New Roman" w:hAnsi="Times New Roman" w:cs="Times New Roman"/>
          <w:sz w:val="24"/>
        </w:rPr>
        <w:t>Litterman</w:t>
      </w:r>
      <w:proofErr w:type="spellEnd"/>
      <w:r>
        <w:rPr>
          <w:rFonts w:ascii="Times New Roman" w:hAnsi="Times New Roman" w:cs="Times New Roman"/>
          <w:sz w:val="24"/>
        </w:rPr>
        <w:t xml:space="preserve">, 1983).Chacune de ces </w:t>
      </w:r>
      <w:r w:rsidR="00C66834">
        <w:rPr>
          <w:rFonts w:ascii="Times New Roman" w:hAnsi="Times New Roman" w:cs="Times New Roman"/>
          <w:sz w:val="24"/>
        </w:rPr>
        <w:t>méthodes</w:t>
      </w:r>
      <w:r>
        <w:rPr>
          <w:rFonts w:ascii="Times New Roman" w:hAnsi="Times New Roman" w:cs="Times New Roman"/>
          <w:sz w:val="24"/>
        </w:rPr>
        <w:t xml:space="preserve"> est appliquée dans des cas </w:t>
      </w:r>
      <w:r w:rsidR="00C66834">
        <w:rPr>
          <w:rFonts w:ascii="Times New Roman" w:hAnsi="Times New Roman" w:cs="Times New Roman"/>
          <w:sz w:val="24"/>
        </w:rPr>
        <w:t>précis</w:t>
      </w:r>
      <w:r>
        <w:rPr>
          <w:rFonts w:ascii="Times New Roman" w:hAnsi="Times New Roman" w:cs="Times New Roman"/>
          <w:sz w:val="24"/>
        </w:rPr>
        <w:t xml:space="preserve">. Les deux </w:t>
      </w:r>
      <w:r w:rsidR="00C66834">
        <w:rPr>
          <w:rFonts w:ascii="Times New Roman" w:hAnsi="Times New Roman" w:cs="Times New Roman"/>
          <w:sz w:val="24"/>
        </w:rPr>
        <w:t>premières</w:t>
      </w:r>
      <w:r>
        <w:rPr>
          <w:rFonts w:ascii="Times New Roman" w:hAnsi="Times New Roman" w:cs="Times New Roman"/>
          <w:sz w:val="24"/>
        </w:rPr>
        <w:t>, Denton et</w:t>
      </w:r>
      <w:r w:rsidR="00C66834">
        <w:rPr>
          <w:rFonts w:ascii="Times New Roman" w:hAnsi="Times New Roman" w:cs="Times New Roman"/>
          <w:sz w:val="24"/>
        </w:rPr>
        <w:t xml:space="preserve"> Denton-Cholette, sont appliqué</w:t>
      </w:r>
      <w:r>
        <w:rPr>
          <w:rFonts w:ascii="Times New Roman" w:hAnsi="Times New Roman" w:cs="Times New Roman"/>
          <w:sz w:val="24"/>
        </w:rPr>
        <w:t xml:space="preserve">es </w:t>
      </w:r>
      <w:r w:rsidRPr="00E33FA0">
        <w:rPr>
          <w:rFonts w:ascii="Times New Roman" w:hAnsi="Times New Roman" w:cs="Times New Roman"/>
          <w:sz w:val="24"/>
        </w:rPr>
        <w:t xml:space="preserve">lorsque </w:t>
      </w:r>
      <w:r w:rsidR="00977CC2" w:rsidRPr="00E33FA0">
        <w:rPr>
          <w:rFonts w:ascii="Times New Roman" w:hAnsi="Times New Roman" w:cs="Times New Roman"/>
          <w:sz w:val="24"/>
        </w:rPr>
        <w:t xml:space="preserve">nous voulons </w:t>
      </w:r>
      <w:r w:rsidR="00C66834" w:rsidRPr="00E33FA0">
        <w:rPr>
          <w:rFonts w:ascii="Times New Roman" w:hAnsi="Times New Roman" w:cs="Times New Roman"/>
          <w:sz w:val="24"/>
        </w:rPr>
        <w:t>préserver</w:t>
      </w:r>
      <w:r w:rsidRPr="00E33FA0">
        <w:rPr>
          <w:rFonts w:ascii="Times New Roman" w:hAnsi="Times New Roman" w:cs="Times New Roman"/>
          <w:sz w:val="24"/>
        </w:rPr>
        <w:t xml:space="preserve"> le </w:t>
      </w:r>
      <w:r w:rsidR="00C66834" w:rsidRPr="00E33FA0">
        <w:rPr>
          <w:rFonts w:ascii="Times New Roman" w:hAnsi="Times New Roman" w:cs="Times New Roman"/>
          <w:sz w:val="24"/>
        </w:rPr>
        <w:t>même</w:t>
      </w:r>
      <w:r w:rsidRPr="00E33FA0">
        <w:rPr>
          <w:rFonts w:ascii="Times New Roman" w:hAnsi="Times New Roman" w:cs="Times New Roman"/>
          <w:sz w:val="24"/>
        </w:rPr>
        <w:t xml:space="preserve"> mouvement que la </w:t>
      </w:r>
      <w:r w:rsidR="00F05C84" w:rsidRPr="00E33FA0">
        <w:rPr>
          <w:rFonts w:ascii="Times New Roman" w:hAnsi="Times New Roman" w:cs="Times New Roman"/>
          <w:sz w:val="24"/>
        </w:rPr>
        <w:t>série</w:t>
      </w:r>
      <w:r w:rsidRPr="00E33FA0">
        <w:rPr>
          <w:rFonts w:ascii="Times New Roman" w:hAnsi="Times New Roman" w:cs="Times New Roman"/>
          <w:sz w:val="24"/>
        </w:rPr>
        <w:t xml:space="preserve"> </w:t>
      </w:r>
      <w:r w:rsidR="00F05C84" w:rsidRPr="00E33FA0">
        <w:rPr>
          <w:rFonts w:ascii="Times New Roman" w:hAnsi="Times New Roman" w:cs="Times New Roman"/>
          <w:sz w:val="24"/>
        </w:rPr>
        <w:t>mère</w:t>
      </w:r>
      <w:r w:rsidRPr="00E33FA0">
        <w:rPr>
          <w:rFonts w:ascii="Times New Roman" w:hAnsi="Times New Roman" w:cs="Times New Roman"/>
          <w:sz w:val="24"/>
        </w:rPr>
        <w:t xml:space="preserve"> que nous </w:t>
      </w:r>
      <w:r w:rsidR="00F05C84" w:rsidRPr="00E33FA0">
        <w:rPr>
          <w:rFonts w:ascii="Times New Roman" w:hAnsi="Times New Roman" w:cs="Times New Roman"/>
          <w:sz w:val="24"/>
        </w:rPr>
        <w:t>désignerons</w:t>
      </w:r>
      <w:r w:rsidRPr="00E33FA0">
        <w:rPr>
          <w:rFonts w:ascii="Times New Roman" w:hAnsi="Times New Roman" w:cs="Times New Roman"/>
          <w:sz w:val="24"/>
        </w:rPr>
        <w:t xml:space="preserve"> par la suite par </w:t>
      </w:r>
      <w:r w:rsidR="00F05C84" w:rsidRPr="00E33FA0">
        <w:rPr>
          <w:rFonts w:ascii="Times New Roman" w:hAnsi="Times New Roman" w:cs="Times New Roman"/>
          <w:sz w:val="24"/>
        </w:rPr>
        <w:t>série</w:t>
      </w:r>
      <w:r w:rsidRPr="00E33FA0">
        <w:rPr>
          <w:rFonts w:ascii="Times New Roman" w:hAnsi="Times New Roman" w:cs="Times New Roman"/>
          <w:sz w:val="24"/>
        </w:rPr>
        <w:t xml:space="preserve"> de basse </w:t>
      </w:r>
      <w:r w:rsidR="00F05C84" w:rsidRPr="00E33FA0">
        <w:rPr>
          <w:rFonts w:ascii="Times New Roman" w:hAnsi="Times New Roman" w:cs="Times New Roman"/>
          <w:sz w:val="24"/>
        </w:rPr>
        <w:t>fréquence</w:t>
      </w:r>
      <w:r w:rsidRPr="00E33FA0">
        <w:rPr>
          <w:rFonts w:ascii="Times New Roman" w:hAnsi="Times New Roman" w:cs="Times New Roman"/>
          <w:sz w:val="24"/>
        </w:rPr>
        <w:t>.</w:t>
      </w:r>
      <w:r>
        <w:rPr>
          <w:rFonts w:ascii="Times New Roman" w:hAnsi="Times New Roman" w:cs="Times New Roman"/>
          <w:sz w:val="24"/>
        </w:rPr>
        <w:t xml:space="preserve"> Pour ces deux </w:t>
      </w:r>
      <w:r w:rsidR="00F05C84">
        <w:rPr>
          <w:rFonts w:ascii="Times New Roman" w:hAnsi="Times New Roman" w:cs="Times New Roman"/>
          <w:sz w:val="24"/>
        </w:rPr>
        <w:t>méthodes</w:t>
      </w:r>
      <w:r>
        <w:rPr>
          <w:rFonts w:ascii="Times New Roman" w:hAnsi="Times New Roman" w:cs="Times New Roman"/>
          <w:sz w:val="24"/>
        </w:rPr>
        <w:t xml:space="preserve">, la </w:t>
      </w:r>
      <w:r w:rsidR="00F05C84">
        <w:rPr>
          <w:rFonts w:ascii="Times New Roman" w:hAnsi="Times New Roman" w:cs="Times New Roman"/>
          <w:sz w:val="24"/>
        </w:rPr>
        <w:t>série</w:t>
      </w:r>
      <w:r>
        <w:rPr>
          <w:rFonts w:ascii="Times New Roman" w:hAnsi="Times New Roman" w:cs="Times New Roman"/>
          <w:sz w:val="24"/>
        </w:rPr>
        <w:t xml:space="preserve"> </w:t>
      </w:r>
      <w:r w:rsidR="00F05C84">
        <w:rPr>
          <w:rFonts w:ascii="Times New Roman" w:hAnsi="Times New Roman" w:cs="Times New Roman"/>
          <w:sz w:val="24"/>
        </w:rPr>
        <w:t>générée</w:t>
      </w:r>
      <w:r>
        <w:rPr>
          <w:rFonts w:ascii="Times New Roman" w:hAnsi="Times New Roman" w:cs="Times New Roman"/>
          <w:sz w:val="24"/>
        </w:rPr>
        <w:t xml:space="preserve"> est similaire à la </w:t>
      </w:r>
      <w:r w:rsidR="00F05C84">
        <w:rPr>
          <w:rFonts w:ascii="Times New Roman" w:hAnsi="Times New Roman" w:cs="Times New Roman"/>
          <w:sz w:val="24"/>
        </w:rPr>
        <w:t>série</w:t>
      </w:r>
      <w:r>
        <w:rPr>
          <w:rFonts w:ascii="Times New Roman" w:hAnsi="Times New Roman" w:cs="Times New Roman"/>
          <w:sz w:val="24"/>
        </w:rPr>
        <w:t xml:space="preserve"> initiale.</w:t>
      </w:r>
      <w:r w:rsidR="00A22783">
        <w:rPr>
          <w:rFonts w:ascii="Times New Roman" w:hAnsi="Times New Roman" w:cs="Times New Roman"/>
          <w:sz w:val="24"/>
        </w:rPr>
        <w:t xml:space="preserve"> </w:t>
      </w:r>
      <w:r>
        <w:rPr>
          <w:rFonts w:ascii="Times New Roman" w:hAnsi="Times New Roman" w:cs="Times New Roman"/>
          <w:sz w:val="24"/>
        </w:rPr>
        <w:t xml:space="preserve">La </w:t>
      </w:r>
      <w:r w:rsidR="00F05C84">
        <w:rPr>
          <w:rFonts w:ascii="Times New Roman" w:hAnsi="Times New Roman" w:cs="Times New Roman"/>
          <w:sz w:val="24"/>
        </w:rPr>
        <w:t>méthode</w:t>
      </w:r>
      <w:r>
        <w:rPr>
          <w:rFonts w:ascii="Times New Roman" w:hAnsi="Times New Roman" w:cs="Times New Roman"/>
          <w:sz w:val="24"/>
        </w:rPr>
        <w:t xml:space="preserve"> de Show-Lin est utilisée </w:t>
      </w:r>
      <w:r w:rsidR="00977CC2">
        <w:rPr>
          <w:rFonts w:ascii="Times New Roman" w:hAnsi="Times New Roman" w:cs="Times New Roman"/>
          <w:sz w:val="24"/>
        </w:rPr>
        <w:t xml:space="preserve">lorsque nous sommes </w:t>
      </w:r>
      <w:r>
        <w:rPr>
          <w:rFonts w:ascii="Times New Roman" w:hAnsi="Times New Roman" w:cs="Times New Roman"/>
          <w:sz w:val="24"/>
        </w:rPr>
        <w:t xml:space="preserve">en </w:t>
      </w:r>
      <w:r w:rsidR="00F05C84">
        <w:rPr>
          <w:rFonts w:ascii="Times New Roman" w:hAnsi="Times New Roman" w:cs="Times New Roman"/>
          <w:sz w:val="24"/>
        </w:rPr>
        <w:t>présence</w:t>
      </w:r>
      <w:r>
        <w:rPr>
          <w:rFonts w:ascii="Times New Roman" w:hAnsi="Times New Roman" w:cs="Times New Roman"/>
          <w:sz w:val="24"/>
        </w:rPr>
        <w:t xml:space="preserve"> d’une </w:t>
      </w:r>
      <w:r w:rsidR="00F05C84">
        <w:rPr>
          <w:rFonts w:ascii="Times New Roman" w:hAnsi="Times New Roman" w:cs="Times New Roman"/>
          <w:sz w:val="24"/>
        </w:rPr>
        <w:t>série</w:t>
      </w:r>
      <w:r>
        <w:rPr>
          <w:rFonts w:ascii="Times New Roman" w:hAnsi="Times New Roman" w:cs="Times New Roman"/>
          <w:sz w:val="24"/>
        </w:rPr>
        <w:t xml:space="preserve"> de basse </w:t>
      </w:r>
      <w:r w:rsidR="00F05C84">
        <w:rPr>
          <w:rFonts w:ascii="Times New Roman" w:hAnsi="Times New Roman" w:cs="Times New Roman"/>
          <w:sz w:val="24"/>
        </w:rPr>
        <w:t>fréquence</w:t>
      </w:r>
      <w:r>
        <w:rPr>
          <w:rFonts w:ascii="Times New Roman" w:hAnsi="Times New Roman" w:cs="Times New Roman"/>
          <w:sz w:val="24"/>
        </w:rPr>
        <w:t xml:space="preserve"> stationnaire tandis que celles de Fernandez et de </w:t>
      </w:r>
      <w:proofErr w:type="spellStart"/>
      <w:r>
        <w:rPr>
          <w:rFonts w:ascii="Times New Roman" w:hAnsi="Times New Roman" w:cs="Times New Roman"/>
          <w:sz w:val="24"/>
        </w:rPr>
        <w:t>Litterman</w:t>
      </w:r>
      <w:proofErr w:type="spellEnd"/>
      <w:r>
        <w:rPr>
          <w:rFonts w:ascii="Times New Roman" w:hAnsi="Times New Roman" w:cs="Times New Roman"/>
          <w:sz w:val="24"/>
        </w:rPr>
        <w:t xml:space="preserve"> sont appliquées lorsque les </w:t>
      </w:r>
      <w:r w:rsidR="00F05C84">
        <w:rPr>
          <w:rFonts w:ascii="Times New Roman" w:hAnsi="Times New Roman" w:cs="Times New Roman"/>
          <w:sz w:val="24"/>
        </w:rPr>
        <w:t>séries</w:t>
      </w:r>
      <w:r>
        <w:rPr>
          <w:rFonts w:ascii="Times New Roman" w:hAnsi="Times New Roman" w:cs="Times New Roman"/>
          <w:sz w:val="24"/>
        </w:rPr>
        <w:t xml:space="preserve"> sont non </w:t>
      </w:r>
      <w:r w:rsidR="00F431EF">
        <w:rPr>
          <w:rFonts w:ascii="Times New Roman" w:hAnsi="Times New Roman" w:cs="Times New Roman"/>
          <w:sz w:val="24"/>
        </w:rPr>
        <w:t>stationnaires</w:t>
      </w:r>
      <w:r>
        <w:rPr>
          <w:rFonts w:ascii="Times New Roman" w:hAnsi="Times New Roman" w:cs="Times New Roman"/>
          <w:sz w:val="24"/>
        </w:rPr>
        <w:t xml:space="preserve">. </w:t>
      </w:r>
    </w:p>
    <w:p w14:paraId="0A7A0007" w14:textId="055FB442" w:rsidR="001D736E" w:rsidRDefault="001D736E" w:rsidP="004750E8">
      <w:pPr>
        <w:jc w:val="both"/>
        <w:rPr>
          <w:rFonts w:ascii="Times New Roman" w:hAnsi="Times New Roman" w:cs="Times New Roman"/>
          <w:sz w:val="24"/>
        </w:rPr>
      </w:pPr>
    </w:p>
    <w:p w14:paraId="439305CB" w14:textId="77777777" w:rsidR="001D736E" w:rsidRDefault="001D736E" w:rsidP="004750E8">
      <w:pPr>
        <w:jc w:val="both"/>
        <w:rPr>
          <w:rFonts w:ascii="Times New Roman" w:hAnsi="Times New Roman" w:cs="Times New Roman"/>
          <w:sz w:val="24"/>
        </w:rPr>
      </w:pPr>
    </w:p>
    <w:p w14:paraId="67DD5FAC" w14:textId="06A15503" w:rsidR="00CB2275" w:rsidRPr="00E55A18" w:rsidRDefault="00F431EF" w:rsidP="00CB2275">
      <w:pPr>
        <w:pStyle w:val="Paragraphedeliste"/>
        <w:numPr>
          <w:ilvl w:val="0"/>
          <w:numId w:val="4"/>
        </w:numPr>
        <w:jc w:val="both"/>
        <w:rPr>
          <w:rFonts w:ascii="Times New Roman" w:hAnsi="Times New Roman" w:cs="Times New Roman"/>
          <w:b/>
          <w:sz w:val="24"/>
          <w:szCs w:val="28"/>
        </w:rPr>
      </w:pPr>
      <w:r w:rsidRPr="00E55A18">
        <w:rPr>
          <w:rFonts w:ascii="Times New Roman" w:hAnsi="Times New Roman" w:cs="Times New Roman"/>
          <w:b/>
          <w:sz w:val="24"/>
          <w:szCs w:val="28"/>
        </w:rPr>
        <w:t>Présentation</w:t>
      </w:r>
      <w:r w:rsidR="00CB2275" w:rsidRPr="00E55A18">
        <w:rPr>
          <w:rFonts w:ascii="Times New Roman" w:hAnsi="Times New Roman" w:cs="Times New Roman"/>
          <w:b/>
          <w:sz w:val="24"/>
          <w:szCs w:val="28"/>
        </w:rPr>
        <w:t xml:space="preserve"> </w:t>
      </w:r>
      <w:r w:rsidRPr="00E55A18">
        <w:rPr>
          <w:rFonts w:ascii="Times New Roman" w:hAnsi="Times New Roman" w:cs="Times New Roman"/>
          <w:b/>
          <w:sz w:val="24"/>
          <w:szCs w:val="28"/>
        </w:rPr>
        <w:t>théorique</w:t>
      </w:r>
      <w:r w:rsidR="00CB2275" w:rsidRPr="00E55A18">
        <w:rPr>
          <w:rFonts w:ascii="Times New Roman" w:hAnsi="Times New Roman" w:cs="Times New Roman"/>
          <w:b/>
          <w:sz w:val="24"/>
          <w:szCs w:val="28"/>
        </w:rPr>
        <w:t xml:space="preserve"> </w:t>
      </w:r>
      <w:r w:rsidR="003F4A47" w:rsidRPr="00E55A18">
        <w:rPr>
          <w:rFonts w:ascii="Times New Roman" w:hAnsi="Times New Roman" w:cs="Times New Roman"/>
          <w:b/>
          <w:sz w:val="24"/>
          <w:szCs w:val="28"/>
        </w:rPr>
        <w:t xml:space="preserve">de la méthode de </w:t>
      </w:r>
      <w:r w:rsidR="00D137E8" w:rsidRPr="00E55A18">
        <w:rPr>
          <w:rFonts w:ascii="Times New Roman" w:hAnsi="Times New Roman" w:cs="Times New Roman"/>
          <w:b/>
          <w:sz w:val="24"/>
          <w:szCs w:val="28"/>
        </w:rPr>
        <w:t>désagrégation</w:t>
      </w:r>
    </w:p>
    <w:p w14:paraId="12FBDFFF" w14:textId="3F24B858" w:rsidR="00782352" w:rsidRDefault="00782352" w:rsidP="00CB2275">
      <w:pPr>
        <w:jc w:val="both"/>
        <w:rPr>
          <w:rFonts w:ascii="Times New Roman" w:hAnsi="Times New Roman" w:cs="Times New Roman"/>
          <w:sz w:val="24"/>
        </w:rPr>
      </w:pPr>
      <w:r>
        <w:rPr>
          <w:rFonts w:ascii="Times New Roman" w:hAnsi="Times New Roman" w:cs="Times New Roman"/>
          <w:sz w:val="24"/>
        </w:rPr>
        <w:t xml:space="preserve">Supposons que </w:t>
      </w:r>
      <w:r w:rsidR="00F45507">
        <w:rPr>
          <w:rFonts w:ascii="Times New Roman" w:hAnsi="Times New Roman" w:cs="Times New Roman"/>
          <w:sz w:val="24"/>
        </w:rPr>
        <w:t>nous soyons en présence d’</w:t>
      </w:r>
      <w:r>
        <w:rPr>
          <w:rFonts w:ascii="Times New Roman" w:hAnsi="Times New Roman" w:cs="Times New Roman"/>
          <w:sz w:val="24"/>
        </w:rPr>
        <w:t xml:space="preserve">une </w:t>
      </w:r>
      <w:r w:rsidR="00F431EF">
        <w:rPr>
          <w:rFonts w:ascii="Times New Roman" w:hAnsi="Times New Roman" w:cs="Times New Roman"/>
          <w:sz w:val="24"/>
        </w:rPr>
        <w:t>série</w:t>
      </w:r>
      <w:r>
        <w:rPr>
          <w:rFonts w:ascii="Times New Roman" w:hAnsi="Times New Roman" w:cs="Times New Roman"/>
          <w:sz w:val="24"/>
        </w:rPr>
        <w:t xml:space="preserve"> </w:t>
      </w:r>
      <m:oMath>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l</m:t>
            </m:r>
          </m:sub>
        </m:sSub>
      </m:oMath>
      <w:r>
        <w:rPr>
          <w:rFonts w:ascii="Times New Roman" w:hAnsi="Times New Roman" w:cs="Times New Roman"/>
          <w:sz w:val="24"/>
        </w:rPr>
        <w:t xml:space="preserve"> qui </w:t>
      </w:r>
      <w:r w:rsidR="00F431EF">
        <w:rPr>
          <w:rFonts w:ascii="Times New Roman" w:hAnsi="Times New Roman" w:cs="Times New Roman"/>
          <w:sz w:val="24"/>
        </w:rPr>
        <w:t>représente</w:t>
      </w:r>
      <w:r>
        <w:rPr>
          <w:rFonts w:ascii="Times New Roman" w:hAnsi="Times New Roman" w:cs="Times New Roman"/>
          <w:sz w:val="24"/>
        </w:rPr>
        <w:t xml:space="preserve"> la </w:t>
      </w:r>
      <w:r w:rsidR="00F431EF">
        <w:rPr>
          <w:rFonts w:ascii="Times New Roman" w:hAnsi="Times New Roman" w:cs="Times New Roman"/>
          <w:sz w:val="24"/>
        </w:rPr>
        <w:t>série</w:t>
      </w:r>
      <w:r>
        <w:rPr>
          <w:rFonts w:ascii="Times New Roman" w:hAnsi="Times New Roman" w:cs="Times New Roman"/>
          <w:sz w:val="24"/>
        </w:rPr>
        <w:t xml:space="preserve"> de basse </w:t>
      </w:r>
      <w:r w:rsidR="00F431EF">
        <w:rPr>
          <w:rFonts w:ascii="Times New Roman" w:hAnsi="Times New Roman" w:cs="Times New Roman"/>
          <w:sz w:val="24"/>
        </w:rPr>
        <w:t>fréquence</w:t>
      </w:r>
      <w:r>
        <w:rPr>
          <w:rFonts w:ascii="Times New Roman" w:hAnsi="Times New Roman" w:cs="Times New Roman"/>
          <w:sz w:val="24"/>
        </w:rPr>
        <w:t xml:space="preserve"> que </w:t>
      </w:r>
      <w:r w:rsidR="00F45507">
        <w:rPr>
          <w:rFonts w:ascii="Times New Roman" w:hAnsi="Times New Roman" w:cs="Times New Roman"/>
          <w:sz w:val="24"/>
        </w:rPr>
        <w:t xml:space="preserve">nous voulons </w:t>
      </w:r>
      <w:r>
        <w:rPr>
          <w:rFonts w:ascii="Times New Roman" w:hAnsi="Times New Roman" w:cs="Times New Roman"/>
          <w:sz w:val="24"/>
        </w:rPr>
        <w:t xml:space="preserve">transformer en </w:t>
      </w:r>
      <m:oMath>
        <m:r>
          <w:rPr>
            <w:rFonts w:ascii="Cambria Math" w:hAnsi="Cambria Math" w:cs="Times New Roman"/>
            <w:sz w:val="24"/>
          </w:rPr>
          <m:t>y</m:t>
        </m:r>
      </m:oMath>
      <w:r>
        <w:rPr>
          <w:rFonts w:ascii="Times New Roman" w:hAnsi="Times New Roman" w:cs="Times New Roman"/>
          <w:sz w:val="24"/>
        </w:rPr>
        <w:t xml:space="preserve"> avec une plus grande </w:t>
      </w:r>
      <w:r w:rsidR="00F431EF">
        <w:rPr>
          <w:rFonts w:ascii="Times New Roman" w:hAnsi="Times New Roman" w:cs="Times New Roman"/>
          <w:sz w:val="24"/>
        </w:rPr>
        <w:t>fréquence</w:t>
      </w:r>
      <w:r>
        <w:rPr>
          <w:rFonts w:ascii="Times New Roman" w:hAnsi="Times New Roman" w:cs="Times New Roman"/>
          <w:sz w:val="24"/>
        </w:rPr>
        <w:t xml:space="preserve">. Les valeurs de la plus grande </w:t>
      </w:r>
      <w:r w:rsidR="00F431EF">
        <w:rPr>
          <w:rFonts w:ascii="Times New Roman" w:hAnsi="Times New Roman" w:cs="Times New Roman"/>
          <w:sz w:val="24"/>
        </w:rPr>
        <w:t>série</w:t>
      </w:r>
      <w:r>
        <w:rPr>
          <w:rFonts w:ascii="Times New Roman" w:hAnsi="Times New Roman" w:cs="Times New Roman"/>
          <w:sz w:val="24"/>
        </w:rPr>
        <w:t xml:space="preserve"> sont placées dans </w:t>
      </w:r>
      <m:oMath>
        <m:r>
          <w:rPr>
            <w:rFonts w:ascii="Cambria Math" w:hAnsi="Cambria Math" w:cs="Times New Roman"/>
            <w:sz w:val="24"/>
          </w:rPr>
          <m:t>X.</m:t>
        </m:r>
      </m:oMath>
      <w:r w:rsidR="00FD1F89">
        <w:rPr>
          <w:rFonts w:ascii="Times New Roman" w:hAnsi="Times New Roman" w:cs="Times New Roman"/>
          <w:sz w:val="24"/>
        </w:rPr>
        <w:t xml:space="preserve"> </w:t>
      </w:r>
      <w:r>
        <w:rPr>
          <w:rFonts w:ascii="Times New Roman" w:hAnsi="Times New Roman" w:cs="Times New Roman"/>
          <w:sz w:val="24"/>
        </w:rPr>
        <w:t xml:space="preserve">La </w:t>
      </w:r>
      <w:r w:rsidR="00B802CB">
        <w:rPr>
          <w:rFonts w:ascii="Times New Roman" w:hAnsi="Times New Roman" w:cs="Times New Roman"/>
          <w:sz w:val="24"/>
        </w:rPr>
        <w:t>désagrégation</w:t>
      </w:r>
      <w:r>
        <w:rPr>
          <w:rFonts w:ascii="Times New Roman" w:hAnsi="Times New Roman" w:cs="Times New Roman"/>
          <w:sz w:val="24"/>
        </w:rPr>
        <w:t xml:space="preserve"> se fait en deux </w:t>
      </w:r>
      <w:r w:rsidR="00B802CB">
        <w:rPr>
          <w:rFonts w:ascii="Times New Roman" w:hAnsi="Times New Roman" w:cs="Times New Roman"/>
          <w:sz w:val="24"/>
        </w:rPr>
        <w:t>étapes</w:t>
      </w:r>
      <w:r>
        <w:rPr>
          <w:rFonts w:ascii="Times New Roman" w:hAnsi="Times New Roman" w:cs="Times New Roman"/>
          <w:sz w:val="24"/>
        </w:rPr>
        <w:t xml:space="preserve">. Dans la </w:t>
      </w:r>
      <w:r w:rsidR="00B802CB">
        <w:rPr>
          <w:rFonts w:ascii="Times New Roman" w:hAnsi="Times New Roman" w:cs="Times New Roman"/>
          <w:sz w:val="24"/>
        </w:rPr>
        <w:t>première</w:t>
      </w:r>
      <w:r>
        <w:rPr>
          <w:rFonts w:ascii="Times New Roman" w:hAnsi="Times New Roman" w:cs="Times New Roman"/>
          <w:sz w:val="24"/>
        </w:rPr>
        <w:t xml:space="preserve">, nous utiliserons une </w:t>
      </w:r>
      <w:r w:rsidR="00B802CB">
        <w:rPr>
          <w:rFonts w:ascii="Times New Roman" w:hAnsi="Times New Roman" w:cs="Times New Roman"/>
          <w:sz w:val="24"/>
        </w:rPr>
        <w:t>série</w:t>
      </w:r>
      <w:r>
        <w:rPr>
          <w:rFonts w:ascii="Times New Roman" w:hAnsi="Times New Roman" w:cs="Times New Roman"/>
          <w:sz w:val="24"/>
        </w:rPr>
        <w:t xml:space="preserve"> de </w:t>
      </w:r>
      <w:r w:rsidR="00B802CB">
        <w:rPr>
          <w:rFonts w:ascii="Times New Roman" w:hAnsi="Times New Roman" w:cs="Times New Roman"/>
          <w:sz w:val="24"/>
        </w:rPr>
        <w:t>même</w:t>
      </w:r>
      <w:r>
        <w:rPr>
          <w:rFonts w:ascii="Times New Roman" w:hAnsi="Times New Roman" w:cs="Times New Roman"/>
          <w:sz w:val="24"/>
        </w:rPr>
        <w:t xml:space="preserve"> taille que celle de haute </w:t>
      </w:r>
      <w:r w:rsidR="00B802CB">
        <w:rPr>
          <w:rFonts w:ascii="Times New Roman" w:hAnsi="Times New Roman" w:cs="Times New Roman"/>
          <w:sz w:val="24"/>
        </w:rPr>
        <w:t>fréquence</w:t>
      </w:r>
      <w:r>
        <w:rPr>
          <w:rFonts w:ascii="Times New Roman" w:hAnsi="Times New Roman" w:cs="Times New Roman"/>
          <w:sz w:val="24"/>
        </w:rPr>
        <w:t xml:space="preserve"> </w:t>
      </w:r>
      <w:r w:rsidR="00B802CB">
        <w:rPr>
          <w:rFonts w:ascii="Times New Roman" w:hAnsi="Times New Roman" w:cs="Times New Roman"/>
          <w:sz w:val="24"/>
        </w:rPr>
        <w:t>notée</w:t>
      </w:r>
      <m:oMath>
        <m:r>
          <w:rPr>
            <w:rFonts w:ascii="Cambria Math" w:hAnsi="Cambria Math" w:cs="Times New Roman"/>
            <w:sz w:val="24"/>
          </w:rPr>
          <m:t xml:space="preserve"> p</m:t>
        </m:r>
      </m:oMath>
      <w:r>
        <w:rPr>
          <w:rFonts w:ascii="Times New Roman" w:hAnsi="Times New Roman" w:cs="Times New Roman"/>
          <w:sz w:val="24"/>
        </w:rPr>
        <w:t xml:space="preserve">. Dans la seconde </w:t>
      </w:r>
      <w:r w:rsidR="002A2EEA">
        <w:rPr>
          <w:rFonts w:ascii="Times New Roman" w:hAnsi="Times New Roman" w:cs="Times New Roman"/>
          <w:sz w:val="24"/>
        </w:rPr>
        <w:t>étape</w:t>
      </w:r>
      <w:r>
        <w:rPr>
          <w:rFonts w:ascii="Times New Roman" w:hAnsi="Times New Roman" w:cs="Times New Roman"/>
          <w:sz w:val="24"/>
        </w:rPr>
        <w:t xml:space="preserve">, nous ajouterons </w:t>
      </w:r>
      <w:r w:rsidR="00B802CB">
        <w:rPr>
          <w:rFonts w:ascii="Times New Roman" w:hAnsi="Times New Roman" w:cs="Times New Roman"/>
          <w:sz w:val="24"/>
        </w:rPr>
        <w:t>à</w:t>
      </w:r>
      <w:r>
        <w:rPr>
          <w:rFonts w:ascii="Times New Roman" w:hAnsi="Times New Roman" w:cs="Times New Roman"/>
          <w:sz w:val="24"/>
        </w:rPr>
        <w:t xml:space="preserve"> cette </w:t>
      </w:r>
      <w:r w:rsidR="002A2EEA">
        <w:rPr>
          <w:rFonts w:ascii="Times New Roman" w:hAnsi="Times New Roman" w:cs="Times New Roman"/>
          <w:sz w:val="24"/>
        </w:rPr>
        <w:t>première</w:t>
      </w:r>
      <w:r>
        <w:rPr>
          <w:rFonts w:ascii="Times New Roman" w:hAnsi="Times New Roman" w:cs="Times New Roman"/>
          <w:sz w:val="24"/>
        </w:rPr>
        <w:t xml:space="preserve"> </w:t>
      </w:r>
      <w:r w:rsidR="002A2EEA">
        <w:rPr>
          <w:rFonts w:ascii="Times New Roman" w:hAnsi="Times New Roman" w:cs="Times New Roman"/>
          <w:sz w:val="24"/>
        </w:rPr>
        <w:t>série</w:t>
      </w:r>
      <w:r>
        <w:rPr>
          <w:rFonts w:ascii="Times New Roman" w:hAnsi="Times New Roman" w:cs="Times New Roman"/>
          <w:sz w:val="24"/>
        </w:rPr>
        <w:t xml:space="preserve"> la marge d’erreur que nous observons lors de la </w:t>
      </w:r>
      <w:r w:rsidR="00B802CB">
        <w:rPr>
          <w:rFonts w:ascii="Times New Roman" w:hAnsi="Times New Roman" w:cs="Times New Roman"/>
          <w:sz w:val="24"/>
        </w:rPr>
        <w:t>désagrégation</w:t>
      </w:r>
      <w:r>
        <w:rPr>
          <w:rFonts w:ascii="Times New Roman" w:hAnsi="Times New Roman" w:cs="Times New Roman"/>
          <w:sz w:val="24"/>
        </w:rPr>
        <w:t xml:space="preserve">. En somme, nous pouvons </w:t>
      </w:r>
      <w:r w:rsidR="00B802CB">
        <w:rPr>
          <w:rFonts w:ascii="Times New Roman" w:hAnsi="Times New Roman" w:cs="Times New Roman"/>
          <w:sz w:val="24"/>
        </w:rPr>
        <w:t>écrire</w:t>
      </w:r>
      <w:r>
        <w:rPr>
          <w:rFonts w:ascii="Times New Roman" w:hAnsi="Times New Roman" w:cs="Times New Roman"/>
          <w:sz w:val="24"/>
        </w:rPr>
        <w:t xml:space="preserve"> la </w:t>
      </w:r>
      <w:r w:rsidR="00B802CB">
        <w:rPr>
          <w:rFonts w:ascii="Times New Roman" w:hAnsi="Times New Roman" w:cs="Times New Roman"/>
          <w:sz w:val="24"/>
        </w:rPr>
        <w:t>série</w:t>
      </w:r>
      <w:r>
        <w:rPr>
          <w:rFonts w:ascii="Times New Roman" w:hAnsi="Times New Roman" w:cs="Times New Roman"/>
          <w:sz w:val="24"/>
        </w:rPr>
        <w:t xml:space="preserve"> de haute </w:t>
      </w:r>
      <w:r w:rsidR="00B802CB">
        <w:rPr>
          <w:rFonts w:ascii="Times New Roman" w:hAnsi="Times New Roman" w:cs="Times New Roman"/>
          <w:sz w:val="24"/>
        </w:rPr>
        <w:t>fréquence</w:t>
      </w:r>
      <w:r>
        <w:rPr>
          <w:rFonts w:ascii="Times New Roman" w:hAnsi="Times New Roman" w:cs="Times New Roman"/>
          <w:sz w:val="24"/>
        </w:rPr>
        <w:t xml:space="preserve"> estimée :</w:t>
      </w:r>
    </w:p>
    <w:p w14:paraId="63CCFB0C" w14:textId="77777777" w:rsidR="00782352" w:rsidRDefault="000C4BE8" w:rsidP="00782352">
      <w:pPr>
        <w:jc w:val="center"/>
        <w:rPr>
          <w:rFonts w:ascii="Times New Roman" w:hAnsi="Times New Roman" w:cs="Times New Roman"/>
          <w:sz w:val="24"/>
        </w:rPr>
      </w:pPr>
      <m:oMath>
        <m:acc>
          <m:accPr>
            <m:ctrlPr>
              <w:rPr>
                <w:rFonts w:ascii="Cambria Math" w:hAnsi="Cambria Math" w:cs="Times New Roman"/>
                <w:i/>
                <w:sz w:val="24"/>
              </w:rPr>
            </m:ctrlPr>
          </m:accPr>
          <m:e>
            <m:r>
              <w:rPr>
                <w:rFonts w:ascii="Cambria Math" w:hAnsi="Cambria Math" w:cs="Times New Roman"/>
                <w:sz w:val="24"/>
              </w:rPr>
              <m:t>y</m:t>
            </m:r>
          </m:e>
        </m:acc>
        <m:r>
          <w:rPr>
            <w:rFonts w:ascii="Cambria Math" w:hAnsi="Cambria Math" w:cs="Times New Roman"/>
            <w:sz w:val="24"/>
          </w:rPr>
          <m:t>=p-D</m:t>
        </m:r>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l</m:t>
            </m:r>
          </m:sub>
        </m:sSub>
      </m:oMath>
      <w:r w:rsidR="00782352">
        <w:rPr>
          <w:rFonts w:ascii="Times New Roman" w:hAnsi="Times New Roman" w:cs="Times New Roman"/>
          <w:sz w:val="24"/>
        </w:rPr>
        <w:t xml:space="preserve"> (1)</w:t>
      </w:r>
    </w:p>
    <w:p w14:paraId="49C7EB27" w14:textId="77777777" w:rsidR="00782352" w:rsidRDefault="00782352" w:rsidP="00782352">
      <w:pPr>
        <w:rPr>
          <w:rFonts w:ascii="Times New Roman" w:hAnsi="Times New Roman" w:cs="Times New Roman"/>
          <w:sz w:val="24"/>
        </w:rPr>
      </w:pPr>
      <w:r>
        <w:rPr>
          <w:rFonts w:ascii="Times New Roman" w:hAnsi="Times New Roman" w:cs="Times New Roman"/>
          <w:sz w:val="24"/>
        </w:rPr>
        <w:t xml:space="preserve">D est une matrice de distribution qui compte l’effet </w:t>
      </w:r>
      <w:r w:rsidR="002A2EEA">
        <w:rPr>
          <w:rFonts w:ascii="Times New Roman" w:hAnsi="Times New Roman" w:cs="Times New Roman"/>
          <w:sz w:val="24"/>
        </w:rPr>
        <w:t>aléatoire</w:t>
      </w:r>
      <w:r>
        <w:rPr>
          <w:rFonts w:ascii="Times New Roman" w:hAnsi="Times New Roman" w:cs="Times New Roman"/>
          <w:sz w:val="24"/>
        </w:rPr>
        <w:t xml:space="preserve"> lors du processus de </w:t>
      </w:r>
      <w:r w:rsidR="002A2EEA">
        <w:rPr>
          <w:rFonts w:ascii="Times New Roman" w:hAnsi="Times New Roman" w:cs="Times New Roman"/>
          <w:sz w:val="24"/>
        </w:rPr>
        <w:t>désagrégation</w:t>
      </w:r>
      <w:r>
        <w:rPr>
          <w:rFonts w:ascii="Times New Roman" w:hAnsi="Times New Roman" w:cs="Times New Roman"/>
          <w:sz w:val="24"/>
        </w:rPr>
        <w:t xml:space="preserve"> de taille </w:t>
      </w:r>
      <m:oMath>
        <m:r>
          <w:rPr>
            <w:rFonts w:ascii="Cambria Math" w:hAnsi="Cambria Math" w:cs="Times New Roman"/>
            <w:sz w:val="24"/>
          </w:rPr>
          <m:t>n*</m:t>
        </m:r>
        <m:sSub>
          <m:sSubPr>
            <m:ctrlPr>
              <w:rPr>
                <w:rFonts w:ascii="Cambria Math" w:hAnsi="Cambria Math" w:cs="Times New Roman"/>
                <w:i/>
                <w:sz w:val="24"/>
              </w:rPr>
            </m:ctrlPr>
          </m:sSubPr>
          <m:e>
            <m:r>
              <w:rPr>
                <w:rFonts w:ascii="Cambria Math" w:hAnsi="Cambria Math" w:cs="Times New Roman"/>
                <w:sz w:val="24"/>
              </w:rPr>
              <m:t>n</m:t>
            </m:r>
          </m:e>
          <m:sub>
            <m:r>
              <w:rPr>
                <w:rFonts w:ascii="Cambria Math" w:hAnsi="Cambria Math" w:cs="Times New Roman"/>
                <w:sz w:val="24"/>
              </w:rPr>
              <m:t>l</m:t>
            </m:r>
          </m:sub>
        </m:sSub>
      </m:oMath>
      <w:r>
        <w:rPr>
          <w:rFonts w:ascii="Times New Roman" w:hAnsi="Times New Roman" w:cs="Times New Roman"/>
          <w:sz w:val="24"/>
        </w:rPr>
        <w:t xml:space="preserve"> et </w:t>
      </w:r>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l</m:t>
            </m:r>
          </m:sub>
        </m:sSub>
      </m:oMath>
      <w:r>
        <w:rPr>
          <w:rFonts w:ascii="Times New Roman" w:hAnsi="Times New Roman" w:cs="Times New Roman"/>
          <w:sz w:val="24"/>
        </w:rPr>
        <w:t xml:space="preserve"> est la </w:t>
      </w:r>
      <w:r w:rsidR="00B15941">
        <w:rPr>
          <w:rFonts w:ascii="Times New Roman" w:hAnsi="Times New Roman" w:cs="Times New Roman"/>
          <w:sz w:val="24"/>
        </w:rPr>
        <w:t>différence</w:t>
      </w:r>
      <w:r>
        <w:rPr>
          <w:rFonts w:ascii="Times New Roman" w:hAnsi="Times New Roman" w:cs="Times New Roman"/>
          <w:sz w:val="24"/>
        </w:rPr>
        <w:t xml:space="preserve"> entre la vraie valeur de la </w:t>
      </w:r>
      <w:r w:rsidR="00B15941">
        <w:rPr>
          <w:rFonts w:ascii="Times New Roman" w:hAnsi="Times New Roman" w:cs="Times New Roman"/>
          <w:sz w:val="24"/>
        </w:rPr>
        <w:t>série</w:t>
      </w:r>
      <w:r>
        <w:rPr>
          <w:rFonts w:ascii="Times New Roman" w:hAnsi="Times New Roman" w:cs="Times New Roman"/>
          <w:sz w:val="24"/>
        </w:rPr>
        <w:t xml:space="preserve"> </w:t>
      </w:r>
      <m:oMath>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l</m:t>
            </m:r>
          </m:sub>
        </m:sSub>
      </m:oMath>
      <w:r>
        <w:rPr>
          <w:rFonts w:ascii="Times New Roman" w:hAnsi="Times New Roman" w:cs="Times New Roman"/>
          <w:sz w:val="24"/>
        </w:rPr>
        <w:t xml:space="preserve"> et la </w:t>
      </w:r>
      <w:r w:rsidR="00B15941">
        <w:rPr>
          <w:rFonts w:ascii="Times New Roman" w:hAnsi="Times New Roman" w:cs="Times New Roman"/>
          <w:sz w:val="24"/>
        </w:rPr>
        <w:t>série</w:t>
      </w:r>
      <w:r>
        <w:rPr>
          <w:rFonts w:ascii="Times New Roman" w:hAnsi="Times New Roman" w:cs="Times New Roman"/>
          <w:sz w:val="24"/>
        </w:rPr>
        <w:t xml:space="preserve"> </w:t>
      </w:r>
      <w:r w:rsidR="00B15941">
        <w:rPr>
          <w:rFonts w:ascii="Times New Roman" w:hAnsi="Times New Roman" w:cs="Times New Roman"/>
          <w:sz w:val="24"/>
        </w:rPr>
        <w:t>préalablement</w:t>
      </w:r>
      <w:r>
        <w:rPr>
          <w:rFonts w:ascii="Times New Roman" w:hAnsi="Times New Roman" w:cs="Times New Roman"/>
          <w:sz w:val="24"/>
        </w:rPr>
        <w:t xml:space="preserve"> utilisée p. Ainsi, </w:t>
      </w:r>
    </w:p>
    <w:p w14:paraId="1595114F" w14:textId="15346374" w:rsidR="00782352" w:rsidRDefault="000C4BE8" w:rsidP="00782352">
      <w:pPr>
        <w:jc w:val="center"/>
        <w:rPr>
          <w:rFonts w:ascii="Times New Roman" w:hAnsi="Times New Roman" w:cs="Times New Roman"/>
          <w:sz w:val="24"/>
        </w:rPr>
      </w:pPr>
      <m:oMath>
        <m:sSub>
          <m:sSubPr>
            <m:ctrlPr>
              <w:rPr>
                <w:rFonts w:ascii="Cambria Math" w:hAnsi="Cambria Math" w:cs="Times New Roman"/>
                <w:i/>
                <w:sz w:val="24"/>
              </w:rPr>
            </m:ctrlPr>
          </m:sSubPr>
          <m:e>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l</m:t>
                </m:r>
              </m:sub>
            </m:sSub>
            <m:r>
              <w:rPr>
                <w:rFonts w:ascii="Cambria Math" w:hAnsi="Cambria Math" w:cs="Times New Roman"/>
                <w:sz w:val="24"/>
              </w:rPr>
              <m:t>≡y</m:t>
            </m:r>
          </m:e>
          <m:sub>
            <m:r>
              <w:rPr>
                <w:rFonts w:ascii="Cambria Math" w:hAnsi="Cambria Math" w:cs="Times New Roman"/>
                <w:sz w:val="24"/>
              </w:rPr>
              <m:t>l</m:t>
            </m:r>
          </m:sub>
        </m:sSub>
        <m:r>
          <w:rPr>
            <w:rFonts w:ascii="Cambria Math" w:hAnsi="Cambria Math" w:cs="Times New Roman"/>
            <w:sz w:val="24"/>
          </w:rPr>
          <m:t>-Cp</m:t>
        </m:r>
      </m:oMath>
      <w:r w:rsidR="00782352">
        <w:rPr>
          <w:rFonts w:ascii="Times New Roman" w:hAnsi="Times New Roman" w:cs="Times New Roman"/>
          <w:sz w:val="24"/>
        </w:rPr>
        <w:t xml:space="preserve"> (2)</w:t>
      </w:r>
    </w:p>
    <w:p w14:paraId="12C5CAE2" w14:textId="77777777" w:rsidR="00782352" w:rsidRPr="00477772" w:rsidRDefault="00782352" w:rsidP="00477772">
      <w:pPr>
        <w:jc w:val="both"/>
        <w:rPr>
          <w:rFonts w:ascii="Times New Roman" w:hAnsi="Times New Roman" w:cs="Times New Roman"/>
          <w:sz w:val="24"/>
        </w:rPr>
      </w:pPr>
      <w:r w:rsidRPr="00477772">
        <w:rPr>
          <w:rFonts w:ascii="Times New Roman" w:hAnsi="Times New Roman" w:cs="Times New Roman"/>
          <w:sz w:val="24"/>
        </w:rPr>
        <w:t>Avec C une matrice de conversion de taille</w:t>
      </w:r>
      <m:oMath>
        <m:sSub>
          <m:sSubPr>
            <m:ctrlPr>
              <w:rPr>
                <w:rFonts w:ascii="Cambria Math" w:hAnsi="Cambria Math" w:cs="Times New Roman"/>
                <w:i/>
                <w:sz w:val="24"/>
              </w:rPr>
            </m:ctrlPr>
          </m:sSubPr>
          <m:e>
            <m:r>
              <w:rPr>
                <w:rFonts w:ascii="Cambria Math" w:hAnsi="Cambria Math" w:cs="Times New Roman"/>
                <w:sz w:val="24"/>
              </w:rPr>
              <m:t xml:space="preserve"> n</m:t>
            </m:r>
          </m:e>
          <m:sub>
            <m:r>
              <w:rPr>
                <w:rFonts w:ascii="Cambria Math" w:hAnsi="Cambria Math" w:cs="Times New Roman"/>
                <w:sz w:val="24"/>
              </w:rPr>
              <m:t>l</m:t>
            </m:r>
          </m:sub>
        </m:sSub>
        <m:r>
          <w:rPr>
            <w:rFonts w:ascii="Cambria Math" w:hAnsi="Cambria Math" w:cs="Times New Roman"/>
            <w:sz w:val="24"/>
          </w:rPr>
          <m:t>*n</m:t>
        </m:r>
      </m:oMath>
      <w:r w:rsidRPr="00477772">
        <w:rPr>
          <w:rFonts w:ascii="Times New Roman" w:hAnsi="Times New Roman" w:cs="Times New Roman"/>
          <w:sz w:val="24"/>
        </w:rPr>
        <w:t xml:space="preserve">. </w:t>
      </w:r>
    </w:p>
    <w:p w14:paraId="49050902" w14:textId="1EC64FC2" w:rsidR="00461425" w:rsidRPr="00477772" w:rsidRDefault="00461425" w:rsidP="00477772">
      <w:pPr>
        <w:jc w:val="both"/>
        <w:rPr>
          <w:rFonts w:ascii="Times New Roman" w:hAnsi="Times New Roman" w:cs="Times New Roman"/>
          <w:sz w:val="24"/>
        </w:rPr>
      </w:pPr>
      <w:r w:rsidRPr="00477772">
        <w:rPr>
          <w:rFonts w:ascii="Times New Roman" w:hAnsi="Times New Roman" w:cs="Times New Roman"/>
          <w:sz w:val="24"/>
        </w:rPr>
        <w:t xml:space="preserve">Toutes les </w:t>
      </w:r>
      <w:r w:rsidR="00B15941" w:rsidRPr="00477772">
        <w:rPr>
          <w:rFonts w:ascii="Times New Roman" w:hAnsi="Times New Roman" w:cs="Times New Roman"/>
          <w:sz w:val="24"/>
        </w:rPr>
        <w:t>méthodes</w:t>
      </w:r>
      <w:r w:rsidRPr="00477772">
        <w:rPr>
          <w:rFonts w:ascii="Times New Roman" w:hAnsi="Times New Roman" w:cs="Times New Roman"/>
          <w:sz w:val="24"/>
        </w:rPr>
        <w:t xml:space="preserve"> </w:t>
      </w:r>
      <w:r w:rsidR="003A6065">
        <w:rPr>
          <w:rFonts w:ascii="Times New Roman" w:hAnsi="Times New Roman" w:cs="Times New Roman"/>
          <w:sz w:val="24"/>
        </w:rPr>
        <w:t xml:space="preserve">citées précédemment </w:t>
      </w:r>
      <w:r w:rsidRPr="00722D8E">
        <w:rPr>
          <w:rFonts w:ascii="Times New Roman" w:hAnsi="Times New Roman" w:cs="Times New Roman"/>
          <w:sz w:val="24"/>
        </w:rPr>
        <w:t>s’attachent</w:t>
      </w:r>
      <w:r w:rsidRPr="00477772">
        <w:rPr>
          <w:rFonts w:ascii="Times New Roman" w:hAnsi="Times New Roman" w:cs="Times New Roman"/>
          <w:sz w:val="24"/>
        </w:rPr>
        <w:t xml:space="preserve"> à estimer (1) mais font des </w:t>
      </w:r>
      <w:r w:rsidR="00B15941" w:rsidRPr="00477772">
        <w:rPr>
          <w:rFonts w:ascii="Times New Roman" w:hAnsi="Times New Roman" w:cs="Times New Roman"/>
          <w:sz w:val="24"/>
        </w:rPr>
        <w:t>hypothèses</w:t>
      </w:r>
      <w:r w:rsidRPr="00477772">
        <w:rPr>
          <w:rFonts w:ascii="Times New Roman" w:hAnsi="Times New Roman" w:cs="Times New Roman"/>
          <w:sz w:val="24"/>
        </w:rPr>
        <w:t xml:space="preserve"> différentes quant à p et </w:t>
      </w:r>
      <w:r w:rsidR="003A6065">
        <w:rPr>
          <w:rFonts w:ascii="Times New Roman" w:hAnsi="Times New Roman" w:cs="Times New Roman"/>
          <w:sz w:val="24"/>
        </w:rPr>
        <w:t xml:space="preserve">à </w:t>
      </w:r>
      <w:r w:rsidRPr="00477772">
        <w:rPr>
          <w:rFonts w:ascii="Times New Roman" w:hAnsi="Times New Roman" w:cs="Times New Roman"/>
          <w:sz w:val="24"/>
        </w:rPr>
        <w:t xml:space="preserve">la matrice D. </w:t>
      </w:r>
    </w:p>
    <w:p w14:paraId="6C41C957" w14:textId="17178F08" w:rsidR="00CF442C" w:rsidRDefault="00461425" w:rsidP="004750E8">
      <w:pPr>
        <w:jc w:val="both"/>
        <w:rPr>
          <w:rFonts w:ascii="Times New Roman" w:hAnsi="Times New Roman" w:cs="Times New Roman"/>
          <w:sz w:val="24"/>
        </w:rPr>
      </w:pPr>
      <w:r w:rsidRPr="00477772">
        <w:rPr>
          <w:rFonts w:ascii="Times New Roman" w:hAnsi="Times New Roman" w:cs="Times New Roman"/>
          <w:sz w:val="24"/>
        </w:rPr>
        <w:t xml:space="preserve">Pour mettre en </w:t>
      </w:r>
      <w:r w:rsidR="00A33C19" w:rsidRPr="00477772">
        <w:rPr>
          <w:rFonts w:ascii="Times New Roman" w:hAnsi="Times New Roman" w:cs="Times New Roman"/>
          <w:sz w:val="24"/>
        </w:rPr>
        <w:t>œuvre</w:t>
      </w:r>
      <w:r w:rsidRPr="00477772">
        <w:rPr>
          <w:rFonts w:ascii="Times New Roman" w:hAnsi="Times New Roman" w:cs="Times New Roman"/>
          <w:sz w:val="24"/>
        </w:rPr>
        <w:t xml:space="preserve"> la </w:t>
      </w:r>
      <w:r w:rsidR="00A33C19" w:rsidRPr="00477772">
        <w:rPr>
          <w:rFonts w:ascii="Times New Roman" w:hAnsi="Times New Roman" w:cs="Times New Roman"/>
          <w:sz w:val="24"/>
        </w:rPr>
        <w:t>désagrégation</w:t>
      </w:r>
      <w:r w:rsidRPr="00477772">
        <w:rPr>
          <w:rFonts w:ascii="Times New Roman" w:hAnsi="Times New Roman" w:cs="Times New Roman"/>
          <w:sz w:val="24"/>
        </w:rPr>
        <w:t xml:space="preserve">, nous utiliserons le package </w:t>
      </w:r>
      <w:proofErr w:type="spellStart"/>
      <w:r w:rsidR="00CF442C" w:rsidRPr="00477772">
        <w:rPr>
          <w:rFonts w:ascii="Times New Roman" w:hAnsi="Times New Roman" w:cs="Times New Roman"/>
          <w:sz w:val="24"/>
        </w:rPr>
        <w:t>tempdisagg</w:t>
      </w:r>
      <w:proofErr w:type="spellEnd"/>
      <w:r w:rsidR="00254E0E">
        <w:rPr>
          <w:rFonts w:ascii="Times New Roman" w:hAnsi="Times New Roman" w:cs="Times New Roman"/>
          <w:sz w:val="24"/>
        </w:rPr>
        <w:t xml:space="preserve"> sur </w:t>
      </w:r>
      <w:proofErr w:type="spellStart"/>
      <w:r w:rsidR="00254E0E">
        <w:rPr>
          <w:rFonts w:ascii="Times New Roman" w:hAnsi="Times New Roman" w:cs="Times New Roman"/>
          <w:sz w:val="24"/>
        </w:rPr>
        <w:t>RStudio</w:t>
      </w:r>
      <w:proofErr w:type="spellEnd"/>
      <w:r w:rsidR="00CF442C" w:rsidRPr="00477772">
        <w:rPr>
          <w:rFonts w:ascii="Times New Roman" w:hAnsi="Times New Roman" w:cs="Times New Roman"/>
          <w:sz w:val="24"/>
        </w:rPr>
        <w:t xml:space="preserve">. </w:t>
      </w:r>
      <w:r w:rsidRPr="00477772">
        <w:rPr>
          <w:rFonts w:ascii="Times New Roman" w:hAnsi="Times New Roman" w:cs="Times New Roman"/>
          <w:sz w:val="24"/>
        </w:rPr>
        <w:t xml:space="preserve">Nous avons </w:t>
      </w:r>
      <w:r w:rsidR="00254E0E">
        <w:rPr>
          <w:rFonts w:ascii="Times New Roman" w:hAnsi="Times New Roman" w:cs="Times New Roman"/>
          <w:sz w:val="24"/>
        </w:rPr>
        <w:t>porté notre choix sur</w:t>
      </w:r>
      <w:r w:rsidRPr="00477772">
        <w:rPr>
          <w:rFonts w:ascii="Times New Roman" w:hAnsi="Times New Roman" w:cs="Times New Roman"/>
          <w:sz w:val="24"/>
        </w:rPr>
        <w:t xml:space="preserve"> la </w:t>
      </w:r>
      <w:r w:rsidR="00A33C19" w:rsidRPr="00477772">
        <w:rPr>
          <w:rFonts w:ascii="Times New Roman" w:hAnsi="Times New Roman" w:cs="Times New Roman"/>
          <w:sz w:val="24"/>
        </w:rPr>
        <w:t>méthode</w:t>
      </w:r>
      <w:r w:rsidRPr="00477772">
        <w:rPr>
          <w:rFonts w:ascii="Times New Roman" w:hAnsi="Times New Roman" w:cs="Times New Roman"/>
          <w:sz w:val="24"/>
        </w:rPr>
        <w:t xml:space="preserve"> Denton-Cholette car nous voulons </w:t>
      </w:r>
      <w:r w:rsidR="00A33C19" w:rsidRPr="00477772">
        <w:rPr>
          <w:rFonts w:ascii="Times New Roman" w:hAnsi="Times New Roman" w:cs="Times New Roman"/>
          <w:sz w:val="24"/>
        </w:rPr>
        <w:t>préserver</w:t>
      </w:r>
      <w:r w:rsidRPr="00477772">
        <w:rPr>
          <w:rFonts w:ascii="Times New Roman" w:hAnsi="Times New Roman" w:cs="Times New Roman"/>
          <w:sz w:val="24"/>
        </w:rPr>
        <w:t xml:space="preserve"> à la fois le mouvement de la </w:t>
      </w:r>
      <w:r w:rsidR="00A33C19" w:rsidRPr="00477772">
        <w:rPr>
          <w:rFonts w:ascii="Times New Roman" w:hAnsi="Times New Roman" w:cs="Times New Roman"/>
          <w:sz w:val="24"/>
        </w:rPr>
        <w:t>série</w:t>
      </w:r>
      <w:r w:rsidRPr="00477772">
        <w:rPr>
          <w:rFonts w:ascii="Times New Roman" w:hAnsi="Times New Roman" w:cs="Times New Roman"/>
          <w:sz w:val="24"/>
        </w:rPr>
        <w:t xml:space="preserve"> ainsi que les structures internes telles que la moyenne et la variance.</w:t>
      </w:r>
      <w:r w:rsidR="00B15941" w:rsidRPr="00477772">
        <w:rPr>
          <w:rFonts w:ascii="Times New Roman" w:hAnsi="Times New Roman" w:cs="Times New Roman"/>
          <w:sz w:val="24"/>
        </w:rPr>
        <w:t xml:space="preserve"> Dans celle-ci,</w:t>
      </w:r>
      <w:r w:rsidR="00254E0E">
        <w:rPr>
          <w:rFonts w:ascii="Times New Roman" w:hAnsi="Times New Roman" w:cs="Times New Roman"/>
          <w:sz w:val="24"/>
        </w:rPr>
        <w:t xml:space="preserve"> nous </w:t>
      </w:r>
      <w:r w:rsidR="006C16A3">
        <w:rPr>
          <w:rFonts w:ascii="Times New Roman" w:hAnsi="Times New Roman" w:cs="Times New Roman"/>
          <w:sz w:val="24"/>
        </w:rPr>
        <w:t>avons</w:t>
      </w:r>
      <m:oMath>
        <m:r>
          <w:rPr>
            <w:rFonts w:ascii="Cambria Math" w:hAnsi="Cambria Math" w:cs="Times New Roman"/>
            <w:sz w:val="24"/>
          </w:rPr>
          <m:t xml:space="preserve"> p=X</m:t>
        </m:r>
      </m:oMath>
      <w:r w:rsidR="00AB05A2">
        <w:rPr>
          <w:rFonts w:ascii="Times New Roman" w:hAnsi="Times New Roman" w:cs="Times New Roman"/>
          <w:sz w:val="24"/>
        </w:rPr>
        <w:t>.</w:t>
      </w:r>
      <w:r w:rsidRPr="00477772">
        <w:rPr>
          <w:rFonts w:ascii="Times New Roman" w:hAnsi="Times New Roman" w:cs="Times New Roman"/>
          <w:sz w:val="24"/>
        </w:rPr>
        <w:t xml:space="preserve"> Nous aurions pu choisir les </w:t>
      </w:r>
      <w:r w:rsidR="00AB05A2" w:rsidRPr="00477772">
        <w:rPr>
          <w:rFonts w:ascii="Times New Roman" w:hAnsi="Times New Roman" w:cs="Times New Roman"/>
          <w:sz w:val="24"/>
        </w:rPr>
        <w:t>méthodes</w:t>
      </w:r>
      <w:r w:rsidRPr="00477772">
        <w:rPr>
          <w:rFonts w:ascii="Times New Roman" w:hAnsi="Times New Roman" w:cs="Times New Roman"/>
          <w:sz w:val="24"/>
        </w:rPr>
        <w:t xml:space="preserve"> relatives aux </w:t>
      </w:r>
      <w:r w:rsidR="006C16A3" w:rsidRPr="00477772">
        <w:rPr>
          <w:rFonts w:ascii="Times New Roman" w:hAnsi="Times New Roman" w:cs="Times New Roman"/>
          <w:sz w:val="24"/>
        </w:rPr>
        <w:t>séries</w:t>
      </w:r>
      <w:r w:rsidRPr="00477772">
        <w:rPr>
          <w:rFonts w:ascii="Times New Roman" w:hAnsi="Times New Roman" w:cs="Times New Roman"/>
          <w:sz w:val="24"/>
        </w:rPr>
        <w:t xml:space="preserve"> non </w:t>
      </w:r>
      <w:r w:rsidR="006C16A3" w:rsidRPr="00477772">
        <w:rPr>
          <w:rFonts w:ascii="Times New Roman" w:hAnsi="Times New Roman" w:cs="Times New Roman"/>
          <w:sz w:val="24"/>
        </w:rPr>
        <w:t>stationnaires</w:t>
      </w:r>
      <w:r w:rsidRPr="00477772">
        <w:rPr>
          <w:rFonts w:ascii="Times New Roman" w:hAnsi="Times New Roman" w:cs="Times New Roman"/>
          <w:sz w:val="24"/>
        </w:rPr>
        <w:t xml:space="preserve"> mais nous </w:t>
      </w:r>
      <w:r w:rsidR="00A33C19" w:rsidRPr="00477772">
        <w:rPr>
          <w:rFonts w:ascii="Times New Roman" w:hAnsi="Times New Roman" w:cs="Times New Roman"/>
          <w:sz w:val="24"/>
        </w:rPr>
        <w:t>craignons</w:t>
      </w:r>
      <w:r w:rsidRPr="00477772">
        <w:rPr>
          <w:rFonts w:ascii="Times New Roman" w:hAnsi="Times New Roman" w:cs="Times New Roman"/>
          <w:sz w:val="24"/>
        </w:rPr>
        <w:t xml:space="preserve"> que les structures de stationnarité ne change</w:t>
      </w:r>
      <w:r w:rsidR="00AB05A2">
        <w:rPr>
          <w:rFonts w:ascii="Times New Roman" w:hAnsi="Times New Roman" w:cs="Times New Roman"/>
          <w:sz w:val="24"/>
        </w:rPr>
        <w:t>nt</w:t>
      </w:r>
      <w:r w:rsidRPr="00477772">
        <w:rPr>
          <w:rFonts w:ascii="Times New Roman" w:hAnsi="Times New Roman" w:cs="Times New Roman"/>
          <w:sz w:val="24"/>
        </w:rPr>
        <w:t xml:space="preserve">, ce qui pourrait compliquer l’analyse et </w:t>
      </w:r>
      <w:r w:rsidR="00A33C19" w:rsidRPr="00477772">
        <w:rPr>
          <w:rFonts w:ascii="Times New Roman" w:hAnsi="Times New Roman" w:cs="Times New Roman"/>
          <w:sz w:val="24"/>
        </w:rPr>
        <w:t>hypothéquer</w:t>
      </w:r>
      <w:r>
        <w:rPr>
          <w:rFonts w:ascii="Times New Roman" w:hAnsi="Times New Roman" w:cs="Times New Roman"/>
          <w:sz w:val="24"/>
        </w:rPr>
        <w:t xml:space="preserve"> l’ARDL. </w:t>
      </w:r>
    </w:p>
    <w:p w14:paraId="7DD6F69A" w14:textId="3ABF63D6" w:rsidR="008D4E99" w:rsidRDefault="008D4E99" w:rsidP="004750E8">
      <w:pPr>
        <w:jc w:val="both"/>
        <w:rPr>
          <w:rFonts w:ascii="Times New Roman" w:hAnsi="Times New Roman" w:cs="Times New Roman"/>
          <w:sz w:val="24"/>
        </w:rPr>
      </w:pPr>
    </w:p>
    <w:p w14:paraId="5B65E62D" w14:textId="6F3C3997" w:rsidR="008D4E99" w:rsidRDefault="008D4E99" w:rsidP="004750E8">
      <w:pPr>
        <w:jc w:val="both"/>
        <w:rPr>
          <w:rFonts w:ascii="Times New Roman" w:hAnsi="Times New Roman" w:cs="Times New Roman"/>
          <w:sz w:val="24"/>
        </w:rPr>
      </w:pPr>
    </w:p>
    <w:p w14:paraId="44A29FD0" w14:textId="2DD9D55E" w:rsidR="008D4E99" w:rsidRDefault="008D4E99" w:rsidP="004750E8">
      <w:pPr>
        <w:jc w:val="both"/>
        <w:rPr>
          <w:rFonts w:ascii="Times New Roman" w:hAnsi="Times New Roman" w:cs="Times New Roman"/>
          <w:sz w:val="24"/>
        </w:rPr>
      </w:pPr>
    </w:p>
    <w:p w14:paraId="18DB32B8" w14:textId="77777777" w:rsidR="008D4E99" w:rsidRDefault="008D4E99" w:rsidP="004750E8">
      <w:pPr>
        <w:jc w:val="both"/>
        <w:rPr>
          <w:rFonts w:ascii="Times New Roman" w:hAnsi="Times New Roman" w:cs="Times New Roman"/>
          <w:sz w:val="24"/>
        </w:rPr>
      </w:pPr>
    </w:p>
    <w:p w14:paraId="03CF377C" w14:textId="77777777" w:rsidR="003817B7" w:rsidRPr="00E55A18" w:rsidRDefault="003817B7" w:rsidP="00477772">
      <w:pPr>
        <w:pStyle w:val="Paragraphedeliste"/>
        <w:numPr>
          <w:ilvl w:val="0"/>
          <w:numId w:val="4"/>
        </w:numPr>
        <w:jc w:val="both"/>
        <w:rPr>
          <w:rFonts w:ascii="Times New Roman" w:hAnsi="Times New Roman" w:cs="Times New Roman"/>
          <w:b/>
          <w:sz w:val="24"/>
          <w:szCs w:val="28"/>
        </w:rPr>
      </w:pPr>
      <w:r w:rsidRPr="00E55A18">
        <w:rPr>
          <w:rFonts w:ascii="Times New Roman" w:hAnsi="Times New Roman" w:cs="Times New Roman"/>
          <w:b/>
          <w:sz w:val="24"/>
          <w:szCs w:val="28"/>
        </w:rPr>
        <w:lastRenderedPageBreak/>
        <w:t>Stationnarité des nouvelles séries</w:t>
      </w:r>
    </w:p>
    <w:p w14:paraId="3F90520F" w14:textId="77777777" w:rsidR="007546F2" w:rsidRDefault="003817B7" w:rsidP="003817B7">
      <w:pPr>
        <w:jc w:val="both"/>
        <w:rPr>
          <w:rFonts w:ascii="Times New Roman" w:hAnsi="Times New Roman" w:cs="Times New Roman"/>
          <w:sz w:val="24"/>
        </w:rPr>
      </w:pPr>
      <w:r>
        <w:rPr>
          <w:rFonts w:ascii="Times New Roman" w:hAnsi="Times New Roman" w:cs="Times New Roman"/>
          <w:sz w:val="24"/>
        </w:rPr>
        <w:t xml:space="preserve">Puisque les </w:t>
      </w:r>
      <w:r w:rsidR="00410E74">
        <w:rPr>
          <w:rFonts w:ascii="Times New Roman" w:hAnsi="Times New Roman" w:cs="Times New Roman"/>
          <w:sz w:val="24"/>
        </w:rPr>
        <w:t>séries</w:t>
      </w:r>
      <w:r>
        <w:rPr>
          <w:rFonts w:ascii="Times New Roman" w:hAnsi="Times New Roman" w:cs="Times New Roman"/>
          <w:sz w:val="24"/>
        </w:rPr>
        <w:t xml:space="preserve"> gardent le </w:t>
      </w:r>
      <w:r w:rsidR="00410E74">
        <w:rPr>
          <w:rFonts w:ascii="Times New Roman" w:hAnsi="Times New Roman" w:cs="Times New Roman"/>
          <w:sz w:val="24"/>
        </w:rPr>
        <w:t>même</w:t>
      </w:r>
      <w:r>
        <w:rPr>
          <w:rFonts w:ascii="Times New Roman" w:hAnsi="Times New Roman" w:cs="Times New Roman"/>
          <w:sz w:val="24"/>
        </w:rPr>
        <w:t xml:space="preserve"> niveau de variation et la </w:t>
      </w:r>
      <w:r w:rsidR="00410E74">
        <w:rPr>
          <w:rFonts w:ascii="Times New Roman" w:hAnsi="Times New Roman" w:cs="Times New Roman"/>
          <w:sz w:val="24"/>
        </w:rPr>
        <w:t>même</w:t>
      </w:r>
      <w:r>
        <w:rPr>
          <w:rFonts w:ascii="Times New Roman" w:hAnsi="Times New Roman" w:cs="Times New Roman"/>
          <w:sz w:val="24"/>
        </w:rPr>
        <w:t xml:space="preserve"> moyenne, nous devons trouver les </w:t>
      </w:r>
      <w:r w:rsidR="00410E74">
        <w:rPr>
          <w:rFonts w:ascii="Times New Roman" w:hAnsi="Times New Roman" w:cs="Times New Roman"/>
          <w:sz w:val="24"/>
        </w:rPr>
        <w:t>mêmes</w:t>
      </w:r>
      <w:r>
        <w:rPr>
          <w:rFonts w:ascii="Times New Roman" w:hAnsi="Times New Roman" w:cs="Times New Roman"/>
          <w:sz w:val="24"/>
        </w:rPr>
        <w:t xml:space="preserve"> </w:t>
      </w:r>
      <w:r w:rsidR="00410E74">
        <w:rPr>
          <w:rFonts w:ascii="Times New Roman" w:hAnsi="Times New Roman" w:cs="Times New Roman"/>
          <w:sz w:val="24"/>
        </w:rPr>
        <w:t>résultats</w:t>
      </w:r>
      <w:r>
        <w:rPr>
          <w:rFonts w:ascii="Times New Roman" w:hAnsi="Times New Roman" w:cs="Times New Roman"/>
          <w:sz w:val="24"/>
        </w:rPr>
        <w:t xml:space="preserve"> dans l’</w:t>
      </w:r>
      <w:r w:rsidR="00410E74">
        <w:rPr>
          <w:rFonts w:ascii="Times New Roman" w:hAnsi="Times New Roman" w:cs="Times New Roman"/>
          <w:sz w:val="24"/>
        </w:rPr>
        <w:t>étude</w:t>
      </w:r>
      <w:r>
        <w:rPr>
          <w:rFonts w:ascii="Times New Roman" w:hAnsi="Times New Roman" w:cs="Times New Roman"/>
          <w:sz w:val="24"/>
        </w:rPr>
        <w:t xml:space="preserve"> de la stationnarité. Nous effectuons cependant les tests pour confirmer les </w:t>
      </w:r>
      <w:r w:rsidR="00410E74">
        <w:rPr>
          <w:rFonts w:ascii="Times New Roman" w:hAnsi="Times New Roman" w:cs="Times New Roman"/>
          <w:sz w:val="24"/>
        </w:rPr>
        <w:t>résultats</w:t>
      </w:r>
      <w:r>
        <w:rPr>
          <w:rFonts w:ascii="Times New Roman" w:hAnsi="Times New Roman" w:cs="Times New Roman"/>
          <w:sz w:val="24"/>
        </w:rPr>
        <w:t xml:space="preserve">. </w:t>
      </w:r>
    </w:p>
    <w:p w14:paraId="1EA8E444" w14:textId="51F8E6C3" w:rsidR="003817B7" w:rsidRPr="00CF442C" w:rsidRDefault="003817B7" w:rsidP="003817B7">
      <w:pPr>
        <w:jc w:val="both"/>
        <w:rPr>
          <w:rFonts w:ascii="Times New Roman" w:hAnsi="Times New Roman" w:cs="Times New Roman"/>
          <w:b/>
          <w:sz w:val="28"/>
        </w:rPr>
      </w:pPr>
      <w:r w:rsidRPr="00CF442C">
        <w:rPr>
          <w:rFonts w:ascii="Times New Roman" w:hAnsi="Times New Roman" w:cs="Times New Roman"/>
          <w:b/>
          <w:sz w:val="28"/>
        </w:rPr>
        <w:t xml:space="preserve"> </w:t>
      </w:r>
      <w:r w:rsidR="00CF442C" w:rsidRPr="00CF442C">
        <w:rPr>
          <w:rFonts w:ascii="Times New Roman" w:hAnsi="Times New Roman" w:cs="Times New Roman"/>
          <w:b/>
          <w:color w:val="000000"/>
          <w:sz w:val="24"/>
          <w:szCs w:val="20"/>
          <w:lang w:val="fr-CA"/>
        </w:rPr>
        <w:t>Tableau 5: Résultats des tests de Stationnarité pour les données mensuelles</w:t>
      </w:r>
    </w:p>
    <w:tbl>
      <w:tblPr>
        <w:tblStyle w:val="Tableausimple2"/>
        <w:tblW w:w="9380" w:type="dxa"/>
        <w:tblLayout w:type="fixed"/>
        <w:tblLook w:val="04A0" w:firstRow="1" w:lastRow="0" w:firstColumn="1" w:lastColumn="0" w:noHBand="0" w:noVBand="1"/>
      </w:tblPr>
      <w:tblGrid>
        <w:gridCol w:w="2160"/>
        <w:gridCol w:w="800"/>
        <w:gridCol w:w="800"/>
        <w:gridCol w:w="920"/>
        <w:gridCol w:w="900"/>
        <w:gridCol w:w="900"/>
        <w:gridCol w:w="830"/>
        <w:gridCol w:w="2070"/>
      </w:tblGrid>
      <w:tr w:rsidR="00410E74" w:rsidRPr="005B7E42" w14:paraId="4ABD5059" w14:textId="77777777" w:rsidTr="007546F2">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160" w:type="dxa"/>
            <w:vMerge w:val="restart"/>
          </w:tcPr>
          <w:p w14:paraId="59E98EAE" w14:textId="77777777" w:rsidR="003817B7" w:rsidRPr="005B7E42" w:rsidRDefault="003817B7" w:rsidP="00AB7E94">
            <w:pPr>
              <w:autoSpaceDE w:val="0"/>
              <w:adjustRightInd w:val="0"/>
              <w:spacing w:line="360" w:lineRule="auto"/>
              <w:jc w:val="center"/>
              <w:rPr>
                <w:rFonts w:ascii="Times New Roman" w:hAnsi="Times New Roman" w:cs="Times New Roman"/>
                <w:b w:val="0"/>
                <w:color w:val="000000"/>
                <w:sz w:val="20"/>
                <w:szCs w:val="20"/>
                <w:lang w:val="fr-CA"/>
              </w:rPr>
            </w:pPr>
            <w:r w:rsidRPr="005B7E42">
              <w:rPr>
                <w:rFonts w:ascii="Times New Roman" w:hAnsi="Times New Roman" w:cs="Times New Roman"/>
                <w:b w:val="0"/>
                <w:color w:val="000000"/>
                <w:sz w:val="20"/>
                <w:szCs w:val="20"/>
                <w:lang w:val="fr-CA"/>
              </w:rPr>
              <w:t>Variables</w:t>
            </w:r>
          </w:p>
        </w:tc>
        <w:tc>
          <w:tcPr>
            <w:tcW w:w="2520" w:type="dxa"/>
            <w:gridSpan w:val="3"/>
          </w:tcPr>
          <w:p w14:paraId="701393E8" w14:textId="77777777" w:rsidR="003817B7" w:rsidRPr="005B7E42" w:rsidRDefault="003817B7" w:rsidP="00AB7E94">
            <w:pPr>
              <w:autoSpaceDE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sz w:val="20"/>
                <w:szCs w:val="20"/>
                <w:lang w:val="fr-CA"/>
              </w:rPr>
            </w:pPr>
            <w:r w:rsidRPr="005B7E42">
              <w:rPr>
                <w:rFonts w:ascii="Times New Roman" w:hAnsi="Times New Roman" w:cs="Times New Roman"/>
                <w:b w:val="0"/>
                <w:color w:val="000000"/>
                <w:sz w:val="20"/>
                <w:szCs w:val="20"/>
                <w:lang w:val="fr-CA"/>
              </w:rPr>
              <w:t>Niveau</w:t>
            </w:r>
          </w:p>
        </w:tc>
        <w:tc>
          <w:tcPr>
            <w:tcW w:w="2630" w:type="dxa"/>
            <w:gridSpan w:val="3"/>
          </w:tcPr>
          <w:p w14:paraId="3A1E1E4C" w14:textId="77777777" w:rsidR="003817B7" w:rsidRPr="005B7E42" w:rsidRDefault="003817B7" w:rsidP="00AB7E94">
            <w:pPr>
              <w:autoSpaceDE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sz w:val="20"/>
                <w:szCs w:val="20"/>
                <w:lang w:val="fr-CA"/>
              </w:rPr>
            </w:pPr>
            <w:r w:rsidRPr="005B7E42">
              <w:rPr>
                <w:rFonts w:ascii="Times New Roman" w:hAnsi="Times New Roman" w:cs="Times New Roman"/>
                <w:b w:val="0"/>
                <w:color w:val="000000"/>
                <w:sz w:val="20"/>
                <w:szCs w:val="20"/>
                <w:lang w:val="fr-CA"/>
              </w:rPr>
              <w:t>Différence première</w:t>
            </w:r>
          </w:p>
        </w:tc>
        <w:tc>
          <w:tcPr>
            <w:tcW w:w="2070" w:type="dxa"/>
            <w:vMerge w:val="restart"/>
          </w:tcPr>
          <w:p w14:paraId="307D1C8E" w14:textId="77777777" w:rsidR="003817B7" w:rsidRPr="005B7E42" w:rsidRDefault="003817B7" w:rsidP="00AB7E94">
            <w:pPr>
              <w:autoSpaceDE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sz w:val="20"/>
                <w:szCs w:val="20"/>
                <w:lang w:val="fr-CA"/>
              </w:rPr>
            </w:pPr>
            <w:r w:rsidRPr="005B7E42">
              <w:rPr>
                <w:rFonts w:ascii="Times New Roman" w:hAnsi="Times New Roman" w:cs="Times New Roman"/>
                <w:b w:val="0"/>
                <w:color w:val="000000"/>
                <w:sz w:val="20"/>
                <w:szCs w:val="20"/>
                <w:lang w:val="fr-CA"/>
              </w:rPr>
              <w:t>Constat</w:t>
            </w:r>
          </w:p>
        </w:tc>
      </w:tr>
      <w:tr w:rsidR="00410E74" w:rsidRPr="005B7E42" w14:paraId="026FE4C1" w14:textId="77777777" w:rsidTr="007546F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160" w:type="dxa"/>
            <w:vMerge/>
          </w:tcPr>
          <w:p w14:paraId="5BC03B39" w14:textId="77777777" w:rsidR="003817B7" w:rsidRPr="005B7E42" w:rsidRDefault="003817B7" w:rsidP="00AB7E94">
            <w:pPr>
              <w:autoSpaceDE w:val="0"/>
              <w:adjustRightInd w:val="0"/>
              <w:spacing w:line="360" w:lineRule="auto"/>
              <w:jc w:val="center"/>
              <w:rPr>
                <w:rFonts w:ascii="Times New Roman" w:hAnsi="Times New Roman" w:cs="Times New Roman"/>
                <w:color w:val="000000"/>
                <w:sz w:val="20"/>
                <w:szCs w:val="20"/>
                <w:lang w:val="fr-CA"/>
              </w:rPr>
            </w:pPr>
          </w:p>
        </w:tc>
        <w:tc>
          <w:tcPr>
            <w:tcW w:w="800" w:type="dxa"/>
          </w:tcPr>
          <w:p w14:paraId="78ACF230" w14:textId="77777777" w:rsidR="003817B7" w:rsidRPr="005B7E42" w:rsidRDefault="003817B7" w:rsidP="00AB7E94">
            <w:pPr>
              <w:autoSpaceDE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fr-CA"/>
              </w:rPr>
            </w:pPr>
            <w:r w:rsidRPr="005B7E42">
              <w:rPr>
                <w:rFonts w:ascii="Times New Roman" w:hAnsi="Times New Roman" w:cs="Times New Roman"/>
                <w:color w:val="000000"/>
                <w:sz w:val="20"/>
                <w:szCs w:val="20"/>
                <w:lang w:val="fr-CA"/>
              </w:rPr>
              <w:t>ADF</w:t>
            </w:r>
          </w:p>
        </w:tc>
        <w:tc>
          <w:tcPr>
            <w:tcW w:w="800" w:type="dxa"/>
          </w:tcPr>
          <w:p w14:paraId="1DD41EA4" w14:textId="77777777" w:rsidR="003817B7" w:rsidRPr="005B7E42" w:rsidRDefault="003817B7" w:rsidP="00AB7E94">
            <w:pPr>
              <w:autoSpaceDE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fr-CA"/>
              </w:rPr>
            </w:pPr>
            <w:r>
              <w:rPr>
                <w:rFonts w:ascii="Times New Roman" w:hAnsi="Times New Roman" w:cs="Times New Roman"/>
                <w:color w:val="000000"/>
                <w:sz w:val="20"/>
                <w:szCs w:val="20"/>
                <w:lang w:val="fr-CA"/>
              </w:rPr>
              <w:t>PP</w:t>
            </w:r>
          </w:p>
        </w:tc>
        <w:tc>
          <w:tcPr>
            <w:tcW w:w="920" w:type="dxa"/>
          </w:tcPr>
          <w:p w14:paraId="6DA82F26" w14:textId="77777777" w:rsidR="003817B7" w:rsidRPr="005B7E42" w:rsidRDefault="003817B7" w:rsidP="00AB7E94">
            <w:pPr>
              <w:autoSpaceDE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fr-CA"/>
              </w:rPr>
            </w:pPr>
            <w:r>
              <w:rPr>
                <w:rFonts w:ascii="Times New Roman" w:hAnsi="Times New Roman" w:cs="Times New Roman"/>
                <w:color w:val="000000"/>
                <w:sz w:val="20"/>
                <w:szCs w:val="20"/>
                <w:lang w:val="fr-CA"/>
              </w:rPr>
              <w:t>KPSS</w:t>
            </w:r>
          </w:p>
        </w:tc>
        <w:tc>
          <w:tcPr>
            <w:tcW w:w="900" w:type="dxa"/>
          </w:tcPr>
          <w:p w14:paraId="6825C022" w14:textId="77777777" w:rsidR="003817B7" w:rsidRPr="005B7E42" w:rsidRDefault="003817B7" w:rsidP="00AB7E94">
            <w:pPr>
              <w:autoSpaceDE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fr-CA"/>
              </w:rPr>
            </w:pPr>
            <w:r w:rsidRPr="005B7E42">
              <w:rPr>
                <w:rFonts w:ascii="Times New Roman" w:hAnsi="Times New Roman" w:cs="Times New Roman"/>
                <w:color w:val="000000"/>
                <w:sz w:val="20"/>
                <w:szCs w:val="20"/>
                <w:lang w:val="fr-CA"/>
              </w:rPr>
              <w:t>ADF</w:t>
            </w:r>
          </w:p>
        </w:tc>
        <w:tc>
          <w:tcPr>
            <w:tcW w:w="900" w:type="dxa"/>
          </w:tcPr>
          <w:p w14:paraId="0B48D7F5" w14:textId="77777777" w:rsidR="003817B7" w:rsidRPr="005B7E42" w:rsidRDefault="003817B7" w:rsidP="00AB7E94">
            <w:pPr>
              <w:autoSpaceDE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fr-CA"/>
              </w:rPr>
            </w:pPr>
            <w:r>
              <w:rPr>
                <w:rFonts w:ascii="Times New Roman" w:hAnsi="Times New Roman" w:cs="Times New Roman"/>
                <w:color w:val="000000"/>
                <w:sz w:val="20"/>
                <w:szCs w:val="20"/>
                <w:lang w:val="fr-CA"/>
              </w:rPr>
              <w:t>PP</w:t>
            </w:r>
          </w:p>
        </w:tc>
        <w:tc>
          <w:tcPr>
            <w:tcW w:w="830" w:type="dxa"/>
          </w:tcPr>
          <w:p w14:paraId="0491924C" w14:textId="77777777" w:rsidR="003817B7" w:rsidRPr="005B7E42" w:rsidRDefault="003817B7" w:rsidP="00AB7E94">
            <w:pPr>
              <w:autoSpaceDE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fr-CA"/>
              </w:rPr>
            </w:pPr>
            <w:r>
              <w:rPr>
                <w:rFonts w:ascii="Times New Roman" w:hAnsi="Times New Roman" w:cs="Times New Roman"/>
                <w:color w:val="000000"/>
                <w:sz w:val="20"/>
                <w:szCs w:val="20"/>
                <w:lang w:val="fr-CA"/>
              </w:rPr>
              <w:t>KPSS</w:t>
            </w:r>
          </w:p>
        </w:tc>
        <w:tc>
          <w:tcPr>
            <w:tcW w:w="2070" w:type="dxa"/>
            <w:vMerge/>
          </w:tcPr>
          <w:p w14:paraId="5FA61B3D" w14:textId="77777777" w:rsidR="003817B7" w:rsidRPr="005B7E42" w:rsidRDefault="003817B7" w:rsidP="00AB7E94">
            <w:pPr>
              <w:autoSpaceDE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fr-CA"/>
              </w:rPr>
            </w:pPr>
          </w:p>
        </w:tc>
      </w:tr>
      <w:tr w:rsidR="00410E74" w:rsidRPr="005B7E42" w14:paraId="2C7C9E65" w14:textId="77777777" w:rsidTr="007546F2">
        <w:trPr>
          <w:trHeight w:val="350"/>
        </w:trPr>
        <w:tc>
          <w:tcPr>
            <w:cnfStyle w:val="001000000000" w:firstRow="0" w:lastRow="0" w:firstColumn="1" w:lastColumn="0" w:oddVBand="0" w:evenVBand="0" w:oddHBand="0" w:evenHBand="0" w:firstRowFirstColumn="0" w:firstRowLastColumn="0" w:lastRowFirstColumn="0" w:lastRowLastColumn="0"/>
            <w:tcW w:w="2160" w:type="dxa"/>
          </w:tcPr>
          <w:p w14:paraId="19A781AE" w14:textId="77777777" w:rsidR="003817B7" w:rsidRPr="005B7E42" w:rsidRDefault="00410E74" w:rsidP="00AB7E94">
            <w:pPr>
              <w:autoSpaceDE w:val="0"/>
              <w:adjustRightInd w:val="0"/>
              <w:spacing w:line="360" w:lineRule="auto"/>
              <w:jc w:val="center"/>
              <w:rPr>
                <w:rFonts w:ascii="Times New Roman" w:hAnsi="Times New Roman" w:cs="Times New Roman"/>
                <w:color w:val="000000"/>
                <w:sz w:val="20"/>
                <w:szCs w:val="20"/>
                <w:lang w:val="fr-CA"/>
              </w:rPr>
            </w:pPr>
            <w:r>
              <w:rPr>
                <w:rFonts w:ascii="Times New Roman" w:hAnsi="Times New Roman" w:cs="Times New Roman"/>
                <w:color w:val="000000"/>
                <w:sz w:val="20"/>
                <w:szCs w:val="20"/>
                <w:lang w:val="fr-CA"/>
              </w:rPr>
              <w:t>Rentabilité Mensuelle</w:t>
            </w:r>
          </w:p>
        </w:tc>
        <w:tc>
          <w:tcPr>
            <w:tcW w:w="800" w:type="dxa"/>
          </w:tcPr>
          <w:p w14:paraId="4A26A137" w14:textId="77777777" w:rsidR="003817B7" w:rsidRDefault="003817B7" w:rsidP="00AB7E94">
            <w:pPr>
              <w:autoSpaceDE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fr-CA"/>
              </w:rPr>
            </w:pPr>
            <w:r>
              <w:rPr>
                <w:rFonts w:ascii="Times New Roman" w:hAnsi="Times New Roman" w:cs="Times New Roman"/>
                <w:color w:val="000000"/>
                <w:sz w:val="20"/>
                <w:szCs w:val="20"/>
                <w:lang w:val="fr-CA"/>
              </w:rPr>
              <w:t>-8.91</w:t>
            </w:r>
          </w:p>
          <w:p w14:paraId="4703A3E1" w14:textId="77777777" w:rsidR="003817B7" w:rsidRPr="005B7E42" w:rsidRDefault="003817B7" w:rsidP="00AB7E94">
            <w:pPr>
              <w:autoSpaceDE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fr-CA"/>
              </w:rPr>
            </w:pPr>
            <w:r>
              <w:rPr>
                <w:rFonts w:ascii="Times New Roman" w:hAnsi="Times New Roman" w:cs="Times New Roman"/>
                <w:color w:val="000000"/>
                <w:sz w:val="20"/>
                <w:szCs w:val="20"/>
                <w:lang w:val="fr-CA"/>
              </w:rPr>
              <w:t>(0.010)</w:t>
            </w:r>
          </w:p>
        </w:tc>
        <w:tc>
          <w:tcPr>
            <w:tcW w:w="800" w:type="dxa"/>
          </w:tcPr>
          <w:p w14:paraId="71B2D3F7" w14:textId="77777777" w:rsidR="003817B7" w:rsidRDefault="003817B7" w:rsidP="00AB7E94">
            <w:pPr>
              <w:autoSpaceDE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fr-CA"/>
              </w:rPr>
            </w:pPr>
            <w:r>
              <w:rPr>
                <w:rFonts w:ascii="Times New Roman" w:hAnsi="Times New Roman" w:cs="Times New Roman"/>
                <w:color w:val="000000"/>
                <w:sz w:val="20"/>
                <w:szCs w:val="20"/>
                <w:lang w:val="fr-CA"/>
              </w:rPr>
              <w:t>-1.1</w:t>
            </w:r>
          </w:p>
          <w:p w14:paraId="747A93C7" w14:textId="77777777" w:rsidR="003817B7" w:rsidRPr="005B7E42" w:rsidRDefault="003817B7" w:rsidP="00AB7E94">
            <w:pPr>
              <w:autoSpaceDE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fr-CA"/>
              </w:rPr>
            </w:pPr>
            <w:r>
              <w:rPr>
                <w:rFonts w:ascii="Times New Roman" w:hAnsi="Times New Roman" w:cs="Times New Roman"/>
                <w:color w:val="000000"/>
                <w:sz w:val="20"/>
                <w:szCs w:val="20"/>
                <w:lang w:val="fr-CA"/>
              </w:rPr>
              <w:t>(0.48)</w:t>
            </w:r>
          </w:p>
        </w:tc>
        <w:tc>
          <w:tcPr>
            <w:tcW w:w="920" w:type="dxa"/>
          </w:tcPr>
          <w:p w14:paraId="1D842C9C" w14:textId="77777777" w:rsidR="003817B7" w:rsidRDefault="003817B7" w:rsidP="00AB7E94">
            <w:pPr>
              <w:autoSpaceDE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fr-CA"/>
              </w:rPr>
            </w:pPr>
            <w:r>
              <w:rPr>
                <w:rFonts w:ascii="Times New Roman" w:hAnsi="Times New Roman" w:cs="Times New Roman"/>
                <w:color w:val="000000"/>
                <w:sz w:val="20"/>
                <w:szCs w:val="20"/>
                <w:lang w:val="fr-CA"/>
              </w:rPr>
              <w:t>0.421</w:t>
            </w:r>
          </w:p>
          <w:p w14:paraId="72B02520" w14:textId="77777777" w:rsidR="003817B7" w:rsidRPr="005B7E42" w:rsidRDefault="003817B7" w:rsidP="00AB7E94">
            <w:pPr>
              <w:autoSpaceDE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fr-CA"/>
              </w:rPr>
            </w:pPr>
            <w:r>
              <w:rPr>
                <w:rFonts w:ascii="Times New Roman" w:hAnsi="Times New Roman" w:cs="Times New Roman"/>
                <w:color w:val="000000"/>
                <w:sz w:val="20"/>
                <w:szCs w:val="20"/>
                <w:lang w:val="fr-CA"/>
              </w:rPr>
              <w:t>(0.10)</w:t>
            </w:r>
          </w:p>
        </w:tc>
        <w:tc>
          <w:tcPr>
            <w:tcW w:w="900" w:type="dxa"/>
          </w:tcPr>
          <w:p w14:paraId="6A8D2F43" w14:textId="77777777" w:rsidR="003817B7" w:rsidRPr="005B7E42" w:rsidRDefault="003817B7" w:rsidP="00AB7E94">
            <w:pPr>
              <w:autoSpaceDE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fr-CA"/>
              </w:rPr>
            </w:pPr>
            <w:r>
              <w:rPr>
                <w:rFonts w:ascii="Times New Roman" w:hAnsi="Times New Roman" w:cs="Times New Roman"/>
                <w:color w:val="000000"/>
                <w:sz w:val="20"/>
                <w:szCs w:val="20"/>
                <w:lang w:val="fr-CA"/>
              </w:rPr>
              <w:t>---</w:t>
            </w:r>
          </w:p>
        </w:tc>
        <w:tc>
          <w:tcPr>
            <w:tcW w:w="900" w:type="dxa"/>
          </w:tcPr>
          <w:p w14:paraId="455B1A3F" w14:textId="77777777" w:rsidR="003817B7" w:rsidRPr="005B7E42" w:rsidRDefault="003817B7" w:rsidP="00AB7E94">
            <w:pPr>
              <w:autoSpaceDE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fr-CA"/>
              </w:rPr>
            </w:pPr>
            <w:r>
              <w:rPr>
                <w:rFonts w:ascii="Times New Roman" w:hAnsi="Times New Roman" w:cs="Times New Roman"/>
                <w:color w:val="000000"/>
                <w:sz w:val="20"/>
                <w:szCs w:val="20"/>
                <w:lang w:val="fr-CA"/>
              </w:rPr>
              <w:t>---</w:t>
            </w:r>
          </w:p>
        </w:tc>
        <w:tc>
          <w:tcPr>
            <w:tcW w:w="830" w:type="dxa"/>
          </w:tcPr>
          <w:p w14:paraId="530AB4DC" w14:textId="77777777" w:rsidR="003817B7" w:rsidRPr="005B7E42" w:rsidRDefault="003817B7" w:rsidP="00AB7E94">
            <w:pPr>
              <w:autoSpaceDE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fr-CA"/>
              </w:rPr>
            </w:pPr>
            <w:r>
              <w:rPr>
                <w:rFonts w:ascii="Times New Roman" w:hAnsi="Times New Roman" w:cs="Times New Roman"/>
                <w:color w:val="000000"/>
                <w:sz w:val="20"/>
                <w:szCs w:val="20"/>
                <w:lang w:val="fr-CA"/>
              </w:rPr>
              <w:t>---</w:t>
            </w:r>
          </w:p>
        </w:tc>
        <w:tc>
          <w:tcPr>
            <w:tcW w:w="2070" w:type="dxa"/>
          </w:tcPr>
          <w:p w14:paraId="5CC92AD2" w14:textId="77777777" w:rsidR="003817B7" w:rsidRPr="005B7E42" w:rsidRDefault="003817B7" w:rsidP="00AB7E94">
            <w:pPr>
              <w:autoSpaceDE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fr-CA"/>
              </w:rPr>
            </w:pPr>
            <w:r w:rsidRPr="005B7E42">
              <w:rPr>
                <w:rFonts w:ascii="Times New Roman" w:hAnsi="Times New Roman" w:cs="Times New Roman"/>
                <w:color w:val="000000"/>
                <w:sz w:val="20"/>
                <w:szCs w:val="20"/>
                <w:lang w:val="fr-CA"/>
              </w:rPr>
              <w:t xml:space="preserve">I (0) </w:t>
            </w:r>
            <w:r>
              <w:rPr>
                <w:rFonts w:ascii="Times New Roman" w:hAnsi="Times New Roman" w:cs="Times New Roman"/>
                <w:color w:val="000000"/>
                <w:sz w:val="20"/>
                <w:szCs w:val="20"/>
                <w:lang w:val="fr-CA"/>
              </w:rPr>
              <w:t>sans tendance ni</w:t>
            </w:r>
            <w:r w:rsidRPr="005B7E42">
              <w:rPr>
                <w:rFonts w:ascii="Times New Roman" w:hAnsi="Times New Roman" w:cs="Times New Roman"/>
                <w:color w:val="000000"/>
                <w:sz w:val="20"/>
                <w:szCs w:val="20"/>
                <w:lang w:val="fr-CA"/>
              </w:rPr>
              <w:t xml:space="preserve"> constante</w:t>
            </w:r>
          </w:p>
        </w:tc>
      </w:tr>
      <w:tr w:rsidR="00410E74" w:rsidRPr="005B7E42" w14:paraId="0DBFAD48" w14:textId="77777777" w:rsidTr="007546F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160" w:type="dxa"/>
          </w:tcPr>
          <w:p w14:paraId="43D555F1" w14:textId="77777777" w:rsidR="003817B7" w:rsidRPr="005B7E42" w:rsidRDefault="003817B7" w:rsidP="00AB7E94">
            <w:pPr>
              <w:autoSpaceDE w:val="0"/>
              <w:adjustRightInd w:val="0"/>
              <w:spacing w:line="360" w:lineRule="auto"/>
              <w:jc w:val="center"/>
              <w:rPr>
                <w:rFonts w:ascii="Times New Roman" w:hAnsi="Times New Roman" w:cs="Times New Roman"/>
                <w:color w:val="000000"/>
                <w:sz w:val="20"/>
                <w:szCs w:val="20"/>
                <w:lang w:val="fr-CA"/>
              </w:rPr>
            </w:pPr>
            <w:r>
              <w:rPr>
                <w:rFonts w:ascii="Times New Roman" w:hAnsi="Times New Roman" w:cs="Times New Roman"/>
                <w:color w:val="000000"/>
                <w:sz w:val="20"/>
                <w:szCs w:val="20"/>
                <w:lang w:val="fr-CA"/>
              </w:rPr>
              <w:t>Investissement</w:t>
            </w:r>
            <w:r w:rsidR="00410E74">
              <w:rPr>
                <w:rFonts w:ascii="Times New Roman" w:hAnsi="Times New Roman" w:cs="Times New Roman"/>
                <w:color w:val="000000"/>
                <w:sz w:val="20"/>
                <w:szCs w:val="20"/>
                <w:lang w:val="fr-CA"/>
              </w:rPr>
              <w:t xml:space="preserve"> Mensuel</w:t>
            </w:r>
          </w:p>
        </w:tc>
        <w:tc>
          <w:tcPr>
            <w:tcW w:w="800" w:type="dxa"/>
          </w:tcPr>
          <w:p w14:paraId="6A4EE2CD" w14:textId="77777777" w:rsidR="003817B7" w:rsidRDefault="003817B7" w:rsidP="00AB7E94">
            <w:pPr>
              <w:autoSpaceDE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fr-CA"/>
              </w:rPr>
            </w:pPr>
            <w:r>
              <w:rPr>
                <w:rFonts w:ascii="Times New Roman" w:hAnsi="Times New Roman" w:cs="Times New Roman"/>
                <w:color w:val="000000"/>
                <w:sz w:val="20"/>
                <w:szCs w:val="20"/>
                <w:lang w:val="fr-CA"/>
              </w:rPr>
              <w:t>2.611</w:t>
            </w:r>
          </w:p>
          <w:p w14:paraId="6F5FD405" w14:textId="77777777" w:rsidR="003817B7" w:rsidRPr="005B7E42" w:rsidRDefault="003817B7" w:rsidP="00AB7E94">
            <w:pPr>
              <w:autoSpaceDE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fr-CA"/>
              </w:rPr>
            </w:pPr>
            <w:r>
              <w:rPr>
                <w:rFonts w:ascii="Times New Roman" w:hAnsi="Times New Roman" w:cs="Times New Roman"/>
                <w:color w:val="000000"/>
                <w:sz w:val="20"/>
                <w:szCs w:val="20"/>
                <w:lang w:val="fr-CA"/>
              </w:rPr>
              <w:t>(0.99)</w:t>
            </w:r>
          </w:p>
        </w:tc>
        <w:tc>
          <w:tcPr>
            <w:tcW w:w="800" w:type="dxa"/>
          </w:tcPr>
          <w:p w14:paraId="4A55C631" w14:textId="77777777" w:rsidR="003817B7" w:rsidRDefault="003817B7" w:rsidP="00AB7E94">
            <w:pPr>
              <w:autoSpaceDE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fr-CA"/>
              </w:rPr>
            </w:pPr>
            <w:r>
              <w:rPr>
                <w:rFonts w:ascii="Times New Roman" w:hAnsi="Times New Roman" w:cs="Times New Roman"/>
                <w:color w:val="000000"/>
                <w:sz w:val="20"/>
                <w:szCs w:val="20"/>
                <w:lang w:val="fr-CA"/>
              </w:rPr>
              <w:t>0.499</w:t>
            </w:r>
          </w:p>
          <w:p w14:paraId="57A121BD" w14:textId="77777777" w:rsidR="003817B7" w:rsidRPr="005B7E42" w:rsidRDefault="003817B7" w:rsidP="00AB7E94">
            <w:pPr>
              <w:autoSpaceDE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fr-CA"/>
              </w:rPr>
            </w:pPr>
            <w:r>
              <w:rPr>
                <w:rFonts w:ascii="Times New Roman" w:hAnsi="Times New Roman" w:cs="Times New Roman"/>
                <w:color w:val="000000"/>
                <w:sz w:val="20"/>
                <w:szCs w:val="20"/>
                <w:lang w:val="fr-CA"/>
              </w:rPr>
              <w:t>(0.802)</w:t>
            </w:r>
          </w:p>
        </w:tc>
        <w:tc>
          <w:tcPr>
            <w:tcW w:w="920" w:type="dxa"/>
          </w:tcPr>
          <w:p w14:paraId="5B9824A1" w14:textId="77777777" w:rsidR="003817B7" w:rsidRDefault="00DC20D1" w:rsidP="00AB7E94">
            <w:pPr>
              <w:autoSpaceDE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fr-CA"/>
              </w:rPr>
            </w:pPr>
            <w:r>
              <w:rPr>
                <w:rFonts w:ascii="Times New Roman" w:hAnsi="Times New Roman" w:cs="Times New Roman"/>
                <w:color w:val="000000"/>
                <w:sz w:val="20"/>
                <w:szCs w:val="20"/>
                <w:lang w:val="fr-CA"/>
              </w:rPr>
              <w:t>0.185</w:t>
            </w:r>
          </w:p>
          <w:p w14:paraId="76C20D93" w14:textId="77777777" w:rsidR="00DC20D1" w:rsidRPr="005B7E42" w:rsidRDefault="00DC20D1" w:rsidP="00AB7E94">
            <w:pPr>
              <w:autoSpaceDE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fr-CA"/>
              </w:rPr>
            </w:pPr>
            <w:r>
              <w:rPr>
                <w:rFonts w:ascii="Times New Roman" w:hAnsi="Times New Roman" w:cs="Times New Roman"/>
                <w:color w:val="000000"/>
                <w:sz w:val="20"/>
                <w:szCs w:val="20"/>
                <w:lang w:val="fr-CA"/>
              </w:rPr>
              <w:t>(0.0216)</w:t>
            </w:r>
          </w:p>
        </w:tc>
        <w:tc>
          <w:tcPr>
            <w:tcW w:w="900" w:type="dxa"/>
          </w:tcPr>
          <w:p w14:paraId="0D8FBF7C" w14:textId="77777777" w:rsidR="003817B7" w:rsidRDefault="00DC20D1" w:rsidP="00AB7E94">
            <w:pPr>
              <w:autoSpaceDE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fr-CA"/>
              </w:rPr>
            </w:pPr>
            <w:r>
              <w:rPr>
                <w:rFonts w:ascii="Times New Roman" w:hAnsi="Times New Roman" w:cs="Times New Roman"/>
                <w:color w:val="000000"/>
                <w:sz w:val="20"/>
                <w:szCs w:val="20"/>
                <w:lang w:val="fr-CA"/>
              </w:rPr>
              <w:t>-1.53</w:t>
            </w:r>
          </w:p>
          <w:p w14:paraId="5EB1ADEB" w14:textId="77777777" w:rsidR="00DC20D1" w:rsidRPr="005B7E42" w:rsidRDefault="00DC20D1" w:rsidP="00AB7E94">
            <w:pPr>
              <w:autoSpaceDE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fr-CA"/>
              </w:rPr>
            </w:pPr>
            <w:r>
              <w:rPr>
                <w:rFonts w:ascii="Times New Roman" w:hAnsi="Times New Roman" w:cs="Times New Roman"/>
                <w:color w:val="000000"/>
                <w:sz w:val="20"/>
                <w:szCs w:val="20"/>
                <w:lang w:val="fr-CA"/>
              </w:rPr>
              <w:t>(0.132)</w:t>
            </w:r>
          </w:p>
        </w:tc>
        <w:tc>
          <w:tcPr>
            <w:tcW w:w="900" w:type="dxa"/>
          </w:tcPr>
          <w:p w14:paraId="616A0136" w14:textId="77777777" w:rsidR="003817B7" w:rsidRDefault="00DC20D1" w:rsidP="00AB7E94">
            <w:pPr>
              <w:autoSpaceDE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fr-CA"/>
              </w:rPr>
            </w:pPr>
            <w:r>
              <w:rPr>
                <w:rFonts w:ascii="Times New Roman" w:hAnsi="Times New Roman" w:cs="Times New Roman"/>
                <w:color w:val="000000"/>
                <w:sz w:val="20"/>
                <w:szCs w:val="20"/>
                <w:lang w:val="fr-CA"/>
              </w:rPr>
              <w:t>-18.9</w:t>
            </w:r>
          </w:p>
          <w:p w14:paraId="3ABD6396" w14:textId="77777777" w:rsidR="00DC20D1" w:rsidRPr="005B7E42" w:rsidRDefault="00DC20D1" w:rsidP="00AB7E94">
            <w:pPr>
              <w:autoSpaceDE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fr-CA"/>
              </w:rPr>
            </w:pPr>
            <w:r>
              <w:rPr>
                <w:rFonts w:ascii="Times New Roman" w:hAnsi="Times New Roman" w:cs="Times New Roman"/>
                <w:color w:val="000000"/>
                <w:sz w:val="20"/>
                <w:szCs w:val="20"/>
                <w:lang w:val="fr-CA"/>
              </w:rPr>
              <w:t>(0.01)</w:t>
            </w:r>
          </w:p>
        </w:tc>
        <w:tc>
          <w:tcPr>
            <w:tcW w:w="830" w:type="dxa"/>
          </w:tcPr>
          <w:p w14:paraId="0EA24BB6" w14:textId="77777777" w:rsidR="003817B7" w:rsidRDefault="00DC20D1" w:rsidP="00AB7E94">
            <w:pPr>
              <w:autoSpaceDE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fr-CA"/>
              </w:rPr>
            </w:pPr>
            <w:r>
              <w:rPr>
                <w:rFonts w:ascii="Times New Roman" w:hAnsi="Times New Roman" w:cs="Times New Roman"/>
                <w:color w:val="000000"/>
                <w:sz w:val="20"/>
                <w:szCs w:val="20"/>
                <w:lang w:val="fr-CA"/>
              </w:rPr>
              <w:t>0.0318</w:t>
            </w:r>
          </w:p>
          <w:p w14:paraId="033F2CE8" w14:textId="77777777" w:rsidR="00DC20D1" w:rsidRPr="005B7E42" w:rsidRDefault="00DC20D1" w:rsidP="00AB7E94">
            <w:pPr>
              <w:autoSpaceDE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fr-CA"/>
              </w:rPr>
            </w:pPr>
            <w:r>
              <w:rPr>
                <w:rFonts w:ascii="Times New Roman" w:hAnsi="Times New Roman" w:cs="Times New Roman"/>
                <w:color w:val="000000"/>
                <w:sz w:val="20"/>
                <w:szCs w:val="20"/>
                <w:lang w:val="fr-CA"/>
              </w:rPr>
              <w:t>(0.10)</w:t>
            </w:r>
          </w:p>
        </w:tc>
        <w:tc>
          <w:tcPr>
            <w:tcW w:w="2070" w:type="dxa"/>
          </w:tcPr>
          <w:p w14:paraId="29AA8511" w14:textId="77777777" w:rsidR="003817B7" w:rsidRPr="005B7E42" w:rsidRDefault="003817B7" w:rsidP="00AB7E94">
            <w:pPr>
              <w:autoSpaceDE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fr-CA"/>
              </w:rPr>
            </w:pPr>
            <w:r w:rsidRPr="005B7E42">
              <w:rPr>
                <w:rFonts w:ascii="Times New Roman" w:hAnsi="Times New Roman" w:cs="Times New Roman"/>
                <w:color w:val="000000"/>
                <w:sz w:val="20"/>
                <w:szCs w:val="20"/>
                <w:lang w:val="fr-CA"/>
              </w:rPr>
              <w:t>I (1) avec tendance et constante</w:t>
            </w:r>
          </w:p>
        </w:tc>
      </w:tr>
      <w:tr w:rsidR="00410E74" w:rsidRPr="005B7E42" w14:paraId="54E377E9" w14:textId="77777777" w:rsidTr="007546F2">
        <w:trPr>
          <w:trHeight w:val="350"/>
        </w:trPr>
        <w:tc>
          <w:tcPr>
            <w:cnfStyle w:val="001000000000" w:firstRow="0" w:lastRow="0" w:firstColumn="1" w:lastColumn="0" w:oddVBand="0" w:evenVBand="0" w:oddHBand="0" w:evenHBand="0" w:firstRowFirstColumn="0" w:firstRowLastColumn="0" w:lastRowFirstColumn="0" w:lastRowLastColumn="0"/>
            <w:tcW w:w="2160" w:type="dxa"/>
          </w:tcPr>
          <w:p w14:paraId="0D674DF2" w14:textId="77777777" w:rsidR="003817B7" w:rsidRDefault="003817B7" w:rsidP="00AB7E94">
            <w:pPr>
              <w:autoSpaceDE w:val="0"/>
              <w:adjustRightInd w:val="0"/>
              <w:spacing w:line="360" w:lineRule="auto"/>
              <w:jc w:val="center"/>
              <w:rPr>
                <w:rFonts w:ascii="Times New Roman" w:hAnsi="Times New Roman" w:cs="Times New Roman"/>
                <w:color w:val="000000"/>
                <w:sz w:val="20"/>
                <w:szCs w:val="20"/>
                <w:lang w:val="fr-CA"/>
              </w:rPr>
            </w:pPr>
            <w:r>
              <w:rPr>
                <w:rFonts w:ascii="Times New Roman" w:hAnsi="Times New Roman" w:cs="Times New Roman"/>
                <w:color w:val="000000"/>
                <w:sz w:val="20"/>
                <w:szCs w:val="20"/>
                <w:lang w:val="fr-CA"/>
              </w:rPr>
              <w:t>Concours Publics</w:t>
            </w:r>
          </w:p>
          <w:p w14:paraId="4F25E586" w14:textId="77777777" w:rsidR="00410E74" w:rsidRPr="005B7E42" w:rsidRDefault="00410E74" w:rsidP="00AB7E94">
            <w:pPr>
              <w:autoSpaceDE w:val="0"/>
              <w:adjustRightInd w:val="0"/>
              <w:spacing w:line="360" w:lineRule="auto"/>
              <w:jc w:val="center"/>
              <w:rPr>
                <w:rFonts w:ascii="Times New Roman" w:hAnsi="Times New Roman" w:cs="Times New Roman"/>
                <w:color w:val="000000"/>
                <w:sz w:val="20"/>
                <w:szCs w:val="20"/>
                <w:lang w:val="fr-CA"/>
              </w:rPr>
            </w:pPr>
            <w:r>
              <w:rPr>
                <w:rFonts w:ascii="Times New Roman" w:hAnsi="Times New Roman" w:cs="Times New Roman"/>
                <w:color w:val="000000"/>
                <w:sz w:val="20"/>
                <w:szCs w:val="20"/>
                <w:lang w:val="fr-CA"/>
              </w:rPr>
              <w:t>mensuel</w:t>
            </w:r>
          </w:p>
        </w:tc>
        <w:tc>
          <w:tcPr>
            <w:tcW w:w="800" w:type="dxa"/>
          </w:tcPr>
          <w:p w14:paraId="7BE330C0" w14:textId="77777777" w:rsidR="003817B7" w:rsidRDefault="00DC20D1" w:rsidP="00AB7E94">
            <w:pPr>
              <w:autoSpaceDE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fr-CA"/>
              </w:rPr>
            </w:pPr>
            <w:r>
              <w:rPr>
                <w:rFonts w:ascii="Times New Roman" w:hAnsi="Times New Roman" w:cs="Times New Roman"/>
                <w:color w:val="000000"/>
                <w:sz w:val="20"/>
                <w:szCs w:val="20"/>
                <w:lang w:val="fr-CA"/>
              </w:rPr>
              <w:t>1.282</w:t>
            </w:r>
          </w:p>
          <w:p w14:paraId="55D2253E" w14:textId="77777777" w:rsidR="00DC20D1" w:rsidRPr="005B7E42" w:rsidRDefault="00DC20D1" w:rsidP="00AB7E94">
            <w:pPr>
              <w:autoSpaceDE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fr-CA"/>
              </w:rPr>
            </w:pPr>
            <w:r>
              <w:rPr>
                <w:rFonts w:ascii="Times New Roman" w:hAnsi="Times New Roman" w:cs="Times New Roman"/>
                <w:color w:val="000000"/>
                <w:sz w:val="20"/>
                <w:szCs w:val="20"/>
                <w:lang w:val="fr-CA"/>
              </w:rPr>
              <w:t>(0.95)</w:t>
            </w:r>
          </w:p>
        </w:tc>
        <w:tc>
          <w:tcPr>
            <w:tcW w:w="800" w:type="dxa"/>
          </w:tcPr>
          <w:p w14:paraId="79EBA026" w14:textId="77777777" w:rsidR="003817B7" w:rsidRDefault="00DC20D1" w:rsidP="00AB7E94">
            <w:pPr>
              <w:autoSpaceDE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fr-CA"/>
              </w:rPr>
            </w:pPr>
            <w:r>
              <w:rPr>
                <w:rFonts w:ascii="Times New Roman" w:hAnsi="Times New Roman" w:cs="Times New Roman"/>
                <w:color w:val="000000"/>
                <w:sz w:val="20"/>
                <w:szCs w:val="20"/>
                <w:lang w:val="fr-CA"/>
              </w:rPr>
              <w:t>0.0886</w:t>
            </w:r>
          </w:p>
          <w:p w14:paraId="5F6BCFD5" w14:textId="77777777" w:rsidR="00DC20D1" w:rsidRPr="005B7E42" w:rsidRDefault="00DC20D1" w:rsidP="00AB7E94">
            <w:pPr>
              <w:autoSpaceDE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fr-CA"/>
              </w:rPr>
            </w:pPr>
            <w:r>
              <w:rPr>
                <w:rFonts w:ascii="Times New Roman" w:hAnsi="Times New Roman" w:cs="Times New Roman"/>
                <w:color w:val="000000"/>
                <w:sz w:val="20"/>
                <w:szCs w:val="20"/>
                <w:lang w:val="fr-CA"/>
              </w:rPr>
              <w:t>(0.711)</w:t>
            </w:r>
          </w:p>
        </w:tc>
        <w:tc>
          <w:tcPr>
            <w:tcW w:w="920" w:type="dxa"/>
          </w:tcPr>
          <w:p w14:paraId="46110C4C" w14:textId="77777777" w:rsidR="003817B7" w:rsidRDefault="00DC20D1" w:rsidP="00AB7E94">
            <w:pPr>
              <w:autoSpaceDE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fr-CA"/>
              </w:rPr>
            </w:pPr>
            <w:r>
              <w:rPr>
                <w:rFonts w:ascii="Times New Roman" w:hAnsi="Times New Roman" w:cs="Times New Roman"/>
                <w:color w:val="000000"/>
                <w:sz w:val="20"/>
                <w:szCs w:val="20"/>
                <w:lang w:val="fr-CA"/>
              </w:rPr>
              <w:t>0.196</w:t>
            </w:r>
          </w:p>
          <w:p w14:paraId="1711AB5C" w14:textId="77777777" w:rsidR="00DC20D1" w:rsidRPr="005B7E42" w:rsidRDefault="00DC20D1" w:rsidP="00AB7E94">
            <w:pPr>
              <w:autoSpaceDE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fr-CA"/>
              </w:rPr>
            </w:pPr>
            <w:r>
              <w:rPr>
                <w:rFonts w:ascii="Times New Roman" w:hAnsi="Times New Roman" w:cs="Times New Roman"/>
                <w:color w:val="000000"/>
                <w:sz w:val="20"/>
                <w:szCs w:val="20"/>
                <w:lang w:val="fr-CA"/>
              </w:rPr>
              <w:t>(0.10)</w:t>
            </w:r>
          </w:p>
        </w:tc>
        <w:tc>
          <w:tcPr>
            <w:tcW w:w="900" w:type="dxa"/>
          </w:tcPr>
          <w:p w14:paraId="1BE7A38B" w14:textId="77777777" w:rsidR="003817B7" w:rsidRDefault="00DC20D1" w:rsidP="00AB7E94">
            <w:pPr>
              <w:autoSpaceDE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fr-CA"/>
              </w:rPr>
            </w:pPr>
            <w:r>
              <w:rPr>
                <w:rFonts w:ascii="Times New Roman" w:hAnsi="Times New Roman" w:cs="Times New Roman"/>
                <w:color w:val="000000"/>
                <w:sz w:val="20"/>
                <w:szCs w:val="20"/>
                <w:lang w:val="fr-CA"/>
              </w:rPr>
              <w:t>-1.30</w:t>
            </w:r>
          </w:p>
          <w:p w14:paraId="2079CB0A" w14:textId="77777777" w:rsidR="00DC20D1" w:rsidRPr="005B7E42" w:rsidRDefault="00DC20D1" w:rsidP="00AB7E94">
            <w:pPr>
              <w:autoSpaceDE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fr-CA"/>
              </w:rPr>
            </w:pPr>
            <w:r>
              <w:rPr>
                <w:rFonts w:ascii="Times New Roman" w:hAnsi="Times New Roman" w:cs="Times New Roman"/>
                <w:color w:val="000000"/>
                <w:sz w:val="20"/>
                <w:szCs w:val="20"/>
                <w:lang w:val="fr-CA"/>
              </w:rPr>
              <w:t>(0.212)</w:t>
            </w:r>
          </w:p>
        </w:tc>
        <w:tc>
          <w:tcPr>
            <w:tcW w:w="900" w:type="dxa"/>
          </w:tcPr>
          <w:p w14:paraId="7B6EF34E" w14:textId="77777777" w:rsidR="003817B7" w:rsidRDefault="00DC20D1" w:rsidP="00AB7E94">
            <w:pPr>
              <w:autoSpaceDE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fr-CA"/>
              </w:rPr>
            </w:pPr>
            <w:r>
              <w:rPr>
                <w:rFonts w:ascii="Times New Roman" w:hAnsi="Times New Roman" w:cs="Times New Roman"/>
                <w:color w:val="000000"/>
                <w:sz w:val="20"/>
                <w:szCs w:val="20"/>
                <w:lang w:val="fr-CA"/>
              </w:rPr>
              <w:t>-13.5</w:t>
            </w:r>
          </w:p>
          <w:p w14:paraId="6A78EBC6" w14:textId="77777777" w:rsidR="00DC20D1" w:rsidRPr="005B7E42" w:rsidRDefault="00DC20D1" w:rsidP="00AB7E94">
            <w:pPr>
              <w:autoSpaceDE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fr-CA"/>
              </w:rPr>
            </w:pPr>
            <w:r>
              <w:rPr>
                <w:rFonts w:ascii="Times New Roman" w:hAnsi="Times New Roman" w:cs="Times New Roman"/>
                <w:color w:val="000000"/>
                <w:sz w:val="20"/>
                <w:szCs w:val="20"/>
                <w:lang w:val="fr-CA"/>
              </w:rPr>
              <w:t>(0.0103)</w:t>
            </w:r>
          </w:p>
        </w:tc>
        <w:tc>
          <w:tcPr>
            <w:tcW w:w="830" w:type="dxa"/>
          </w:tcPr>
          <w:p w14:paraId="3BF9EF42" w14:textId="77777777" w:rsidR="003817B7" w:rsidRDefault="00DC20D1" w:rsidP="00AB7E94">
            <w:pPr>
              <w:autoSpaceDE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fr-CA"/>
              </w:rPr>
            </w:pPr>
            <w:r>
              <w:rPr>
                <w:rFonts w:ascii="Times New Roman" w:hAnsi="Times New Roman" w:cs="Times New Roman"/>
                <w:color w:val="000000"/>
                <w:sz w:val="20"/>
                <w:szCs w:val="20"/>
                <w:lang w:val="fr-CA"/>
              </w:rPr>
              <w:t>0.0444</w:t>
            </w:r>
          </w:p>
          <w:p w14:paraId="7E5C9921" w14:textId="77777777" w:rsidR="00DC20D1" w:rsidRPr="005B7E42" w:rsidRDefault="00DC20D1" w:rsidP="00AB7E94">
            <w:pPr>
              <w:autoSpaceDE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fr-CA"/>
              </w:rPr>
            </w:pPr>
            <w:r>
              <w:rPr>
                <w:rFonts w:ascii="Times New Roman" w:hAnsi="Times New Roman" w:cs="Times New Roman"/>
                <w:color w:val="000000"/>
                <w:sz w:val="20"/>
                <w:szCs w:val="20"/>
                <w:lang w:val="fr-CA"/>
              </w:rPr>
              <w:t>(0.10)</w:t>
            </w:r>
          </w:p>
        </w:tc>
        <w:tc>
          <w:tcPr>
            <w:tcW w:w="2070" w:type="dxa"/>
          </w:tcPr>
          <w:p w14:paraId="416B853E" w14:textId="77777777" w:rsidR="003817B7" w:rsidRPr="005B7E42" w:rsidRDefault="003817B7" w:rsidP="00AB7E94">
            <w:pPr>
              <w:autoSpaceDE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fr-CA"/>
              </w:rPr>
            </w:pPr>
            <w:r w:rsidRPr="005B7E42">
              <w:rPr>
                <w:rFonts w:ascii="Times New Roman" w:hAnsi="Times New Roman" w:cs="Times New Roman"/>
                <w:color w:val="000000"/>
                <w:sz w:val="20"/>
                <w:szCs w:val="20"/>
                <w:lang w:val="fr-CA"/>
              </w:rPr>
              <w:t>I (1) avec constante</w:t>
            </w:r>
            <w:r>
              <w:rPr>
                <w:rFonts w:ascii="Times New Roman" w:hAnsi="Times New Roman" w:cs="Times New Roman"/>
                <w:color w:val="000000"/>
                <w:sz w:val="20"/>
                <w:szCs w:val="20"/>
                <w:lang w:val="fr-CA"/>
              </w:rPr>
              <w:t xml:space="preserve"> sans tendance</w:t>
            </w:r>
          </w:p>
        </w:tc>
      </w:tr>
      <w:tr w:rsidR="00410E74" w:rsidRPr="005B7E42" w14:paraId="1B0A5F2C" w14:textId="77777777" w:rsidTr="007546F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160" w:type="dxa"/>
          </w:tcPr>
          <w:p w14:paraId="357BFE10" w14:textId="77777777" w:rsidR="003817B7" w:rsidRDefault="003817B7" w:rsidP="00AB7E94">
            <w:pPr>
              <w:autoSpaceDE w:val="0"/>
              <w:adjustRightInd w:val="0"/>
              <w:spacing w:line="360" w:lineRule="auto"/>
              <w:jc w:val="center"/>
              <w:rPr>
                <w:rFonts w:ascii="Times New Roman" w:hAnsi="Times New Roman" w:cs="Times New Roman"/>
                <w:color w:val="000000"/>
                <w:sz w:val="20"/>
                <w:szCs w:val="20"/>
                <w:lang w:val="fr-CA"/>
              </w:rPr>
            </w:pPr>
            <w:r>
              <w:rPr>
                <w:rFonts w:ascii="Times New Roman" w:hAnsi="Times New Roman" w:cs="Times New Roman"/>
                <w:color w:val="000000"/>
                <w:sz w:val="20"/>
                <w:szCs w:val="20"/>
                <w:lang w:val="fr-CA"/>
              </w:rPr>
              <w:t>Offre transport</w:t>
            </w:r>
          </w:p>
          <w:p w14:paraId="70CE6C2C" w14:textId="77777777" w:rsidR="00410E74" w:rsidRPr="005B7E42" w:rsidRDefault="00410E74" w:rsidP="00AB7E94">
            <w:pPr>
              <w:autoSpaceDE w:val="0"/>
              <w:adjustRightInd w:val="0"/>
              <w:spacing w:line="360" w:lineRule="auto"/>
              <w:jc w:val="center"/>
              <w:rPr>
                <w:rFonts w:ascii="Times New Roman" w:hAnsi="Times New Roman" w:cs="Times New Roman"/>
                <w:color w:val="000000"/>
                <w:sz w:val="20"/>
                <w:szCs w:val="20"/>
                <w:lang w:val="fr-CA"/>
              </w:rPr>
            </w:pPr>
            <w:r>
              <w:rPr>
                <w:rFonts w:ascii="Times New Roman" w:hAnsi="Times New Roman" w:cs="Times New Roman"/>
                <w:color w:val="000000"/>
                <w:sz w:val="20"/>
                <w:szCs w:val="20"/>
                <w:lang w:val="fr-CA"/>
              </w:rPr>
              <w:t>mensuel</w:t>
            </w:r>
          </w:p>
        </w:tc>
        <w:tc>
          <w:tcPr>
            <w:tcW w:w="800" w:type="dxa"/>
          </w:tcPr>
          <w:p w14:paraId="3A18D550" w14:textId="77777777" w:rsidR="003817B7" w:rsidRDefault="00F120F4" w:rsidP="00AB7E94">
            <w:pPr>
              <w:autoSpaceDE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fr-CA"/>
              </w:rPr>
            </w:pPr>
            <w:r>
              <w:rPr>
                <w:rFonts w:ascii="Times New Roman" w:hAnsi="Times New Roman" w:cs="Times New Roman"/>
                <w:color w:val="000000"/>
                <w:sz w:val="20"/>
                <w:szCs w:val="20"/>
                <w:lang w:val="fr-CA"/>
              </w:rPr>
              <w:t>5.487</w:t>
            </w:r>
          </w:p>
          <w:p w14:paraId="65BC2551" w14:textId="77777777" w:rsidR="00F120F4" w:rsidRPr="005B7E42" w:rsidRDefault="00F120F4" w:rsidP="00AB7E94">
            <w:pPr>
              <w:autoSpaceDE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fr-CA"/>
              </w:rPr>
            </w:pPr>
            <w:r>
              <w:rPr>
                <w:rFonts w:ascii="Times New Roman" w:hAnsi="Times New Roman" w:cs="Times New Roman"/>
                <w:color w:val="000000"/>
                <w:sz w:val="20"/>
                <w:szCs w:val="20"/>
                <w:lang w:val="fr-CA"/>
              </w:rPr>
              <w:t>(0.99)</w:t>
            </w:r>
          </w:p>
        </w:tc>
        <w:tc>
          <w:tcPr>
            <w:tcW w:w="800" w:type="dxa"/>
          </w:tcPr>
          <w:p w14:paraId="7DF08AA9" w14:textId="77777777" w:rsidR="003817B7" w:rsidRDefault="00F120F4" w:rsidP="00AB7E94">
            <w:pPr>
              <w:autoSpaceDE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fr-CA"/>
              </w:rPr>
            </w:pPr>
            <w:r>
              <w:rPr>
                <w:rFonts w:ascii="Times New Roman" w:hAnsi="Times New Roman" w:cs="Times New Roman"/>
                <w:color w:val="000000"/>
                <w:sz w:val="20"/>
                <w:szCs w:val="20"/>
                <w:lang w:val="fr-CA"/>
              </w:rPr>
              <w:t>0.136</w:t>
            </w:r>
          </w:p>
          <w:p w14:paraId="1004675D" w14:textId="77777777" w:rsidR="00F120F4" w:rsidRPr="005B7E42" w:rsidRDefault="00F120F4" w:rsidP="00AB7E94">
            <w:pPr>
              <w:autoSpaceDE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fr-CA"/>
              </w:rPr>
            </w:pPr>
            <w:r>
              <w:rPr>
                <w:rFonts w:ascii="Times New Roman" w:hAnsi="Times New Roman" w:cs="Times New Roman"/>
                <w:color w:val="000000"/>
                <w:sz w:val="20"/>
                <w:szCs w:val="20"/>
                <w:lang w:val="fr-CA"/>
              </w:rPr>
              <w:t>(0.721)</w:t>
            </w:r>
          </w:p>
        </w:tc>
        <w:tc>
          <w:tcPr>
            <w:tcW w:w="920" w:type="dxa"/>
          </w:tcPr>
          <w:p w14:paraId="13FE18E7" w14:textId="77777777" w:rsidR="003817B7" w:rsidRDefault="00F120F4" w:rsidP="00AB7E94">
            <w:pPr>
              <w:autoSpaceDE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fr-CA"/>
              </w:rPr>
            </w:pPr>
            <w:r>
              <w:rPr>
                <w:rFonts w:ascii="Times New Roman" w:hAnsi="Times New Roman" w:cs="Times New Roman"/>
                <w:color w:val="000000"/>
                <w:sz w:val="20"/>
                <w:szCs w:val="20"/>
                <w:lang w:val="fr-CA"/>
              </w:rPr>
              <w:t>0.119</w:t>
            </w:r>
          </w:p>
          <w:p w14:paraId="160E1FA6" w14:textId="77777777" w:rsidR="00F120F4" w:rsidRPr="005B7E42" w:rsidRDefault="00F120F4" w:rsidP="00AB7E94">
            <w:pPr>
              <w:autoSpaceDE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fr-CA"/>
              </w:rPr>
            </w:pPr>
            <w:r>
              <w:rPr>
                <w:rFonts w:ascii="Times New Roman" w:hAnsi="Times New Roman" w:cs="Times New Roman"/>
                <w:color w:val="000000"/>
                <w:sz w:val="20"/>
                <w:szCs w:val="20"/>
                <w:lang w:val="fr-CA"/>
              </w:rPr>
              <w:t>(0.10)</w:t>
            </w:r>
          </w:p>
        </w:tc>
        <w:tc>
          <w:tcPr>
            <w:tcW w:w="900" w:type="dxa"/>
          </w:tcPr>
          <w:p w14:paraId="36E0F2F4" w14:textId="77777777" w:rsidR="003817B7" w:rsidRDefault="00F120F4" w:rsidP="00AB7E94">
            <w:pPr>
              <w:autoSpaceDE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fr-CA"/>
              </w:rPr>
            </w:pPr>
            <w:r>
              <w:rPr>
                <w:rFonts w:ascii="Times New Roman" w:hAnsi="Times New Roman" w:cs="Times New Roman"/>
                <w:color w:val="000000"/>
                <w:sz w:val="20"/>
                <w:szCs w:val="20"/>
                <w:lang w:val="fr-CA"/>
              </w:rPr>
              <w:t>-1.70</w:t>
            </w:r>
          </w:p>
          <w:p w14:paraId="6ED557B3" w14:textId="77777777" w:rsidR="00F120F4" w:rsidRPr="005B7E42" w:rsidRDefault="00F120F4" w:rsidP="00AB7E94">
            <w:pPr>
              <w:autoSpaceDE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fr-CA"/>
              </w:rPr>
            </w:pPr>
            <w:r>
              <w:rPr>
                <w:rFonts w:ascii="Times New Roman" w:hAnsi="Times New Roman" w:cs="Times New Roman"/>
                <w:color w:val="000000"/>
                <w:sz w:val="20"/>
                <w:szCs w:val="20"/>
                <w:lang w:val="fr-CA"/>
              </w:rPr>
              <w:t>(0.0885)</w:t>
            </w:r>
          </w:p>
        </w:tc>
        <w:tc>
          <w:tcPr>
            <w:tcW w:w="900" w:type="dxa"/>
          </w:tcPr>
          <w:p w14:paraId="09925ECC" w14:textId="77777777" w:rsidR="00F120F4" w:rsidRDefault="00F120F4" w:rsidP="00F120F4">
            <w:pPr>
              <w:pStyle w:val="PrformatHTML"/>
              <w:shd w:val="clear" w:color="auto" w:fill="FFFFFF"/>
              <w:wordWrap w:val="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lang w:val="fr-CA" w:eastAsia="en-US"/>
              </w:rPr>
            </w:pPr>
            <w:r>
              <w:rPr>
                <w:rStyle w:val="gd15mcfceub"/>
                <w:rFonts w:ascii="Lucida Console" w:hAnsi="Lucida Console"/>
                <w:color w:val="000000"/>
                <w:bdr w:val="none" w:sz="0" w:space="0" w:color="auto" w:frame="1"/>
              </w:rPr>
              <w:t>-</w:t>
            </w:r>
            <w:r w:rsidRPr="00F120F4">
              <w:rPr>
                <w:rFonts w:ascii="Times New Roman" w:eastAsiaTheme="minorHAnsi" w:hAnsi="Times New Roman" w:cs="Times New Roman"/>
                <w:lang w:val="fr-CA" w:eastAsia="en-US"/>
              </w:rPr>
              <w:t xml:space="preserve">24.6  </w:t>
            </w:r>
          </w:p>
          <w:p w14:paraId="4F4B79D2" w14:textId="77777777" w:rsidR="00F120F4" w:rsidRDefault="00F120F4" w:rsidP="00F120F4">
            <w:pPr>
              <w:pStyle w:val="PrformatHTML"/>
              <w:shd w:val="clear" w:color="auto" w:fill="FFFFFF"/>
              <w:wordWrap w:val="0"/>
              <w:cnfStyle w:val="000000100000" w:firstRow="0" w:lastRow="0" w:firstColumn="0" w:lastColumn="0" w:oddVBand="0" w:evenVBand="0" w:oddHBand="1" w:evenHBand="0" w:firstRowFirstColumn="0" w:firstRowLastColumn="0" w:lastRowFirstColumn="0" w:lastRowLastColumn="0"/>
              <w:rPr>
                <w:rFonts w:ascii="Lucida Console" w:hAnsi="Lucida Console"/>
                <w:color w:val="000000"/>
              </w:rPr>
            </w:pPr>
            <w:r>
              <w:rPr>
                <w:rFonts w:ascii="Times New Roman" w:eastAsiaTheme="minorHAnsi" w:hAnsi="Times New Roman" w:cs="Times New Roman"/>
                <w:lang w:val="fr-CA" w:eastAsia="en-US"/>
              </w:rPr>
              <w:t>(</w:t>
            </w:r>
            <w:r w:rsidRPr="00F120F4">
              <w:rPr>
                <w:rFonts w:ascii="Times New Roman" w:eastAsiaTheme="minorHAnsi" w:hAnsi="Times New Roman" w:cs="Times New Roman"/>
                <w:lang w:val="fr-CA" w:eastAsia="en-US"/>
              </w:rPr>
              <w:t>0.024</w:t>
            </w:r>
            <w:r>
              <w:rPr>
                <w:rFonts w:ascii="Times New Roman" w:eastAsiaTheme="minorHAnsi" w:hAnsi="Times New Roman" w:cs="Times New Roman"/>
                <w:lang w:val="fr-CA" w:eastAsia="en-US"/>
              </w:rPr>
              <w:t>)</w:t>
            </w:r>
          </w:p>
          <w:p w14:paraId="1D8D5298" w14:textId="77777777" w:rsidR="003817B7" w:rsidRPr="005B7E42" w:rsidRDefault="003817B7" w:rsidP="00AB7E94">
            <w:pPr>
              <w:autoSpaceDE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fr-CA"/>
              </w:rPr>
            </w:pPr>
          </w:p>
        </w:tc>
        <w:tc>
          <w:tcPr>
            <w:tcW w:w="830" w:type="dxa"/>
          </w:tcPr>
          <w:p w14:paraId="51A65ADF" w14:textId="77777777" w:rsidR="00F120F4" w:rsidRPr="00F120F4" w:rsidRDefault="00F120F4" w:rsidP="00F120F4">
            <w:pPr>
              <w:pStyle w:val="PrformatHTML"/>
              <w:shd w:val="clear" w:color="auto" w:fill="FFFFFF"/>
              <w:wordWrap w:val="0"/>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color w:val="000000"/>
                <w:lang w:val="fr-CA" w:eastAsia="en-US"/>
              </w:rPr>
            </w:pPr>
            <w:r w:rsidRPr="00F120F4">
              <w:rPr>
                <w:rFonts w:ascii="Times New Roman" w:eastAsiaTheme="minorHAnsi" w:hAnsi="Times New Roman" w:cs="Times New Roman"/>
                <w:lang w:val="fr-CA" w:eastAsia="en-US"/>
              </w:rPr>
              <w:t xml:space="preserve">0.0232     </w:t>
            </w:r>
            <w:r>
              <w:rPr>
                <w:rFonts w:ascii="Times New Roman" w:eastAsiaTheme="minorHAnsi" w:hAnsi="Times New Roman" w:cs="Times New Roman"/>
                <w:lang w:val="fr-CA" w:eastAsia="en-US"/>
              </w:rPr>
              <w:t>(</w:t>
            </w:r>
            <w:r w:rsidRPr="00F120F4">
              <w:rPr>
                <w:rFonts w:ascii="Times New Roman" w:eastAsiaTheme="minorHAnsi" w:hAnsi="Times New Roman" w:cs="Times New Roman"/>
                <w:lang w:val="fr-CA" w:eastAsia="en-US"/>
              </w:rPr>
              <w:t>0.1</w:t>
            </w:r>
            <w:r>
              <w:rPr>
                <w:rFonts w:ascii="Times New Roman" w:eastAsiaTheme="minorHAnsi" w:hAnsi="Times New Roman" w:cs="Times New Roman"/>
                <w:lang w:val="fr-CA" w:eastAsia="en-US"/>
              </w:rPr>
              <w:t>)</w:t>
            </w:r>
          </w:p>
          <w:p w14:paraId="75F90C0D" w14:textId="77777777" w:rsidR="003817B7" w:rsidRPr="005B7E42" w:rsidRDefault="003817B7" w:rsidP="00AB7E94">
            <w:pPr>
              <w:autoSpaceDE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fr-CA"/>
              </w:rPr>
            </w:pPr>
          </w:p>
        </w:tc>
        <w:tc>
          <w:tcPr>
            <w:tcW w:w="2070" w:type="dxa"/>
          </w:tcPr>
          <w:p w14:paraId="6E505644" w14:textId="77777777" w:rsidR="003817B7" w:rsidRPr="005B7E42" w:rsidRDefault="003817B7" w:rsidP="00AB7E94">
            <w:pPr>
              <w:autoSpaceDE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fr-CA"/>
              </w:rPr>
            </w:pPr>
            <w:r>
              <w:rPr>
                <w:rFonts w:ascii="Times New Roman" w:hAnsi="Times New Roman" w:cs="Times New Roman"/>
                <w:color w:val="000000"/>
                <w:sz w:val="20"/>
                <w:szCs w:val="20"/>
                <w:lang w:val="fr-CA"/>
              </w:rPr>
              <w:t>I (1</w:t>
            </w:r>
            <w:r w:rsidRPr="005B7E42">
              <w:rPr>
                <w:rFonts w:ascii="Times New Roman" w:hAnsi="Times New Roman" w:cs="Times New Roman"/>
                <w:color w:val="000000"/>
                <w:sz w:val="20"/>
                <w:szCs w:val="20"/>
                <w:lang w:val="fr-CA"/>
              </w:rPr>
              <w:t xml:space="preserve">) </w:t>
            </w:r>
            <w:r>
              <w:rPr>
                <w:rFonts w:ascii="Times New Roman" w:hAnsi="Times New Roman" w:cs="Times New Roman"/>
                <w:color w:val="000000"/>
                <w:sz w:val="20"/>
                <w:szCs w:val="20"/>
                <w:lang w:val="fr-CA"/>
              </w:rPr>
              <w:t>sans tendance ni constante</w:t>
            </w:r>
          </w:p>
        </w:tc>
      </w:tr>
    </w:tbl>
    <w:p w14:paraId="2FE42B3F" w14:textId="77777777" w:rsidR="001128A3" w:rsidRDefault="004D2EFF" w:rsidP="004D2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000000"/>
          <w:sz w:val="20"/>
          <w:szCs w:val="20"/>
          <w:lang w:eastAsia="fr-FR"/>
        </w:rPr>
      </w:pPr>
      <w:r w:rsidRPr="001D39BA">
        <w:rPr>
          <w:rFonts w:ascii="Times New Roman" w:eastAsia="Times New Roman" w:hAnsi="Times New Roman" w:cs="Times New Roman"/>
          <w:b/>
          <w:color w:val="000000"/>
          <w:sz w:val="20"/>
          <w:szCs w:val="20"/>
          <w:lang w:eastAsia="fr-FR"/>
        </w:rPr>
        <w:t xml:space="preserve">Source : </w:t>
      </w:r>
      <w:r w:rsidR="00DE6D6E" w:rsidRPr="00317520">
        <w:rPr>
          <w:rFonts w:ascii="Times New Roman" w:eastAsia="Times New Roman" w:hAnsi="Times New Roman" w:cs="Times New Roman"/>
          <w:b/>
          <w:bCs/>
          <w:color w:val="000000"/>
          <w:sz w:val="20"/>
          <w:szCs w:val="20"/>
          <w:lang w:eastAsia="fr-FR"/>
        </w:rPr>
        <w:t xml:space="preserve">Compte déplacements des voyageurs en Île-de-France (Île de France Mobilités) et Île-de-France Mobilités, d'après RATP, </w:t>
      </w:r>
      <w:proofErr w:type="spellStart"/>
      <w:r w:rsidR="00DE6D6E" w:rsidRPr="00317520">
        <w:rPr>
          <w:rFonts w:ascii="Times New Roman" w:eastAsia="Times New Roman" w:hAnsi="Times New Roman" w:cs="Times New Roman"/>
          <w:b/>
          <w:bCs/>
          <w:color w:val="000000"/>
          <w:sz w:val="20"/>
          <w:szCs w:val="20"/>
          <w:lang w:eastAsia="fr-FR"/>
        </w:rPr>
        <w:t>Optile</w:t>
      </w:r>
      <w:proofErr w:type="spellEnd"/>
      <w:r w:rsidR="00DE6D6E" w:rsidRPr="00317520">
        <w:rPr>
          <w:rFonts w:ascii="Times New Roman" w:eastAsia="Times New Roman" w:hAnsi="Times New Roman" w:cs="Times New Roman"/>
          <w:b/>
          <w:bCs/>
          <w:color w:val="000000"/>
          <w:sz w:val="20"/>
          <w:szCs w:val="20"/>
          <w:lang w:eastAsia="fr-FR"/>
        </w:rPr>
        <w:t xml:space="preserve"> et SNCF</w:t>
      </w:r>
    </w:p>
    <w:p w14:paraId="77F1E72F" w14:textId="3833A23F" w:rsidR="003817B7" w:rsidRPr="004D2EFF" w:rsidRDefault="00DE6D6E" w:rsidP="004D2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sz w:val="20"/>
          <w:szCs w:val="20"/>
        </w:rPr>
      </w:pPr>
      <w:r w:rsidRPr="00317520">
        <w:rPr>
          <w:rFonts w:ascii="Times New Roman" w:hAnsi="Times New Roman" w:cs="Times New Roman"/>
          <w:b/>
          <w:bCs/>
          <w:sz w:val="20"/>
        </w:rPr>
        <w:tab/>
      </w:r>
    </w:p>
    <w:p w14:paraId="163EEBDD" w14:textId="77777777" w:rsidR="00F120F4" w:rsidRDefault="00F120F4" w:rsidP="00F120F4">
      <w:pPr>
        <w:pStyle w:val="PrformatHTML"/>
        <w:shd w:val="clear" w:color="auto" w:fill="FFFFFF"/>
        <w:wordWrap w:val="0"/>
        <w:rPr>
          <w:rFonts w:ascii="Lucida Console" w:hAnsi="Lucida Console"/>
          <w:color w:val="000000"/>
        </w:rPr>
      </w:pPr>
    </w:p>
    <w:p w14:paraId="3C159780" w14:textId="7A7CEC59" w:rsidR="006C16A3" w:rsidRDefault="00A638A8" w:rsidP="003817B7">
      <w:pPr>
        <w:jc w:val="both"/>
        <w:rPr>
          <w:rFonts w:ascii="Times New Roman" w:hAnsi="Times New Roman" w:cs="Times New Roman"/>
          <w:sz w:val="24"/>
        </w:rPr>
      </w:pPr>
      <w:r w:rsidRPr="00410E74">
        <w:rPr>
          <w:rFonts w:ascii="Times New Roman" w:hAnsi="Times New Roman" w:cs="Times New Roman"/>
          <w:sz w:val="24"/>
        </w:rPr>
        <w:t xml:space="preserve">Pour </w:t>
      </w:r>
      <w:r w:rsidR="00410E74" w:rsidRPr="00410E74">
        <w:rPr>
          <w:rFonts w:ascii="Times New Roman" w:hAnsi="Times New Roman" w:cs="Times New Roman"/>
          <w:sz w:val="24"/>
        </w:rPr>
        <w:t>déterminer</w:t>
      </w:r>
      <w:r w:rsidRPr="00410E74">
        <w:rPr>
          <w:rFonts w:ascii="Times New Roman" w:hAnsi="Times New Roman" w:cs="Times New Roman"/>
          <w:sz w:val="24"/>
        </w:rPr>
        <w:t xml:space="preserve"> le nombre </w:t>
      </w:r>
      <w:r w:rsidR="00DD2F01" w:rsidRPr="00410E74">
        <w:rPr>
          <w:rFonts w:ascii="Times New Roman" w:hAnsi="Times New Roman" w:cs="Times New Roman"/>
          <w:sz w:val="24"/>
        </w:rPr>
        <w:t xml:space="preserve">optimal </w:t>
      </w:r>
      <w:r w:rsidRPr="00410E74">
        <w:rPr>
          <w:rFonts w:ascii="Times New Roman" w:hAnsi="Times New Roman" w:cs="Times New Roman"/>
          <w:sz w:val="24"/>
        </w:rPr>
        <w:t>de retard</w:t>
      </w:r>
      <w:r w:rsidR="00DD2F01">
        <w:rPr>
          <w:rFonts w:ascii="Times New Roman" w:hAnsi="Times New Roman" w:cs="Times New Roman"/>
          <w:sz w:val="24"/>
        </w:rPr>
        <w:t>s</w:t>
      </w:r>
      <w:r w:rsidRPr="00410E74">
        <w:rPr>
          <w:rFonts w:ascii="Times New Roman" w:hAnsi="Times New Roman" w:cs="Times New Roman"/>
          <w:sz w:val="24"/>
        </w:rPr>
        <w:t xml:space="preserve"> pour chaque variable</w:t>
      </w:r>
      <w:r w:rsidR="002D2D5F">
        <w:rPr>
          <w:rFonts w:ascii="Times New Roman" w:hAnsi="Times New Roman" w:cs="Times New Roman"/>
          <w:sz w:val="24"/>
        </w:rPr>
        <w:t xml:space="preserve"> </w:t>
      </w:r>
      <w:r w:rsidRPr="00410E74">
        <w:rPr>
          <w:rFonts w:ascii="Times New Roman" w:hAnsi="Times New Roman" w:cs="Times New Roman"/>
          <w:sz w:val="24"/>
        </w:rPr>
        <w:t xml:space="preserve">compte tenu maintenant du nombre suffisant d’observations </w:t>
      </w:r>
      <w:r w:rsidR="000A44AE">
        <w:rPr>
          <w:rFonts w:ascii="Times New Roman" w:hAnsi="Times New Roman" w:cs="Times New Roman"/>
          <w:sz w:val="24"/>
        </w:rPr>
        <w:t>dont</w:t>
      </w:r>
      <w:r w:rsidRPr="00410E74">
        <w:rPr>
          <w:rFonts w:ascii="Times New Roman" w:hAnsi="Times New Roman" w:cs="Times New Roman"/>
          <w:sz w:val="24"/>
        </w:rPr>
        <w:t xml:space="preserve"> nous disposons pour la </w:t>
      </w:r>
      <w:r w:rsidR="00410E74" w:rsidRPr="00410E74">
        <w:rPr>
          <w:rFonts w:ascii="Times New Roman" w:hAnsi="Times New Roman" w:cs="Times New Roman"/>
          <w:sz w:val="24"/>
        </w:rPr>
        <w:t>série</w:t>
      </w:r>
      <w:r w:rsidRPr="00410E74">
        <w:rPr>
          <w:rFonts w:ascii="Times New Roman" w:hAnsi="Times New Roman" w:cs="Times New Roman"/>
          <w:sz w:val="24"/>
        </w:rPr>
        <w:t xml:space="preserve">, nous utiliserons les </w:t>
      </w:r>
      <w:r w:rsidR="00410E74" w:rsidRPr="00410E74">
        <w:rPr>
          <w:rFonts w:ascii="Times New Roman" w:hAnsi="Times New Roman" w:cs="Times New Roman"/>
          <w:sz w:val="24"/>
        </w:rPr>
        <w:t>critères</w:t>
      </w:r>
      <w:r w:rsidRPr="00410E74">
        <w:rPr>
          <w:rFonts w:ascii="Times New Roman" w:hAnsi="Times New Roman" w:cs="Times New Roman"/>
          <w:sz w:val="24"/>
        </w:rPr>
        <w:t xml:space="preserve"> d’informations usuelles </w:t>
      </w:r>
      <w:r w:rsidRPr="00FB37B0">
        <w:rPr>
          <w:rFonts w:ascii="Times New Roman" w:hAnsi="Times New Roman" w:cs="Times New Roman"/>
          <w:sz w:val="24"/>
        </w:rPr>
        <w:t>AIC, HQ, SC, FPE</w:t>
      </w:r>
      <w:r w:rsidRPr="00410E74">
        <w:rPr>
          <w:rFonts w:ascii="Times New Roman" w:hAnsi="Times New Roman" w:cs="Times New Roman"/>
          <w:sz w:val="24"/>
        </w:rPr>
        <w:t xml:space="preserve">. Ces derniers sont obtenus </w:t>
      </w:r>
      <w:r w:rsidR="00410E74" w:rsidRPr="00410E74">
        <w:rPr>
          <w:rFonts w:ascii="Times New Roman" w:hAnsi="Times New Roman" w:cs="Times New Roman"/>
          <w:sz w:val="24"/>
        </w:rPr>
        <w:t>grâce</w:t>
      </w:r>
      <w:r w:rsidRPr="00410E74">
        <w:rPr>
          <w:rFonts w:ascii="Times New Roman" w:hAnsi="Times New Roman" w:cs="Times New Roman"/>
          <w:sz w:val="24"/>
        </w:rPr>
        <w:t xml:space="preserve"> </w:t>
      </w:r>
      <w:r w:rsidR="00410E74" w:rsidRPr="00410E74">
        <w:rPr>
          <w:rFonts w:ascii="Times New Roman" w:hAnsi="Times New Roman" w:cs="Times New Roman"/>
          <w:sz w:val="24"/>
        </w:rPr>
        <w:t>à</w:t>
      </w:r>
      <w:r w:rsidRPr="00410E74">
        <w:rPr>
          <w:rFonts w:ascii="Times New Roman" w:hAnsi="Times New Roman" w:cs="Times New Roman"/>
          <w:sz w:val="24"/>
        </w:rPr>
        <w:t xml:space="preserve"> la </w:t>
      </w:r>
      <w:r w:rsidR="00410E74" w:rsidRPr="00410E74">
        <w:rPr>
          <w:rFonts w:ascii="Times New Roman" w:hAnsi="Times New Roman" w:cs="Times New Roman"/>
          <w:sz w:val="24"/>
        </w:rPr>
        <w:t>procédure</w:t>
      </w:r>
      <w:r w:rsidRPr="00410E74">
        <w:rPr>
          <w:rFonts w:ascii="Times New Roman" w:hAnsi="Times New Roman" w:cs="Times New Roman"/>
          <w:sz w:val="24"/>
        </w:rPr>
        <w:t xml:space="preserve"> VAR dans le package « </w:t>
      </w:r>
      <w:proofErr w:type="spellStart"/>
      <w:r w:rsidRPr="00410E74">
        <w:rPr>
          <w:rFonts w:ascii="Times New Roman" w:hAnsi="Times New Roman" w:cs="Times New Roman"/>
          <w:sz w:val="24"/>
        </w:rPr>
        <w:t>DLAgM</w:t>
      </w:r>
      <w:proofErr w:type="spellEnd"/>
      <w:r w:rsidRPr="00410E74">
        <w:rPr>
          <w:rFonts w:ascii="Times New Roman" w:hAnsi="Times New Roman" w:cs="Times New Roman"/>
          <w:sz w:val="24"/>
        </w:rPr>
        <w:t xml:space="preserve"> » de R studio. </w:t>
      </w:r>
    </w:p>
    <w:p w14:paraId="5847268A" w14:textId="77777777" w:rsidR="00071463" w:rsidRDefault="00071463" w:rsidP="003817B7">
      <w:pPr>
        <w:jc w:val="both"/>
        <w:rPr>
          <w:rFonts w:ascii="Times New Roman" w:hAnsi="Times New Roman" w:cs="Times New Roman"/>
          <w:sz w:val="24"/>
        </w:rPr>
      </w:pPr>
    </w:p>
    <w:p w14:paraId="586BFA50" w14:textId="170D9DFF" w:rsidR="000A44AE" w:rsidRPr="000A44AE" w:rsidRDefault="000A44AE" w:rsidP="003817B7">
      <w:pPr>
        <w:jc w:val="both"/>
        <w:rPr>
          <w:rFonts w:ascii="Times New Roman" w:hAnsi="Times New Roman" w:cs="Times New Roman"/>
          <w:b/>
          <w:sz w:val="28"/>
        </w:rPr>
      </w:pPr>
      <w:r w:rsidRPr="000A44AE">
        <w:rPr>
          <w:rStyle w:val="gd15mcfceub"/>
          <w:rFonts w:ascii="Times New Roman" w:hAnsi="Times New Roman" w:cs="Times New Roman"/>
          <w:b/>
          <w:color w:val="000000"/>
          <w:sz w:val="24"/>
          <w:bdr w:val="none" w:sz="0" w:space="0" w:color="auto" w:frame="1"/>
        </w:rPr>
        <w:t>Tableau 6 : Nombre de retard</w:t>
      </w:r>
      <w:r w:rsidR="00930893">
        <w:rPr>
          <w:rStyle w:val="gd15mcfceub"/>
          <w:rFonts w:ascii="Times New Roman" w:hAnsi="Times New Roman" w:cs="Times New Roman"/>
          <w:b/>
          <w:color w:val="000000"/>
          <w:sz w:val="24"/>
          <w:bdr w:val="none" w:sz="0" w:space="0" w:color="auto" w:frame="1"/>
        </w:rPr>
        <w:t>s</w:t>
      </w:r>
      <w:r w:rsidRPr="000A44AE">
        <w:rPr>
          <w:rStyle w:val="gd15mcfceub"/>
          <w:rFonts w:ascii="Times New Roman" w:hAnsi="Times New Roman" w:cs="Times New Roman"/>
          <w:b/>
          <w:color w:val="000000"/>
          <w:sz w:val="24"/>
          <w:bdr w:val="none" w:sz="0" w:space="0" w:color="auto" w:frame="1"/>
        </w:rPr>
        <w:t xml:space="preserve"> optimal pour chacune des variables</w:t>
      </w:r>
    </w:p>
    <w:tbl>
      <w:tblPr>
        <w:tblStyle w:val="Tableausimple2"/>
        <w:tblW w:w="0" w:type="auto"/>
        <w:tblLook w:val="04A0" w:firstRow="1" w:lastRow="0" w:firstColumn="1" w:lastColumn="0" w:noHBand="0" w:noVBand="1"/>
      </w:tblPr>
      <w:tblGrid>
        <w:gridCol w:w="1965"/>
        <w:gridCol w:w="1927"/>
        <w:gridCol w:w="1887"/>
        <w:gridCol w:w="1887"/>
        <w:gridCol w:w="1684"/>
      </w:tblGrid>
      <w:tr w:rsidR="00410E74" w:rsidRPr="00761424" w14:paraId="0E0BB744" w14:textId="77777777" w:rsidTr="00761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5" w:type="dxa"/>
            <w:vAlign w:val="center"/>
          </w:tcPr>
          <w:p w14:paraId="19DCFF60" w14:textId="77777777" w:rsidR="00410E74" w:rsidRPr="00761424" w:rsidRDefault="00410E74" w:rsidP="00761424">
            <w:pPr>
              <w:jc w:val="center"/>
              <w:rPr>
                <w:rFonts w:ascii="Times New Roman" w:hAnsi="Times New Roman" w:cs="Times New Roman"/>
                <w:b w:val="0"/>
                <w:sz w:val="24"/>
              </w:rPr>
            </w:pPr>
            <w:r w:rsidRPr="00761424">
              <w:rPr>
                <w:rFonts w:ascii="Times New Roman" w:hAnsi="Times New Roman" w:cs="Times New Roman"/>
                <w:b w:val="0"/>
                <w:sz w:val="24"/>
              </w:rPr>
              <w:t>Variables</w:t>
            </w:r>
          </w:p>
        </w:tc>
        <w:tc>
          <w:tcPr>
            <w:tcW w:w="1927" w:type="dxa"/>
            <w:vAlign w:val="center"/>
          </w:tcPr>
          <w:p w14:paraId="4E3DC4BD" w14:textId="77777777" w:rsidR="00410E74" w:rsidRPr="00761424" w:rsidRDefault="00410E74" w:rsidP="0076142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761424">
              <w:rPr>
                <w:rStyle w:val="gd15mcfceub"/>
                <w:rFonts w:ascii="Times New Roman" w:hAnsi="Times New Roman" w:cs="Times New Roman"/>
                <w:color w:val="000000"/>
                <w:bdr w:val="none" w:sz="0" w:space="0" w:color="auto" w:frame="1"/>
              </w:rPr>
              <w:t>AIC(n)</w:t>
            </w:r>
          </w:p>
        </w:tc>
        <w:tc>
          <w:tcPr>
            <w:tcW w:w="1887" w:type="dxa"/>
            <w:vAlign w:val="center"/>
          </w:tcPr>
          <w:p w14:paraId="32B16FB6" w14:textId="77777777" w:rsidR="00410E74" w:rsidRPr="00761424" w:rsidRDefault="00410E74" w:rsidP="0076142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761424">
              <w:rPr>
                <w:rStyle w:val="gd15mcfceub"/>
                <w:rFonts w:ascii="Times New Roman" w:hAnsi="Times New Roman" w:cs="Times New Roman"/>
                <w:color w:val="000000"/>
                <w:bdr w:val="none" w:sz="0" w:space="0" w:color="auto" w:frame="1"/>
              </w:rPr>
              <w:t>HQ(n)</w:t>
            </w:r>
          </w:p>
        </w:tc>
        <w:tc>
          <w:tcPr>
            <w:tcW w:w="1887" w:type="dxa"/>
            <w:vAlign w:val="center"/>
          </w:tcPr>
          <w:p w14:paraId="5C1765EB" w14:textId="77777777" w:rsidR="00410E74" w:rsidRPr="00761424" w:rsidRDefault="00410E74" w:rsidP="0076142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761424">
              <w:rPr>
                <w:rStyle w:val="gd15mcfceub"/>
                <w:rFonts w:ascii="Times New Roman" w:hAnsi="Times New Roman" w:cs="Times New Roman"/>
                <w:color w:val="000000"/>
                <w:bdr w:val="none" w:sz="0" w:space="0" w:color="auto" w:frame="1"/>
              </w:rPr>
              <w:t>SC(n)</w:t>
            </w:r>
          </w:p>
        </w:tc>
        <w:tc>
          <w:tcPr>
            <w:tcW w:w="1684" w:type="dxa"/>
            <w:vAlign w:val="center"/>
          </w:tcPr>
          <w:p w14:paraId="08ADC92F" w14:textId="77777777" w:rsidR="00410E74" w:rsidRPr="00761424" w:rsidRDefault="00410E74" w:rsidP="00761424">
            <w:pPr>
              <w:jc w:val="center"/>
              <w:cnfStyle w:val="100000000000" w:firstRow="1" w:lastRow="0" w:firstColumn="0" w:lastColumn="0" w:oddVBand="0" w:evenVBand="0" w:oddHBand="0" w:evenHBand="0" w:firstRowFirstColumn="0" w:firstRowLastColumn="0" w:lastRowFirstColumn="0" w:lastRowLastColumn="0"/>
              <w:rPr>
                <w:rStyle w:val="gd15mcfceub"/>
                <w:rFonts w:ascii="Times New Roman" w:hAnsi="Times New Roman" w:cs="Times New Roman"/>
                <w:color w:val="000000"/>
                <w:bdr w:val="none" w:sz="0" w:space="0" w:color="auto" w:frame="1"/>
              </w:rPr>
            </w:pPr>
            <w:r w:rsidRPr="00761424">
              <w:rPr>
                <w:rStyle w:val="gd15mcfceub"/>
                <w:rFonts w:ascii="Times New Roman" w:hAnsi="Times New Roman" w:cs="Times New Roman"/>
                <w:color w:val="000000"/>
                <w:bdr w:val="none" w:sz="0" w:space="0" w:color="auto" w:frame="1"/>
              </w:rPr>
              <w:t>FPE(n)</w:t>
            </w:r>
          </w:p>
        </w:tc>
      </w:tr>
      <w:tr w:rsidR="00410E74" w:rsidRPr="00761424" w14:paraId="381DE7E3" w14:textId="77777777" w:rsidTr="0076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5" w:type="dxa"/>
            <w:vAlign w:val="center"/>
          </w:tcPr>
          <w:p w14:paraId="72825F1A" w14:textId="77777777" w:rsidR="00410E74" w:rsidRPr="00761424" w:rsidRDefault="00410E74" w:rsidP="00761424">
            <w:pPr>
              <w:jc w:val="center"/>
              <w:rPr>
                <w:rFonts w:ascii="Times New Roman" w:hAnsi="Times New Roman" w:cs="Times New Roman"/>
                <w:sz w:val="24"/>
              </w:rPr>
            </w:pPr>
            <w:r w:rsidRPr="00761424">
              <w:rPr>
                <w:rFonts w:ascii="Times New Roman" w:hAnsi="Times New Roman" w:cs="Times New Roman"/>
                <w:color w:val="000000"/>
                <w:sz w:val="20"/>
                <w:szCs w:val="20"/>
                <w:lang w:val="fr-CA"/>
              </w:rPr>
              <w:t>Rentabilité Mensuelle</w:t>
            </w:r>
          </w:p>
        </w:tc>
        <w:tc>
          <w:tcPr>
            <w:tcW w:w="1927" w:type="dxa"/>
            <w:vAlign w:val="center"/>
          </w:tcPr>
          <w:p w14:paraId="0E875984" w14:textId="77777777" w:rsidR="00410E74" w:rsidRPr="00761424" w:rsidRDefault="00410E74" w:rsidP="00761424">
            <w:pPr>
              <w:jc w:val="center"/>
              <w:cnfStyle w:val="000000100000" w:firstRow="0" w:lastRow="0" w:firstColumn="0" w:lastColumn="0" w:oddVBand="0" w:evenVBand="0" w:oddHBand="1" w:evenHBand="0" w:firstRowFirstColumn="0" w:firstRowLastColumn="0" w:lastRowFirstColumn="0" w:lastRowLastColumn="0"/>
              <w:rPr>
                <w:rStyle w:val="gd15mcfceub"/>
                <w:rFonts w:ascii="Times New Roman" w:hAnsi="Times New Roman" w:cs="Times New Roman"/>
                <w:color w:val="000000"/>
                <w:bdr w:val="none" w:sz="0" w:space="0" w:color="auto" w:frame="1"/>
              </w:rPr>
            </w:pPr>
            <w:r w:rsidRPr="00761424">
              <w:rPr>
                <w:rStyle w:val="gd15mcfceub"/>
                <w:rFonts w:ascii="Times New Roman" w:hAnsi="Times New Roman" w:cs="Times New Roman"/>
                <w:color w:val="000000"/>
                <w:bdr w:val="none" w:sz="0" w:space="0" w:color="auto" w:frame="1"/>
              </w:rPr>
              <w:t>3</w:t>
            </w:r>
          </w:p>
        </w:tc>
        <w:tc>
          <w:tcPr>
            <w:tcW w:w="1887" w:type="dxa"/>
            <w:vAlign w:val="center"/>
          </w:tcPr>
          <w:p w14:paraId="7981D42C" w14:textId="77777777" w:rsidR="00410E74" w:rsidRPr="00761424" w:rsidRDefault="00410E74" w:rsidP="00761424">
            <w:pPr>
              <w:jc w:val="center"/>
              <w:cnfStyle w:val="000000100000" w:firstRow="0" w:lastRow="0" w:firstColumn="0" w:lastColumn="0" w:oddVBand="0" w:evenVBand="0" w:oddHBand="1" w:evenHBand="0" w:firstRowFirstColumn="0" w:firstRowLastColumn="0" w:lastRowFirstColumn="0" w:lastRowLastColumn="0"/>
              <w:rPr>
                <w:rStyle w:val="gd15mcfceub"/>
                <w:rFonts w:ascii="Times New Roman" w:hAnsi="Times New Roman" w:cs="Times New Roman"/>
                <w:color w:val="000000"/>
                <w:bdr w:val="none" w:sz="0" w:space="0" w:color="auto" w:frame="1"/>
              </w:rPr>
            </w:pPr>
            <w:r w:rsidRPr="00761424">
              <w:rPr>
                <w:rStyle w:val="gd15mcfceub"/>
                <w:rFonts w:ascii="Times New Roman" w:hAnsi="Times New Roman" w:cs="Times New Roman"/>
                <w:color w:val="000000"/>
                <w:bdr w:val="none" w:sz="0" w:space="0" w:color="auto" w:frame="1"/>
              </w:rPr>
              <w:t>3</w:t>
            </w:r>
          </w:p>
        </w:tc>
        <w:tc>
          <w:tcPr>
            <w:tcW w:w="1887" w:type="dxa"/>
            <w:vAlign w:val="center"/>
          </w:tcPr>
          <w:p w14:paraId="04B5972C" w14:textId="77777777" w:rsidR="00410E74" w:rsidRPr="00761424" w:rsidRDefault="00410E74" w:rsidP="00761424">
            <w:pPr>
              <w:jc w:val="center"/>
              <w:cnfStyle w:val="000000100000" w:firstRow="0" w:lastRow="0" w:firstColumn="0" w:lastColumn="0" w:oddVBand="0" w:evenVBand="0" w:oddHBand="1" w:evenHBand="0" w:firstRowFirstColumn="0" w:firstRowLastColumn="0" w:lastRowFirstColumn="0" w:lastRowLastColumn="0"/>
              <w:rPr>
                <w:rStyle w:val="gd15mcfceub"/>
                <w:rFonts w:ascii="Times New Roman" w:hAnsi="Times New Roman" w:cs="Times New Roman"/>
                <w:color w:val="000000"/>
                <w:bdr w:val="none" w:sz="0" w:space="0" w:color="auto" w:frame="1"/>
              </w:rPr>
            </w:pPr>
            <w:r w:rsidRPr="00761424">
              <w:rPr>
                <w:rStyle w:val="gd15mcfceub"/>
                <w:rFonts w:ascii="Times New Roman" w:hAnsi="Times New Roman" w:cs="Times New Roman"/>
                <w:color w:val="000000"/>
                <w:bdr w:val="none" w:sz="0" w:space="0" w:color="auto" w:frame="1"/>
              </w:rPr>
              <w:t>3</w:t>
            </w:r>
          </w:p>
        </w:tc>
        <w:tc>
          <w:tcPr>
            <w:tcW w:w="1684" w:type="dxa"/>
            <w:vAlign w:val="center"/>
          </w:tcPr>
          <w:p w14:paraId="457517C6" w14:textId="77777777" w:rsidR="00410E74" w:rsidRPr="00761424" w:rsidRDefault="00410E74" w:rsidP="00761424">
            <w:pPr>
              <w:jc w:val="center"/>
              <w:cnfStyle w:val="000000100000" w:firstRow="0" w:lastRow="0" w:firstColumn="0" w:lastColumn="0" w:oddVBand="0" w:evenVBand="0" w:oddHBand="1" w:evenHBand="0" w:firstRowFirstColumn="0" w:firstRowLastColumn="0" w:lastRowFirstColumn="0" w:lastRowLastColumn="0"/>
              <w:rPr>
                <w:rStyle w:val="gd15mcfceub"/>
                <w:rFonts w:ascii="Times New Roman" w:hAnsi="Times New Roman" w:cs="Times New Roman"/>
                <w:color w:val="000000"/>
                <w:bdr w:val="none" w:sz="0" w:space="0" w:color="auto" w:frame="1"/>
              </w:rPr>
            </w:pPr>
            <w:r w:rsidRPr="00761424">
              <w:rPr>
                <w:rStyle w:val="gd15mcfceub"/>
                <w:rFonts w:ascii="Times New Roman" w:hAnsi="Times New Roman" w:cs="Times New Roman"/>
                <w:color w:val="000000"/>
                <w:bdr w:val="none" w:sz="0" w:space="0" w:color="auto" w:frame="1"/>
              </w:rPr>
              <w:t>3</w:t>
            </w:r>
          </w:p>
        </w:tc>
      </w:tr>
      <w:tr w:rsidR="00410E74" w:rsidRPr="00761424" w14:paraId="4AB3A3EB" w14:textId="77777777" w:rsidTr="00761424">
        <w:tc>
          <w:tcPr>
            <w:cnfStyle w:val="001000000000" w:firstRow="0" w:lastRow="0" w:firstColumn="1" w:lastColumn="0" w:oddVBand="0" w:evenVBand="0" w:oddHBand="0" w:evenHBand="0" w:firstRowFirstColumn="0" w:firstRowLastColumn="0" w:lastRowFirstColumn="0" w:lastRowLastColumn="0"/>
            <w:tcW w:w="1965" w:type="dxa"/>
            <w:vAlign w:val="center"/>
          </w:tcPr>
          <w:p w14:paraId="6E55CAF3" w14:textId="77777777" w:rsidR="00410E74" w:rsidRPr="00761424" w:rsidRDefault="00410E74" w:rsidP="00761424">
            <w:pPr>
              <w:jc w:val="center"/>
              <w:rPr>
                <w:rFonts w:ascii="Times New Roman" w:hAnsi="Times New Roman" w:cs="Times New Roman"/>
                <w:color w:val="000000"/>
                <w:sz w:val="20"/>
                <w:szCs w:val="20"/>
                <w:lang w:val="fr-CA"/>
              </w:rPr>
            </w:pPr>
            <w:r w:rsidRPr="00761424">
              <w:rPr>
                <w:rFonts w:ascii="Times New Roman" w:hAnsi="Times New Roman" w:cs="Times New Roman"/>
                <w:color w:val="000000"/>
                <w:sz w:val="20"/>
                <w:szCs w:val="20"/>
                <w:lang w:val="fr-CA"/>
              </w:rPr>
              <w:t>Investissement Mensuel</w:t>
            </w:r>
          </w:p>
        </w:tc>
        <w:tc>
          <w:tcPr>
            <w:tcW w:w="1927" w:type="dxa"/>
            <w:vAlign w:val="center"/>
          </w:tcPr>
          <w:p w14:paraId="6C57C429" w14:textId="77777777" w:rsidR="00410E74" w:rsidRPr="00761424" w:rsidRDefault="00410E74" w:rsidP="00761424">
            <w:pPr>
              <w:jc w:val="center"/>
              <w:cnfStyle w:val="000000000000" w:firstRow="0" w:lastRow="0" w:firstColumn="0" w:lastColumn="0" w:oddVBand="0" w:evenVBand="0" w:oddHBand="0" w:evenHBand="0" w:firstRowFirstColumn="0" w:firstRowLastColumn="0" w:lastRowFirstColumn="0" w:lastRowLastColumn="0"/>
              <w:rPr>
                <w:rStyle w:val="gd15mcfceub"/>
                <w:rFonts w:ascii="Times New Roman" w:hAnsi="Times New Roman" w:cs="Times New Roman"/>
                <w:color w:val="000000"/>
                <w:bdr w:val="none" w:sz="0" w:space="0" w:color="auto" w:frame="1"/>
              </w:rPr>
            </w:pPr>
            <w:r w:rsidRPr="00761424">
              <w:rPr>
                <w:rStyle w:val="gd15mcfceub"/>
                <w:rFonts w:ascii="Times New Roman" w:hAnsi="Times New Roman" w:cs="Times New Roman"/>
                <w:color w:val="000000"/>
                <w:bdr w:val="none" w:sz="0" w:space="0" w:color="auto" w:frame="1"/>
              </w:rPr>
              <w:t>2</w:t>
            </w:r>
          </w:p>
        </w:tc>
        <w:tc>
          <w:tcPr>
            <w:tcW w:w="1887" w:type="dxa"/>
            <w:vAlign w:val="center"/>
          </w:tcPr>
          <w:p w14:paraId="7E0D4AB5" w14:textId="77777777" w:rsidR="00410E74" w:rsidRPr="00761424" w:rsidRDefault="00410E74" w:rsidP="00761424">
            <w:pPr>
              <w:jc w:val="center"/>
              <w:cnfStyle w:val="000000000000" w:firstRow="0" w:lastRow="0" w:firstColumn="0" w:lastColumn="0" w:oddVBand="0" w:evenVBand="0" w:oddHBand="0" w:evenHBand="0" w:firstRowFirstColumn="0" w:firstRowLastColumn="0" w:lastRowFirstColumn="0" w:lastRowLastColumn="0"/>
              <w:rPr>
                <w:rStyle w:val="gd15mcfceub"/>
                <w:rFonts w:ascii="Times New Roman" w:hAnsi="Times New Roman" w:cs="Times New Roman"/>
                <w:color w:val="000000"/>
                <w:bdr w:val="none" w:sz="0" w:space="0" w:color="auto" w:frame="1"/>
              </w:rPr>
            </w:pPr>
            <w:r w:rsidRPr="00761424">
              <w:rPr>
                <w:rStyle w:val="gd15mcfceub"/>
                <w:rFonts w:ascii="Times New Roman" w:hAnsi="Times New Roman" w:cs="Times New Roman"/>
                <w:color w:val="000000"/>
                <w:bdr w:val="none" w:sz="0" w:space="0" w:color="auto" w:frame="1"/>
              </w:rPr>
              <w:t>2</w:t>
            </w:r>
          </w:p>
        </w:tc>
        <w:tc>
          <w:tcPr>
            <w:tcW w:w="1887" w:type="dxa"/>
            <w:vAlign w:val="center"/>
          </w:tcPr>
          <w:p w14:paraId="5EF7FEA8" w14:textId="77777777" w:rsidR="00410E74" w:rsidRPr="00761424" w:rsidRDefault="00410E74" w:rsidP="00761424">
            <w:pPr>
              <w:jc w:val="center"/>
              <w:cnfStyle w:val="000000000000" w:firstRow="0" w:lastRow="0" w:firstColumn="0" w:lastColumn="0" w:oddVBand="0" w:evenVBand="0" w:oddHBand="0" w:evenHBand="0" w:firstRowFirstColumn="0" w:firstRowLastColumn="0" w:lastRowFirstColumn="0" w:lastRowLastColumn="0"/>
              <w:rPr>
                <w:rStyle w:val="gd15mcfceub"/>
                <w:rFonts w:ascii="Times New Roman" w:hAnsi="Times New Roman" w:cs="Times New Roman"/>
                <w:color w:val="000000"/>
                <w:bdr w:val="none" w:sz="0" w:space="0" w:color="auto" w:frame="1"/>
              </w:rPr>
            </w:pPr>
            <w:r w:rsidRPr="00761424">
              <w:rPr>
                <w:rStyle w:val="gd15mcfceub"/>
                <w:rFonts w:ascii="Times New Roman" w:hAnsi="Times New Roman" w:cs="Times New Roman"/>
                <w:color w:val="000000"/>
                <w:bdr w:val="none" w:sz="0" w:space="0" w:color="auto" w:frame="1"/>
              </w:rPr>
              <w:t>2</w:t>
            </w:r>
          </w:p>
        </w:tc>
        <w:tc>
          <w:tcPr>
            <w:tcW w:w="1684" w:type="dxa"/>
            <w:vAlign w:val="center"/>
          </w:tcPr>
          <w:p w14:paraId="6AF16B70" w14:textId="77777777" w:rsidR="00410E74" w:rsidRPr="00761424" w:rsidRDefault="00410E74" w:rsidP="00761424">
            <w:pPr>
              <w:jc w:val="center"/>
              <w:cnfStyle w:val="000000000000" w:firstRow="0" w:lastRow="0" w:firstColumn="0" w:lastColumn="0" w:oddVBand="0" w:evenVBand="0" w:oddHBand="0" w:evenHBand="0" w:firstRowFirstColumn="0" w:firstRowLastColumn="0" w:lastRowFirstColumn="0" w:lastRowLastColumn="0"/>
              <w:rPr>
                <w:rStyle w:val="gd15mcfceub"/>
                <w:rFonts w:ascii="Times New Roman" w:hAnsi="Times New Roman" w:cs="Times New Roman"/>
                <w:color w:val="000000"/>
                <w:bdr w:val="none" w:sz="0" w:space="0" w:color="auto" w:frame="1"/>
              </w:rPr>
            </w:pPr>
            <w:r w:rsidRPr="00761424">
              <w:rPr>
                <w:rStyle w:val="gd15mcfceub"/>
                <w:rFonts w:ascii="Times New Roman" w:hAnsi="Times New Roman" w:cs="Times New Roman"/>
                <w:color w:val="000000"/>
                <w:bdr w:val="none" w:sz="0" w:space="0" w:color="auto" w:frame="1"/>
              </w:rPr>
              <w:t>2</w:t>
            </w:r>
          </w:p>
        </w:tc>
      </w:tr>
      <w:tr w:rsidR="00410E74" w:rsidRPr="00761424" w14:paraId="0BD7FEEE" w14:textId="77777777" w:rsidTr="0076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5" w:type="dxa"/>
            <w:vAlign w:val="center"/>
          </w:tcPr>
          <w:p w14:paraId="68A44E80" w14:textId="77777777" w:rsidR="00410E74" w:rsidRPr="00761424" w:rsidRDefault="00410E74" w:rsidP="00761424">
            <w:pPr>
              <w:autoSpaceDE w:val="0"/>
              <w:adjustRightInd w:val="0"/>
              <w:spacing w:line="360" w:lineRule="auto"/>
              <w:jc w:val="center"/>
              <w:rPr>
                <w:rFonts w:ascii="Times New Roman" w:hAnsi="Times New Roman" w:cs="Times New Roman"/>
                <w:color w:val="000000"/>
                <w:sz w:val="20"/>
                <w:szCs w:val="20"/>
                <w:lang w:val="fr-CA"/>
              </w:rPr>
            </w:pPr>
            <w:r w:rsidRPr="00761424">
              <w:rPr>
                <w:rFonts w:ascii="Times New Roman" w:hAnsi="Times New Roman" w:cs="Times New Roman"/>
                <w:color w:val="000000"/>
                <w:sz w:val="20"/>
                <w:szCs w:val="20"/>
                <w:lang w:val="fr-CA"/>
              </w:rPr>
              <w:t>Concours Publics</w:t>
            </w:r>
          </w:p>
          <w:p w14:paraId="0264866E" w14:textId="77777777" w:rsidR="00410E74" w:rsidRPr="00761424" w:rsidRDefault="00410E74" w:rsidP="00761424">
            <w:pPr>
              <w:jc w:val="center"/>
              <w:rPr>
                <w:rFonts w:ascii="Times New Roman" w:hAnsi="Times New Roman" w:cs="Times New Roman"/>
                <w:color w:val="000000"/>
                <w:sz w:val="20"/>
                <w:szCs w:val="20"/>
                <w:lang w:val="fr-CA"/>
              </w:rPr>
            </w:pPr>
            <w:r w:rsidRPr="00761424">
              <w:rPr>
                <w:rFonts w:ascii="Times New Roman" w:hAnsi="Times New Roman" w:cs="Times New Roman"/>
                <w:color w:val="000000"/>
                <w:sz w:val="20"/>
                <w:szCs w:val="20"/>
                <w:lang w:val="fr-CA"/>
              </w:rPr>
              <w:t>mensuel</w:t>
            </w:r>
          </w:p>
        </w:tc>
        <w:tc>
          <w:tcPr>
            <w:tcW w:w="1927" w:type="dxa"/>
            <w:vAlign w:val="center"/>
          </w:tcPr>
          <w:p w14:paraId="6585DC16" w14:textId="77777777" w:rsidR="00410E74" w:rsidRPr="00761424" w:rsidRDefault="00410E74" w:rsidP="00761424">
            <w:pPr>
              <w:jc w:val="center"/>
              <w:cnfStyle w:val="000000100000" w:firstRow="0" w:lastRow="0" w:firstColumn="0" w:lastColumn="0" w:oddVBand="0" w:evenVBand="0" w:oddHBand="1" w:evenHBand="0" w:firstRowFirstColumn="0" w:firstRowLastColumn="0" w:lastRowFirstColumn="0" w:lastRowLastColumn="0"/>
              <w:rPr>
                <w:rStyle w:val="gd15mcfceub"/>
                <w:rFonts w:ascii="Times New Roman" w:hAnsi="Times New Roman" w:cs="Times New Roman"/>
                <w:color w:val="000000"/>
                <w:bdr w:val="none" w:sz="0" w:space="0" w:color="auto" w:frame="1"/>
              </w:rPr>
            </w:pPr>
            <w:r w:rsidRPr="00761424">
              <w:rPr>
                <w:rStyle w:val="gd15mcfceub"/>
                <w:rFonts w:ascii="Times New Roman" w:hAnsi="Times New Roman" w:cs="Times New Roman"/>
                <w:color w:val="000000"/>
                <w:bdr w:val="none" w:sz="0" w:space="0" w:color="auto" w:frame="1"/>
              </w:rPr>
              <w:t>2</w:t>
            </w:r>
          </w:p>
        </w:tc>
        <w:tc>
          <w:tcPr>
            <w:tcW w:w="1887" w:type="dxa"/>
            <w:vAlign w:val="center"/>
          </w:tcPr>
          <w:p w14:paraId="5B5925B0" w14:textId="77777777" w:rsidR="00410E74" w:rsidRPr="00761424" w:rsidRDefault="00410E74" w:rsidP="00761424">
            <w:pPr>
              <w:jc w:val="center"/>
              <w:cnfStyle w:val="000000100000" w:firstRow="0" w:lastRow="0" w:firstColumn="0" w:lastColumn="0" w:oddVBand="0" w:evenVBand="0" w:oddHBand="1" w:evenHBand="0" w:firstRowFirstColumn="0" w:firstRowLastColumn="0" w:lastRowFirstColumn="0" w:lastRowLastColumn="0"/>
              <w:rPr>
                <w:rStyle w:val="gd15mcfceub"/>
                <w:rFonts w:ascii="Times New Roman" w:hAnsi="Times New Roman" w:cs="Times New Roman"/>
                <w:color w:val="000000"/>
                <w:bdr w:val="none" w:sz="0" w:space="0" w:color="auto" w:frame="1"/>
              </w:rPr>
            </w:pPr>
            <w:r w:rsidRPr="00761424">
              <w:rPr>
                <w:rStyle w:val="gd15mcfceub"/>
                <w:rFonts w:ascii="Times New Roman" w:hAnsi="Times New Roman" w:cs="Times New Roman"/>
                <w:color w:val="000000"/>
                <w:bdr w:val="none" w:sz="0" w:space="0" w:color="auto" w:frame="1"/>
              </w:rPr>
              <w:t>2</w:t>
            </w:r>
          </w:p>
        </w:tc>
        <w:tc>
          <w:tcPr>
            <w:tcW w:w="1887" w:type="dxa"/>
            <w:vAlign w:val="center"/>
          </w:tcPr>
          <w:p w14:paraId="0607BEC9" w14:textId="77777777" w:rsidR="00410E74" w:rsidRPr="00761424" w:rsidRDefault="00410E74" w:rsidP="00761424">
            <w:pPr>
              <w:jc w:val="center"/>
              <w:cnfStyle w:val="000000100000" w:firstRow="0" w:lastRow="0" w:firstColumn="0" w:lastColumn="0" w:oddVBand="0" w:evenVBand="0" w:oddHBand="1" w:evenHBand="0" w:firstRowFirstColumn="0" w:firstRowLastColumn="0" w:lastRowFirstColumn="0" w:lastRowLastColumn="0"/>
              <w:rPr>
                <w:rStyle w:val="gd15mcfceub"/>
                <w:rFonts w:ascii="Times New Roman" w:hAnsi="Times New Roman" w:cs="Times New Roman"/>
                <w:color w:val="000000"/>
                <w:bdr w:val="none" w:sz="0" w:space="0" w:color="auto" w:frame="1"/>
              </w:rPr>
            </w:pPr>
            <w:r w:rsidRPr="00761424">
              <w:rPr>
                <w:rStyle w:val="gd15mcfceub"/>
                <w:rFonts w:ascii="Times New Roman" w:hAnsi="Times New Roman" w:cs="Times New Roman"/>
                <w:color w:val="000000"/>
                <w:bdr w:val="none" w:sz="0" w:space="0" w:color="auto" w:frame="1"/>
              </w:rPr>
              <w:t>2</w:t>
            </w:r>
          </w:p>
        </w:tc>
        <w:tc>
          <w:tcPr>
            <w:tcW w:w="1684" w:type="dxa"/>
            <w:vAlign w:val="center"/>
          </w:tcPr>
          <w:p w14:paraId="722EE36F" w14:textId="77777777" w:rsidR="00410E74" w:rsidRPr="00761424" w:rsidRDefault="00410E74" w:rsidP="00761424">
            <w:pPr>
              <w:jc w:val="center"/>
              <w:cnfStyle w:val="000000100000" w:firstRow="0" w:lastRow="0" w:firstColumn="0" w:lastColumn="0" w:oddVBand="0" w:evenVBand="0" w:oddHBand="1" w:evenHBand="0" w:firstRowFirstColumn="0" w:firstRowLastColumn="0" w:lastRowFirstColumn="0" w:lastRowLastColumn="0"/>
              <w:rPr>
                <w:rStyle w:val="gd15mcfceub"/>
                <w:rFonts w:ascii="Times New Roman" w:hAnsi="Times New Roman" w:cs="Times New Roman"/>
                <w:color w:val="000000"/>
                <w:bdr w:val="none" w:sz="0" w:space="0" w:color="auto" w:frame="1"/>
              </w:rPr>
            </w:pPr>
            <w:r w:rsidRPr="00761424">
              <w:rPr>
                <w:rStyle w:val="gd15mcfceub"/>
                <w:rFonts w:ascii="Times New Roman" w:hAnsi="Times New Roman" w:cs="Times New Roman"/>
                <w:color w:val="000000"/>
                <w:bdr w:val="none" w:sz="0" w:space="0" w:color="auto" w:frame="1"/>
              </w:rPr>
              <w:t>2</w:t>
            </w:r>
          </w:p>
        </w:tc>
      </w:tr>
      <w:tr w:rsidR="00410E74" w:rsidRPr="00761424" w14:paraId="5EDC21B8" w14:textId="77777777" w:rsidTr="00761424">
        <w:tc>
          <w:tcPr>
            <w:cnfStyle w:val="001000000000" w:firstRow="0" w:lastRow="0" w:firstColumn="1" w:lastColumn="0" w:oddVBand="0" w:evenVBand="0" w:oddHBand="0" w:evenHBand="0" w:firstRowFirstColumn="0" w:firstRowLastColumn="0" w:lastRowFirstColumn="0" w:lastRowLastColumn="0"/>
            <w:tcW w:w="1965" w:type="dxa"/>
            <w:vAlign w:val="center"/>
          </w:tcPr>
          <w:p w14:paraId="785BAF9F" w14:textId="77777777" w:rsidR="00410E74" w:rsidRPr="00761424" w:rsidRDefault="00410E74" w:rsidP="00761424">
            <w:pPr>
              <w:autoSpaceDE w:val="0"/>
              <w:adjustRightInd w:val="0"/>
              <w:spacing w:line="360" w:lineRule="auto"/>
              <w:jc w:val="center"/>
              <w:rPr>
                <w:rFonts w:ascii="Times New Roman" w:hAnsi="Times New Roman" w:cs="Times New Roman"/>
                <w:color w:val="000000"/>
                <w:sz w:val="20"/>
                <w:szCs w:val="20"/>
                <w:lang w:val="fr-CA"/>
              </w:rPr>
            </w:pPr>
            <w:r w:rsidRPr="00761424">
              <w:rPr>
                <w:rFonts w:ascii="Times New Roman" w:hAnsi="Times New Roman" w:cs="Times New Roman"/>
                <w:color w:val="000000"/>
                <w:sz w:val="20"/>
                <w:szCs w:val="20"/>
                <w:lang w:val="fr-CA"/>
              </w:rPr>
              <w:t>Offre transport</w:t>
            </w:r>
          </w:p>
          <w:p w14:paraId="706D6BAF" w14:textId="77777777" w:rsidR="00410E74" w:rsidRPr="00761424" w:rsidRDefault="00410E74" w:rsidP="00761424">
            <w:pPr>
              <w:autoSpaceDE w:val="0"/>
              <w:adjustRightInd w:val="0"/>
              <w:spacing w:line="360" w:lineRule="auto"/>
              <w:jc w:val="center"/>
              <w:rPr>
                <w:rFonts w:ascii="Times New Roman" w:hAnsi="Times New Roman" w:cs="Times New Roman"/>
                <w:color w:val="000000"/>
                <w:sz w:val="20"/>
                <w:szCs w:val="20"/>
                <w:lang w:val="fr-CA"/>
              </w:rPr>
            </w:pPr>
            <w:r w:rsidRPr="00761424">
              <w:rPr>
                <w:rFonts w:ascii="Times New Roman" w:hAnsi="Times New Roman" w:cs="Times New Roman"/>
                <w:color w:val="000000"/>
                <w:sz w:val="20"/>
                <w:szCs w:val="20"/>
                <w:lang w:val="fr-CA"/>
              </w:rPr>
              <w:t>mensuel</w:t>
            </w:r>
          </w:p>
        </w:tc>
        <w:tc>
          <w:tcPr>
            <w:tcW w:w="1927" w:type="dxa"/>
            <w:vAlign w:val="center"/>
          </w:tcPr>
          <w:p w14:paraId="30C8FB68" w14:textId="77777777" w:rsidR="00410E74" w:rsidRPr="00761424" w:rsidRDefault="00410E74" w:rsidP="00761424">
            <w:pPr>
              <w:jc w:val="center"/>
              <w:cnfStyle w:val="000000000000" w:firstRow="0" w:lastRow="0" w:firstColumn="0" w:lastColumn="0" w:oddVBand="0" w:evenVBand="0" w:oddHBand="0" w:evenHBand="0" w:firstRowFirstColumn="0" w:firstRowLastColumn="0" w:lastRowFirstColumn="0" w:lastRowLastColumn="0"/>
              <w:rPr>
                <w:rStyle w:val="gd15mcfceub"/>
                <w:rFonts w:ascii="Times New Roman" w:hAnsi="Times New Roman" w:cs="Times New Roman"/>
                <w:color w:val="000000"/>
                <w:bdr w:val="none" w:sz="0" w:space="0" w:color="auto" w:frame="1"/>
              </w:rPr>
            </w:pPr>
            <w:r w:rsidRPr="00761424">
              <w:rPr>
                <w:rStyle w:val="gd15mcfceub"/>
                <w:rFonts w:ascii="Times New Roman" w:hAnsi="Times New Roman" w:cs="Times New Roman"/>
                <w:color w:val="000000"/>
                <w:bdr w:val="none" w:sz="0" w:space="0" w:color="auto" w:frame="1"/>
              </w:rPr>
              <w:t>4</w:t>
            </w:r>
          </w:p>
        </w:tc>
        <w:tc>
          <w:tcPr>
            <w:tcW w:w="1887" w:type="dxa"/>
            <w:vAlign w:val="center"/>
          </w:tcPr>
          <w:p w14:paraId="29618EBD" w14:textId="77777777" w:rsidR="00410E74" w:rsidRPr="00761424" w:rsidRDefault="00410E74" w:rsidP="00761424">
            <w:pPr>
              <w:jc w:val="center"/>
              <w:cnfStyle w:val="000000000000" w:firstRow="0" w:lastRow="0" w:firstColumn="0" w:lastColumn="0" w:oddVBand="0" w:evenVBand="0" w:oddHBand="0" w:evenHBand="0" w:firstRowFirstColumn="0" w:firstRowLastColumn="0" w:lastRowFirstColumn="0" w:lastRowLastColumn="0"/>
              <w:rPr>
                <w:rStyle w:val="gd15mcfceub"/>
                <w:rFonts w:ascii="Times New Roman" w:hAnsi="Times New Roman" w:cs="Times New Roman"/>
                <w:color w:val="000000"/>
                <w:bdr w:val="none" w:sz="0" w:space="0" w:color="auto" w:frame="1"/>
              </w:rPr>
            </w:pPr>
            <w:r w:rsidRPr="00761424">
              <w:rPr>
                <w:rStyle w:val="gd15mcfceub"/>
                <w:rFonts w:ascii="Times New Roman" w:hAnsi="Times New Roman" w:cs="Times New Roman"/>
                <w:color w:val="000000"/>
                <w:bdr w:val="none" w:sz="0" w:space="0" w:color="auto" w:frame="1"/>
              </w:rPr>
              <w:t>2</w:t>
            </w:r>
          </w:p>
        </w:tc>
        <w:tc>
          <w:tcPr>
            <w:tcW w:w="1887" w:type="dxa"/>
            <w:vAlign w:val="center"/>
          </w:tcPr>
          <w:p w14:paraId="1EADA6DA" w14:textId="77777777" w:rsidR="00410E74" w:rsidRPr="00761424" w:rsidRDefault="00410E74" w:rsidP="00761424">
            <w:pPr>
              <w:jc w:val="center"/>
              <w:cnfStyle w:val="000000000000" w:firstRow="0" w:lastRow="0" w:firstColumn="0" w:lastColumn="0" w:oddVBand="0" w:evenVBand="0" w:oddHBand="0" w:evenHBand="0" w:firstRowFirstColumn="0" w:firstRowLastColumn="0" w:lastRowFirstColumn="0" w:lastRowLastColumn="0"/>
              <w:rPr>
                <w:rStyle w:val="gd15mcfceub"/>
                <w:rFonts w:ascii="Times New Roman" w:hAnsi="Times New Roman" w:cs="Times New Roman"/>
                <w:color w:val="000000"/>
                <w:bdr w:val="none" w:sz="0" w:space="0" w:color="auto" w:frame="1"/>
              </w:rPr>
            </w:pPr>
            <w:r w:rsidRPr="00761424">
              <w:rPr>
                <w:rStyle w:val="gd15mcfceub"/>
                <w:rFonts w:ascii="Times New Roman" w:hAnsi="Times New Roman" w:cs="Times New Roman"/>
                <w:color w:val="000000"/>
                <w:bdr w:val="none" w:sz="0" w:space="0" w:color="auto" w:frame="1"/>
              </w:rPr>
              <w:t>2</w:t>
            </w:r>
          </w:p>
        </w:tc>
        <w:tc>
          <w:tcPr>
            <w:tcW w:w="1684" w:type="dxa"/>
            <w:vAlign w:val="center"/>
          </w:tcPr>
          <w:p w14:paraId="06E6C9E6" w14:textId="77777777" w:rsidR="00410E74" w:rsidRPr="00761424" w:rsidRDefault="00410E74" w:rsidP="00761424">
            <w:pPr>
              <w:jc w:val="center"/>
              <w:cnfStyle w:val="000000000000" w:firstRow="0" w:lastRow="0" w:firstColumn="0" w:lastColumn="0" w:oddVBand="0" w:evenVBand="0" w:oddHBand="0" w:evenHBand="0" w:firstRowFirstColumn="0" w:firstRowLastColumn="0" w:lastRowFirstColumn="0" w:lastRowLastColumn="0"/>
              <w:rPr>
                <w:rStyle w:val="gd15mcfceub"/>
                <w:rFonts w:ascii="Times New Roman" w:hAnsi="Times New Roman" w:cs="Times New Roman"/>
                <w:color w:val="000000"/>
                <w:bdr w:val="none" w:sz="0" w:space="0" w:color="auto" w:frame="1"/>
              </w:rPr>
            </w:pPr>
            <w:r w:rsidRPr="00761424">
              <w:rPr>
                <w:rStyle w:val="gd15mcfceub"/>
                <w:rFonts w:ascii="Times New Roman" w:hAnsi="Times New Roman" w:cs="Times New Roman"/>
                <w:color w:val="000000"/>
                <w:bdr w:val="none" w:sz="0" w:space="0" w:color="auto" w:frame="1"/>
              </w:rPr>
              <w:t>4</w:t>
            </w:r>
          </w:p>
        </w:tc>
      </w:tr>
    </w:tbl>
    <w:p w14:paraId="3E066D48" w14:textId="58505AF9" w:rsidR="00410E74" w:rsidRDefault="00761424" w:rsidP="00761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b/>
          <w:bCs/>
          <w:sz w:val="20"/>
        </w:rPr>
      </w:pPr>
      <w:r w:rsidRPr="001D39BA">
        <w:rPr>
          <w:rFonts w:ascii="Times New Roman" w:eastAsia="Times New Roman" w:hAnsi="Times New Roman" w:cs="Times New Roman"/>
          <w:b/>
          <w:color w:val="000000"/>
          <w:sz w:val="20"/>
          <w:szCs w:val="20"/>
          <w:lang w:eastAsia="fr-FR"/>
        </w:rPr>
        <w:t xml:space="preserve">Source : </w:t>
      </w:r>
      <w:r w:rsidR="00DE6D6E" w:rsidRPr="00317520">
        <w:rPr>
          <w:rFonts w:ascii="Times New Roman" w:eastAsia="Times New Roman" w:hAnsi="Times New Roman" w:cs="Times New Roman"/>
          <w:b/>
          <w:bCs/>
          <w:color w:val="000000"/>
          <w:sz w:val="20"/>
          <w:szCs w:val="20"/>
          <w:lang w:eastAsia="fr-FR"/>
        </w:rPr>
        <w:t xml:space="preserve">Compte déplacements des voyageurs en Île-de-France (Île de France Mobilités) et Île-de-France Mobilités, d'après RATP, </w:t>
      </w:r>
      <w:proofErr w:type="spellStart"/>
      <w:r w:rsidR="00DE6D6E" w:rsidRPr="00317520">
        <w:rPr>
          <w:rFonts w:ascii="Times New Roman" w:eastAsia="Times New Roman" w:hAnsi="Times New Roman" w:cs="Times New Roman"/>
          <w:b/>
          <w:bCs/>
          <w:color w:val="000000"/>
          <w:sz w:val="20"/>
          <w:szCs w:val="20"/>
          <w:lang w:eastAsia="fr-FR"/>
        </w:rPr>
        <w:t>Optile</w:t>
      </w:r>
      <w:proofErr w:type="spellEnd"/>
      <w:r w:rsidR="00DE6D6E" w:rsidRPr="00317520">
        <w:rPr>
          <w:rFonts w:ascii="Times New Roman" w:eastAsia="Times New Roman" w:hAnsi="Times New Roman" w:cs="Times New Roman"/>
          <w:b/>
          <w:bCs/>
          <w:color w:val="000000"/>
          <w:sz w:val="20"/>
          <w:szCs w:val="20"/>
          <w:lang w:eastAsia="fr-FR"/>
        </w:rPr>
        <w:t xml:space="preserve"> et SNCF</w:t>
      </w:r>
      <w:r w:rsidR="00DE6D6E" w:rsidRPr="00317520">
        <w:rPr>
          <w:rFonts w:ascii="Times New Roman" w:hAnsi="Times New Roman" w:cs="Times New Roman"/>
          <w:b/>
          <w:bCs/>
          <w:sz w:val="20"/>
        </w:rPr>
        <w:tab/>
      </w:r>
    </w:p>
    <w:p w14:paraId="1DBEE5D0" w14:textId="77777777" w:rsidR="001128A3" w:rsidRDefault="001128A3" w:rsidP="00761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sz w:val="20"/>
          <w:szCs w:val="20"/>
        </w:rPr>
      </w:pPr>
    </w:p>
    <w:p w14:paraId="179B2A0B" w14:textId="77777777" w:rsidR="00761424" w:rsidRPr="00761424" w:rsidRDefault="00761424" w:rsidP="00761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sz w:val="20"/>
          <w:szCs w:val="20"/>
        </w:rPr>
      </w:pPr>
    </w:p>
    <w:p w14:paraId="65FEA36B" w14:textId="30230559" w:rsidR="006C16A3" w:rsidRDefault="00762431" w:rsidP="003817B7">
      <w:pPr>
        <w:jc w:val="both"/>
        <w:rPr>
          <w:rFonts w:ascii="Times New Roman" w:hAnsi="Times New Roman" w:cs="Times New Roman"/>
          <w:sz w:val="24"/>
        </w:rPr>
      </w:pPr>
      <w:r>
        <w:rPr>
          <w:rFonts w:ascii="Times New Roman" w:hAnsi="Times New Roman" w:cs="Times New Roman"/>
          <w:sz w:val="24"/>
        </w:rPr>
        <w:t xml:space="preserve">La dernière variable présente une ambiguïté dans le nombre </w:t>
      </w:r>
      <w:r w:rsidR="008A61D3">
        <w:rPr>
          <w:rFonts w:ascii="Times New Roman" w:hAnsi="Times New Roman" w:cs="Times New Roman"/>
          <w:sz w:val="24"/>
        </w:rPr>
        <w:t xml:space="preserve">optimal </w:t>
      </w:r>
      <w:r>
        <w:rPr>
          <w:rFonts w:ascii="Times New Roman" w:hAnsi="Times New Roman" w:cs="Times New Roman"/>
          <w:sz w:val="24"/>
        </w:rPr>
        <w:t>de retard</w:t>
      </w:r>
      <w:r w:rsidR="00930893">
        <w:rPr>
          <w:rFonts w:ascii="Times New Roman" w:hAnsi="Times New Roman" w:cs="Times New Roman"/>
          <w:sz w:val="24"/>
        </w:rPr>
        <w:t>s</w:t>
      </w:r>
      <w:r>
        <w:rPr>
          <w:rFonts w:ascii="Times New Roman" w:hAnsi="Times New Roman" w:cs="Times New Roman"/>
          <w:sz w:val="24"/>
        </w:rPr>
        <w:t>.</w:t>
      </w:r>
      <w:r w:rsidR="008A210C">
        <w:rPr>
          <w:rFonts w:ascii="Times New Roman" w:hAnsi="Times New Roman" w:cs="Times New Roman"/>
          <w:sz w:val="24"/>
        </w:rPr>
        <w:t xml:space="preserve"> En effet, les résultats sont différents selon les critères d’information. Selon AIC et FPE, le nombre de retards </w:t>
      </w:r>
      <w:r w:rsidR="008A210C">
        <w:rPr>
          <w:rFonts w:ascii="Times New Roman" w:hAnsi="Times New Roman" w:cs="Times New Roman"/>
          <w:sz w:val="24"/>
        </w:rPr>
        <w:lastRenderedPageBreak/>
        <w:t xml:space="preserve">optimal est </w:t>
      </w:r>
      <w:r w:rsidR="00930893">
        <w:rPr>
          <w:rFonts w:ascii="Times New Roman" w:hAnsi="Times New Roman" w:cs="Times New Roman"/>
          <w:sz w:val="24"/>
        </w:rPr>
        <w:t xml:space="preserve">de </w:t>
      </w:r>
      <w:r w:rsidR="008A210C">
        <w:rPr>
          <w:rFonts w:ascii="Times New Roman" w:hAnsi="Times New Roman" w:cs="Times New Roman"/>
          <w:sz w:val="24"/>
        </w:rPr>
        <w:t xml:space="preserve">4 tandis que pour HQ et SC, le nombre de retards à considérer est </w:t>
      </w:r>
      <w:r w:rsidR="006F1A2B">
        <w:rPr>
          <w:rFonts w:ascii="Times New Roman" w:hAnsi="Times New Roman" w:cs="Times New Roman"/>
          <w:sz w:val="24"/>
        </w:rPr>
        <w:t xml:space="preserve">de </w:t>
      </w:r>
      <w:r w:rsidR="008A210C">
        <w:rPr>
          <w:rFonts w:ascii="Times New Roman" w:hAnsi="Times New Roman" w:cs="Times New Roman"/>
          <w:sz w:val="24"/>
        </w:rPr>
        <w:t>2.</w:t>
      </w:r>
      <w:r>
        <w:rPr>
          <w:rFonts w:ascii="Times New Roman" w:hAnsi="Times New Roman" w:cs="Times New Roman"/>
          <w:sz w:val="24"/>
        </w:rPr>
        <w:t xml:space="preserve"> Pour lever ce</w:t>
      </w:r>
      <w:r w:rsidR="0030278C">
        <w:rPr>
          <w:rFonts w:ascii="Times New Roman" w:hAnsi="Times New Roman" w:cs="Times New Roman"/>
          <w:sz w:val="24"/>
        </w:rPr>
        <w:t>tte ambiguïté</w:t>
      </w:r>
      <w:r>
        <w:rPr>
          <w:rFonts w:ascii="Times New Roman" w:hAnsi="Times New Roman" w:cs="Times New Roman"/>
          <w:sz w:val="24"/>
        </w:rPr>
        <w:t xml:space="preserve">, nous utiliserons le niveau de retard le plus élevé pour nous assurer que </w:t>
      </w:r>
      <w:r w:rsidR="0030278C">
        <w:rPr>
          <w:rFonts w:ascii="Times New Roman" w:hAnsi="Times New Roman" w:cs="Times New Roman"/>
          <w:sz w:val="24"/>
        </w:rPr>
        <w:t xml:space="preserve">nous ne perdons pas </w:t>
      </w:r>
      <w:r>
        <w:rPr>
          <w:rFonts w:ascii="Times New Roman" w:hAnsi="Times New Roman" w:cs="Times New Roman"/>
          <w:sz w:val="24"/>
        </w:rPr>
        <w:t>dans l’explication de la variable en y attribuant un nombre de retard</w:t>
      </w:r>
      <w:r w:rsidR="00F32AD3">
        <w:rPr>
          <w:rFonts w:ascii="Times New Roman" w:hAnsi="Times New Roman" w:cs="Times New Roman"/>
          <w:sz w:val="24"/>
        </w:rPr>
        <w:t>s</w:t>
      </w:r>
      <w:r>
        <w:rPr>
          <w:rFonts w:ascii="Times New Roman" w:hAnsi="Times New Roman" w:cs="Times New Roman"/>
          <w:sz w:val="24"/>
        </w:rPr>
        <w:t xml:space="preserve"> trop faible.</w:t>
      </w:r>
    </w:p>
    <w:p w14:paraId="73568489" w14:textId="77777777" w:rsidR="00F32AD3" w:rsidRDefault="00F32AD3" w:rsidP="003817B7">
      <w:pPr>
        <w:jc w:val="both"/>
        <w:rPr>
          <w:rFonts w:ascii="Times New Roman" w:hAnsi="Times New Roman" w:cs="Times New Roman"/>
          <w:sz w:val="24"/>
        </w:rPr>
      </w:pPr>
    </w:p>
    <w:p w14:paraId="7C6A0DBF" w14:textId="77777777" w:rsidR="00EE2604" w:rsidRPr="006B2FF8" w:rsidRDefault="00EE2604" w:rsidP="003817B7">
      <w:pPr>
        <w:jc w:val="both"/>
        <w:rPr>
          <w:rFonts w:ascii="Times New Roman" w:hAnsi="Times New Roman" w:cs="Times New Roman"/>
          <w:b/>
          <w:sz w:val="24"/>
        </w:rPr>
      </w:pPr>
      <w:r>
        <w:rPr>
          <w:rFonts w:ascii="Times New Roman" w:hAnsi="Times New Roman" w:cs="Times New Roman"/>
          <w:sz w:val="24"/>
        </w:rPr>
        <w:tab/>
      </w:r>
      <w:r w:rsidR="003E4721" w:rsidRPr="006B2FF8">
        <w:rPr>
          <w:rFonts w:ascii="Times New Roman" w:hAnsi="Times New Roman" w:cs="Times New Roman"/>
          <w:b/>
          <w:sz w:val="24"/>
        </w:rPr>
        <w:t xml:space="preserve">Tableau 7 : </w:t>
      </w:r>
      <w:r w:rsidRPr="006B2FF8">
        <w:rPr>
          <w:rFonts w:ascii="Times New Roman" w:hAnsi="Times New Roman" w:cs="Times New Roman"/>
          <w:b/>
          <w:sz w:val="24"/>
        </w:rPr>
        <w:t xml:space="preserve">Nouvelle Estimation des coefficients </w:t>
      </w:r>
    </w:p>
    <w:tbl>
      <w:tblPr>
        <w:tblStyle w:val="Tableausimple2"/>
        <w:tblW w:w="9310" w:type="dxa"/>
        <w:tblLook w:val="04A0" w:firstRow="1" w:lastRow="0" w:firstColumn="1" w:lastColumn="0" w:noHBand="0" w:noVBand="1"/>
      </w:tblPr>
      <w:tblGrid>
        <w:gridCol w:w="2350"/>
        <w:gridCol w:w="1355"/>
        <w:gridCol w:w="1335"/>
        <w:gridCol w:w="1959"/>
        <w:gridCol w:w="2311"/>
      </w:tblGrid>
      <w:tr w:rsidR="00CF484B" w:rsidRPr="00C575D2" w14:paraId="4A9C0550" w14:textId="77777777" w:rsidTr="006B2FF8">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350" w:type="dxa"/>
            <w:noWrap/>
            <w:hideMark/>
          </w:tcPr>
          <w:p w14:paraId="0B9E6149" w14:textId="77777777" w:rsidR="0043075A" w:rsidRPr="00C575D2" w:rsidRDefault="0043075A" w:rsidP="00CF484B">
            <w:pPr>
              <w:jc w:val="center"/>
              <w:rPr>
                <w:rFonts w:ascii="Times New Roman" w:eastAsia="Times New Roman" w:hAnsi="Times New Roman" w:cs="Times New Roman"/>
                <w:sz w:val="20"/>
                <w:szCs w:val="20"/>
                <w:lang w:eastAsia="fr-FR"/>
              </w:rPr>
            </w:pPr>
          </w:p>
        </w:tc>
        <w:tc>
          <w:tcPr>
            <w:tcW w:w="1355" w:type="dxa"/>
            <w:noWrap/>
            <w:hideMark/>
          </w:tcPr>
          <w:p w14:paraId="5606DB99" w14:textId="328D08EF" w:rsidR="0043075A" w:rsidRPr="00C575D2" w:rsidRDefault="0043075A" w:rsidP="00CF484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575D2">
              <w:rPr>
                <w:rFonts w:ascii="Times New Roman" w:eastAsia="Times New Roman" w:hAnsi="Times New Roman" w:cs="Times New Roman"/>
                <w:color w:val="000000"/>
                <w:sz w:val="20"/>
                <w:szCs w:val="20"/>
                <w:lang w:eastAsia="fr-FR"/>
              </w:rPr>
              <w:t>Estimate</w:t>
            </w:r>
            <w:r w:rsidR="006B2FF8">
              <w:rPr>
                <w:rFonts w:ascii="Times New Roman" w:eastAsia="Times New Roman" w:hAnsi="Times New Roman" w:cs="Times New Roman"/>
                <w:color w:val="000000"/>
                <w:sz w:val="20"/>
                <w:szCs w:val="20"/>
                <w:lang w:eastAsia="fr-FR"/>
              </w:rPr>
              <w:t>ur</w:t>
            </w:r>
          </w:p>
        </w:tc>
        <w:tc>
          <w:tcPr>
            <w:tcW w:w="1335" w:type="dxa"/>
            <w:noWrap/>
            <w:hideMark/>
          </w:tcPr>
          <w:p w14:paraId="6023719E" w14:textId="0296A0EA" w:rsidR="0043075A" w:rsidRPr="00C575D2" w:rsidRDefault="006B2FF8" w:rsidP="00CF484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Pr>
                <w:rFonts w:ascii="Times New Roman" w:eastAsia="Times New Roman" w:hAnsi="Times New Roman" w:cs="Times New Roman"/>
                <w:color w:val="000000"/>
                <w:sz w:val="20"/>
                <w:szCs w:val="20"/>
                <w:lang w:eastAsia="fr-FR"/>
              </w:rPr>
              <w:t>Std. Erreu</w:t>
            </w:r>
            <w:r w:rsidR="0043075A" w:rsidRPr="00C575D2">
              <w:rPr>
                <w:rFonts w:ascii="Times New Roman" w:eastAsia="Times New Roman" w:hAnsi="Times New Roman" w:cs="Times New Roman"/>
                <w:color w:val="000000"/>
                <w:sz w:val="20"/>
                <w:szCs w:val="20"/>
                <w:lang w:eastAsia="fr-FR"/>
              </w:rPr>
              <w:t>r</w:t>
            </w:r>
          </w:p>
        </w:tc>
        <w:tc>
          <w:tcPr>
            <w:tcW w:w="1959" w:type="dxa"/>
            <w:noWrap/>
            <w:hideMark/>
          </w:tcPr>
          <w:p w14:paraId="4ACAAFF6" w14:textId="77777777" w:rsidR="0043075A" w:rsidRPr="00C575D2" w:rsidRDefault="0043075A" w:rsidP="00CF484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575D2">
              <w:rPr>
                <w:rFonts w:ascii="Times New Roman" w:eastAsia="Times New Roman" w:hAnsi="Times New Roman" w:cs="Times New Roman"/>
                <w:color w:val="000000"/>
                <w:sz w:val="20"/>
                <w:szCs w:val="20"/>
                <w:lang w:eastAsia="fr-FR"/>
              </w:rPr>
              <w:t>t value</w:t>
            </w:r>
          </w:p>
        </w:tc>
        <w:tc>
          <w:tcPr>
            <w:tcW w:w="2311" w:type="dxa"/>
            <w:noWrap/>
            <w:hideMark/>
          </w:tcPr>
          <w:p w14:paraId="5CCD49FB" w14:textId="77777777" w:rsidR="0043075A" w:rsidRPr="00C575D2" w:rsidRDefault="0043075A" w:rsidP="00CF484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575D2">
              <w:rPr>
                <w:rFonts w:ascii="Times New Roman" w:eastAsia="Times New Roman" w:hAnsi="Times New Roman" w:cs="Times New Roman"/>
                <w:color w:val="000000"/>
                <w:sz w:val="20"/>
                <w:szCs w:val="20"/>
                <w:lang w:eastAsia="fr-FR"/>
              </w:rPr>
              <w:t>Pr(&gt;|t|)</w:t>
            </w:r>
          </w:p>
        </w:tc>
      </w:tr>
      <w:tr w:rsidR="00CF484B" w:rsidRPr="00C575D2" w14:paraId="06FE97FD" w14:textId="77777777" w:rsidTr="006B2FF8">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350" w:type="dxa"/>
            <w:noWrap/>
            <w:hideMark/>
          </w:tcPr>
          <w:p w14:paraId="5E84B3D0" w14:textId="77777777" w:rsidR="0043075A" w:rsidRPr="00C575D2" w:rsidRDefault="0043075A" w:rsidP="00174DAD">
            <w:pPr>
              <w:jc w:val="center"/>
              <w:rPr>
                <w:rFonts w:ascii="Times New Roman" w:eastAsia="Times New Roman" w:hAnsi="Times New Roman" w:cs="Times New Roman"/>
                <w:color w:val="000000"/>
                <w:sz w:val="20"/>
                <w:szCs w:val="20"/>
                <w:lang w:eastAsia="fr-FR"/>
              </w:rPr>
            </w:pPr>
            <w:r w:rsidRPr="00C575D2">
              <w:rPr>
                <w:rFonts w:ascii="Times New Roman" w:eastAsia="Times New Roman" w:hAnsi="Times New Roman" w:cs="Times New Roman"/>
                <w:color w:val="000000"/>
                <w:sz w:val="20"/>
                <w:szCs w:val="20"/>
                <w:lang w:eastAsia="fr-FR"/>
              </w:rPr>
              <w:t>(</w:t>
            </w:r>
            <w:r w:rsidR="00174DAD" w:rsidRPr="00C575D2">
              <w:rPr>
                <w:rFonts w:ascii="Times New Roman" w:eastAsia="Times New Roman" w:hAnsi="Times New Roman" w:cs="Times New Roman"/>
                <w:color w:val="000000"/>
                <w:sz w:val="20"/>
                <w:szCs w:val="20"/>
                <w:lang w:eastAsia="fr-FR"/>
              </w:rPr>
              <w:t>Constante</w:t>
            </w:r>
            <w:r w:rsidRPr="00C575D2">
              <w:rPr>
                <w:rFonts w:ascii="Times New Roman" w:eastAsia="Times New Roman" w:hAnsi="Times New Roman" w:cs="Times New Roman"/>
                <w:color w:val="000000"/>
                <w:sz w:val="20"/>
                <w:szCs w:val="20"/>
                <w:lang w:eastAsia="fr-FR"/>
              </w:rPr>
              <w:t>)</w:t>
            </w:r>
          </w:p>
        </w:tc>
        <w:tc>
          <w:tcPr>
            <w:tcW w:w="1355" w:type="dxa"/>
            <w:noWrap/>
            <w:hideMark/>
          </w:tcPr>
          <w:p w14:paraId="23F32607" w14:textId="77777777" w:rsidR="0043075A" w:rsidRPr="00C575D2" w:rsidRDefault="0043075A" w:rsidP="00CF48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575D2">
              <w:rPr>
                <w:rFonts w:ascii="Times New Roman" w:eastAsia="Times New Roman" w:hAnsi="Times New Roman" w:cs="Times New Roman"/>
                <w:color w:val="000000"/>
                <w:sz w:val="20"/>
                <w:szCs w:val="20"/>
                <w:lang w:eastAsia="fr-FR"/>
              </w:rPr>
              <w:t>5.30E-06</w:t>
            </w:r>
          </w:p>
        </w:tc>
        <w:tc>
          <w:tcPr>
            <w:tcW w:w="1335" w:type="dxa"/>
            <w:noWrap/>
            <w:hideMark/>
          </w:tcPr>
          <w:p w14:paraId="4206B0DC" w14:textId="77777777" w:rsidR="0043075A" w:rsidRPr="00C575D2" w:rsidRDefault="0043075A" w:rsidP="00CF48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575D2">
              <w:rPr>
                <w:rFonts w:ascii="Times New Roman" w:eastAsia="Times New Roman" w:hAnsi="Times New Roman" w:cs="Times New Roman"/>
                <w:color w:val="000000"/>
                <w:sz w:val="20"/>
                <w:szCs w:val="20"/>
                <w:lang w:eastAsia="fr-FR"/>
              </w:rPr>
              <w:t>9.28E-06</w:t>
            </w:r>
          </w:p>
        </w:tc>
        <w:tc>
          <w:tcPr>
            <w:tcW w:w="1959" w:type="dxa"/>
            <w:noWrap/>
            <w:hideMark/>
          </w:tcPr>
          <w:p w14:paraId="15BBCB5B" w14:textId="77777777" w:rsidR="0043075A" w:rsidRPr="00C575D2" w:rsidRDefault="0043075A" w:rsidP="00CF48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575D2">
              <w:rPr>
                <w:rFonts w:ascii="Times New Roman" w:eastAsia="Times New Roman" w:hAnsi="Times New Roman" w:cs="Times New Roman"/>
                <w:color w:val="000000"/>
                <w:sz w:val="20"/>
                <w:szCs w:val="20"/>
                <w:lang w:eastAsia="fr-FR"/>
              </w:rPr>
              <w:t>0.571</w:t>
            </w:r>
          </w:p>
        </w:tc>
        <w:tc>
          <w:tcPr>
            <w:tcW w:w="2311" w:type="dxa"/>
            <w:noWrap/>
            <w:hideMark/>
          </w:tcPr>
          <w:p w14:paraId="607516F5" w14:textId="77777777" w:rsidR="0043075A" w:rsidRPr="00C575D2" w:rsidRDefault="0043075A" w:rsidP="00CF48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575D2">
              <w:rPr>
                <w:rFonts w:ascii="Times New Roman" w:eastAsia="Times New Roman" w:hAnsi="Times New Roman" w:cs="Times New Roman"/>
                <w:color w:val="000000"/>
                <w:sz w:val="20"/>
                <w:szCs w:val="20"/>
                <w:lang w:eastAsia="fr-FR"/>
              </w:rPr>
              <w:t>0.568</w:t>
            </w:r>
          </w:p>
        </w:tc>
      </w:tr>
      <w:tr w:rsidR="00CF484B" w:rsidRPr="00C575D2" w14:paraId="30265E76" w14:textId="77777777" w:rsidTr="006B2FF8">
        <w:trPr>
          <w:trHeight w:val="277"/>
        </w:trPr>
        <w:tc>
          <w:tcPr>
            <w:cnfStyle w:val="001000000000" w:firstRow="0" w:lastRow="0" w:firstColumn="1" w:lastColumn="0" w:oddVBand="0" w:evenVBand="0" w:oddHBand="0" w:evenHBand="0" w:firstRowFirstColumn="0" w:firstRowLastColumn="0" w:lastRowFirstColumn="0" w:lastRowLastColumn="0"/>
            <w:tcW w:w="2350" w:type="dxa"/>
            <w:noWrap/>
            <w:hideMark/>
          </w:tcPr>
          <w:p w14:paraId="7019765C" w14:textId="77777777" w:rsidR="0043075A" w:rsidRPr="00C575D2" w:rsidRDefault="0043075A" w:rsidP="00CF484B">
            <w:pPr>
              <w:jc w:val="center"/>
              <w:rPr>
                <w:rFonts w:ascii="Times New Roman" w:eastAsia="Times New Roman" w:hAnsi="Times New Roman" w:cs="Times New Roman"/>
                <w:color w:val="000000"/>
                <w:sz w:val="20"/>
                <w:szCs w:val="20"/>
                <w:lang w:eastAsia="fr-FR"/>
              </w:rPr>
            </w:pPr>
            <w:r w:rsidRPr="00C575D2">
              <w:rPr>
                <w:rFonts w:ascii="Times New Roman" w:eastAsia="Times New Roman" w:hAnsi="Times New Roman" w:cs="Times New Roman"/>
                <w:color w:val="000000"/>
                <w:sz w:val="20"/>
                <w:szCs w:val="20"/>
                <w:lang w:eastAsia="fr-FR"/>
              </w:rPr>
              <w:t>Investissement</w:t>
            </w:r>
          </w:p>
        </w:tc>
        <w:tc>
          <w:tcPr>
            <w:tcW w:w="1355" w:type="dxa"/>
            <w:noWrap/>
            <w:hideMark/>
          </w:tcPr>
          <w:p w14:paraId="1BDEA322" w14:textId="77777777" w:rsidR="0043075A" w:rsidRPr="00C575D2" w:rsidRDefault="0043075A" w:rsidP="00CF48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575D2">
              <w:rPr>
                <w:rFonts w:ascii="Times New Roman" w:eastAsia="Times New Roman" w:hAnsi="Times New Roman" w:cs="Times New Roman"/>
                <w:color w:val="000000"/>
                <w:sz w:val="20"/>
                <w:szCs w:val="20"/>
                <w:lang w:eastAsia="fr-FR"/>
              </w:rPr>
              <w:t>-2.34E-11</w:t>
            </w:r>
          </w:p>
        </w:tc>
        <w:tc>
          <w:tcPr>
            <w:tcW w:w="1335" w:type="dxa"/>
            <w:noWrap/>
            <w:hideMark/>
          </w:tcPr>
          <w:p w14:paraId="4724FEA2" w14:textId="77777777" w:rsidR="0043075A" w:rsidRPr="00C575D2" w:rsidRDefault="0043075A" w:rsidP="00CF48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575D2">
              <w:rPr>
                <w:rFonts w:ascii="Times New Roman" w:eastAsia="Times New Roman" w:hAnsi="Times New Roman" w:cs="Times New Roman"/>
                <w:color w:val="000000"/>
                <w:sz w:val="20"/>
                <w:szCs w:val="20"/>
                <w:lang w:eastAsia="fr-FR"/>
              </w:rPr>
              <w:t>3.48E-12</w:t>
            </w:r>
          </w:p>
        </w:tc>
        <w:tc>
          <w:tcPr>
            <w:tcW w:w="1959" w:type="dxa"/>
            <w:noWrap/>
            <w:hideMark/>
          </w:tcPr>
          <w:p w14:paraId="714957ED" w14:textId="77777777" w:rsidR="0043075A" w:rsidRPr="00C575D2" w:rsidRDefault="0043075A" w:rsidP="00CF48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575D2">
              <w:rPr>
                <w:rFonts w:ascii="Times New Roman" w:eastAsia="Times New Roman" w:hAnsi="Times New Roman" w:cs="Times New Roman"/>
                <w:color w:val="000000"/>
                <w:sz w:val="20"/>
                <w:szCs w:val="20"/>
                <w:lang w:eastAsia="fr-FR"/>
              </w:rPr>
              <w:t>-6.713</w:t>
            </w:r>
          </w:p>
        </w:tc>
        <w:tc>
          <w:tcPr>
            <w:tcW w:w="2311" w:type="dxa"/>
            <w:noWrap/>
            <w:hideMark/>
          </w:tcPr>
          <w:p w14:paraId="25BF1F74" w14:textId="77777777" w:rsidR="0043075A" w:rsidRPr="00C575D2" w:rsidRDefault="0043075A" w:rsidP="00CF48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575D2">
              <w:rPr>
                <w:rFonts w:ascii="Times New Roman" w:eastAsia="Times New Roman" w:hAnsi="Times New Roman" w:cs="Times New Roman"/>
                <w:color w:val="000000"/>
                <w:sz w:val="20"/>
                <w:szCs w:val="20"/>
                <w:lang w:eastAsia="fr-FR"/>
              </w:rPr>
              <w:t>1.58e-10***</w:t>
            </w:r>
          </w:p>
        </w:tc>
      </w:tr>
      <w:tr w:rsidR="00CF484B" w:rsidRPr="00C575D2" w14:paraId="79FA9BB8" w14:textId="77777777" w:rsidTr="006B2FF8">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350" w:type="dxa"/>
            <w:noWrap/>
            <w:hideMark/>
          </w:tcPr>
          <w:p w14:paraId="4B02ACFC" w14:textId="77777777" w:rsidR="0043075A" w:rsidRPr="00C575D2" w:rsidRDefault="00CF484B" w:rsidP="00CF484B">
            <w:pPr>
              <w:jc w:val="center"/>
              <w:rPr>
                <w:rFonts w:ascii="Times New Roman" w:eastAsia="Times New Roman" w:hAnsi="Times New Roman" w:cs="Times New Roman"/>
                <w:color w:val="000000"/>
                <w:sz w:val="20"/>
                <w:szCs w:val="20"/>
                <w:lang w:eastAsia="fr-FR"/>
              </w:rPr>
            </w:pPr>
            <w:r w:rsidRPr="00C575D2">
              <w:rPr>
                <w:rFonts w:ascii="Times New Roman" w:eastAsia="Times New Roman" w:hAnsi="Times New Roman" w:cs="Times New Roman"/>
                <w:color w:val="000000"/>
                <w:sz w:val="20"/>
                <w:szCs w:val="20"/>
                <w:lang w:eastAsia="fr-FR"/>
              </w:rPr>
              <w:t>Investissement (</w:t>
            </w:r>
            <w:r w:rsidR="0043075A" w:rsidRPr="00C575D2">
              <w:rPr>
                <w:rFonts w:ascii="Times New Roman" w:eastAsia="Times New Roman" w:hAnsi="Times New Roman" w:cs="Times New Roman"/>
                <w:color w:val="000000"/>
                <w:sz w:val="20"/>
                <w:szCs w:val="20"/>
                <w:lang w:eastAsia="fr-FR"/>
              </w:rPr>
              <w:t>-1)</w:t>
            </w:r>
          </w:p>
        </w:tc>
        <w:tc>
          <w:tcPr>
            <w:tcW w:w="1355" w:type="dxa"/>
            <w:noWrap/>
            <w:hideMark/>
          </w:tcPr>
          <w:p w14:paraId="40B30A67" w14:textId="77777777" w:rsidR="0043075A" w:rsidRPr="00C575D2" w:rsidRDefault="0043075A" w:rsidP="00CF48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575D2">
              <w:rPr>
                <w:rFonts w:ascii="Times New Roman" w:eastAsia="Times New Roman" w:hAnsi="Times New Roman" w:cs="Times New Roman"/>
                <w:color w:val="000000"/>
                <w:sz w:val="20"/>
                <w:szCs w:val="20"/>
                <w:lang w:eastAsia="fr-FR"/>
              </w:rPr>
              <w:t>4.48E-11</w:t>
            </w:r>
          </w:p>
        </w:tc>
        <w:tc>
          <w:tcPr>
            <w:tcW w:w="1335" w:type="dxa"/>
            <w:noWrap/>
            <w:hideMark/>
          </w:tcPr>
          <w:p w14:paraId="2FA2D681" w14:textId="77777777" w:rsidR="0043075A" w:rsidRPr="00C575D2" w:rsidRDefault="0043075A" w:rsidP="00CF48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575D2">
              <w:rPr>
                <w:rFonts w:ascii="Times New Roman" w:eastAsia="Times New Roman" w:hAnsi="Times New Roman" w:cs="Times New Roman"/>
                <w:color w:val="000000"/>
                <w:sz w:val="20"/>
                <w:szCs w:val="20"/>
                <w:lang w:eastAsia="fr-FR"/>
              </w:rPr>
              <w:t>6.69E-12</w:t>
            </w:r>
          </w:p>
        </w:tc>
        <w:tc>
          <w:tcPr>
            <w:tcW w:w="1959" w:type="dxa"/>
            <w:noWrap/>
            <w:hideMark/>
          </w:tcPr>
          <w:p w14:paraId="150BD87A" w14:textId="77777777" w:rsidR="0043075A" w:rsidRPr="00C575D2" w:rsidRDefault="0043075A" w:rsidP="00CF48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575D2">
              <w:rPr>
                <w:rFonts w:ascii="Times New Roman" w:eastAsia="Times New Roman" w:hAnsi="Times New Roman" w:cs="Times New Roman"/>
                <w:color w:val="000000"/>
                <w:sz w:val="20"/>
                <w:szCs w:val="20"/>
                <w:lang w:eastAsia="fr-FR"/>
              </w:rPr>
              <w:t>6.687</w:t>
            </w:r>
          </w:p>
        </w:tc>
        <w:tc>
          <w:tcPr>
            <w:tcW w:w="2311" w:type="dxa"/>
            <w:noWrap/>
            <w:hideMark/>
          </w:tcPr>
          <w:p w14:paraId="027C69FC" w14:textId="77777777" w:rsidR="0043075A" w:rsidRPr="00C575D2" w:rsidRDefault="0043075A" w:rsidP="00CF48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575D2">
              <w:rPr>
                <w:rFonts w:ascii="Times New Roman" w:eastAsia="Times New Roman" w:hAnsi="Times New Roman" w:cs="Times New Roman"/>
                <w:color w:val="000000"/>
                <w:sz w:val="20"/>
                <w:szCs w:val="20"/>
                <w:lang w:eastAsia="fr-FR"/>
              </w:rPr>
              <w:t>6.687 1.84e-10***</w:t>
            </w:r>
          </w:p>
        </w:tc>
      </w:tr>
      <w:tr w:rsidR="00CF484B" w:rsidRPr="00C575D2" w14:paraId="185F41DE" w14:textId="77777777" w:rsidTr="006B2FF8">
        <w:trPr>
          <w:trHeight w:val="277"/>
        </w:trPr>
        <w:tc>
          <w:tcPr>
            <w:cnfStyle w:val="001000000000" w:firstRow="0" w:lastRow="0" w:firstColumn="1" w:lastColumn="0" w:oddVBand="0" w:evenVBand="0" w:oddHBand="0" w:evenHBand="0" w:firstRowFirstColumn="0" w:firstRowLastColumn="0" w:lastRowFirstColumn="0" w:lastRowLastColumn="0"/>
            <w:tcW w:w="2350" w:type="dxa"/>
            <w:noWrap/>
            <w:hideMark/>
          </w:tcPr>
          <w:p w14:paraId="1E34E460" w14:textId="77777777" w:rsidR="0043075A" w:rsidRPr="00C575D2" w:rsidRDefault="00CF484B" w:rsidP="00CF484B">
            <w:pPr>
              <w:jc w:val="center"/>
              <w:rPr>
                <w:rFonts w:ascii="Times New Roman" w:eastAsia="Times New Roman" w:hAnsi="Times New Roman" w:cs="Times New Roman"/>
                <w:color w:val="000000"/>
                <w:sz w:val="20"/>
                <w:szCs w:val="20"/>
                <w:lang w:eastAsia="fr-FR"/>
              </w:rPr>
            </w:pPr>
            <w:r w:rsidRPr="00C575D2">
              <w:rPr>
                <w:rFonts w:ascii="Times New Roman" w:eastAsia="Times New Roman" w:hAnsi="Times New Roman" w:cs="Times New Roman"/>
                <w:color w:val="000000"/>
                <w:sz w:val="20"/>
                <w:szCs w:val="20"/>
                <w:lang w:eastAsia="fr-FR"/>
              </w:rPr>
              <w:t>Investissement (</w:t>
            </w:r>
            <w:r w:rsidR="0043075A" w:rsidRPr="00C575D2">
              <w:rPr>
                <w:rFonts w:ascii="Times New Roman" w:eastAsia="Times New Roman" w:hAnsi="Times New Roman" w:cs="Times New Roman"/>
                <w:color w:val="000000"/>
                <w:sz w:val="20"/>
                <w:szCs w:val="20"/>
                <w:lang w:eastAsia="fr-FR"/>
              </w:rPr>
              <w:t>-2)</w:t>
            </w:r>
          </w:p>
        </w:tc>
        <w:tc>
          <w:tcPr>
            <w:tcW w:w="1355" w:type="dxa"/>
            <w:noWrap/>
            <w:hideMark/>
          </w:tcPr>
          <w:p w14:paraId="6E29EB19" w14:textId="77777777" w:rsidR="0043075A" w:rsidRPr="00C575D2" w:rsidRDefault="0043075A" w:rsidP="00CF48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575D2">
              <w:rPr>
                <w:rFonts w:ascii="Times New Roman" w:eastAsia="Times New Roman" w:hAnsi="Times New Roman" w:cs="Times New Roman"/>
                <w:color w:val="000000"/>
                <w:sz w:val="20"/>
                <w:szCs w:val="20"/>
                <w:lang w:eastAsia="fr-FR"/>
              </w:rPr>
              <w:t>-2.14E-11</w:t>
            </w:r>
          </w:p>
        </w:tc>
        <w:tc>
          <w:tcPr>
            <w:tcW w:w="1335" w:type="dxa"/>
            <w:noWrap/>
            <w:hideMark/>
          </w:tcPr>
          <w:p w14:paraId="592D0F13" w14:textId="77777777" w:rsidR="0043075A" w:rsidRPr="00C575D2" w:rsidRDefault="0043075A" w:rsidP="00CF48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575D2">
              <w:rPr>
                <w:rFonts w:ascii="Times New Roman" w:eastAsia="Times New Roman" w:hAnsi="Times New Roman" w:cs="Times New Roman"/>
                <w:color w:val="000000"/>
                <w:sz w:val="20"/>
                <w:szCs w:val="20"/>
                <w:lang w:eastAsia="fr-FR"/>
              </w:rPr>
              <w:t>3.57E-12</w:t>
            </w:r>
          </w:p>
        </w:tc>
        <w:tc>
          <w:tcPr>
            <w:tcW w:w="1959" w:type="dxa"/>
            <w:noWrap/>
            <w:hideMark/>
          </w:tcPr>
          <w:p w14:paraId="30A82272" w14:textId="77777777" w:rsidR="0043075A" w:rsidRPr="00C575D2" w:rsidRDefault="0043075A" w:rsidP="00CF48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575D2">
              <w:rPr>
                <w:rFonts w:ascii="Times New Roman" w:eastAsia="Times New Roman" w:hAnsi="Times New Roman" w:cs="Times New Roman"/>
                <w:color w:val="000000"/>
                <w:sz w:val="20"/>
                <w:szCs w:val="20"/>
                <w:lang w:eastAsia="fr-FR"/>
              </w:rPr>
              <w:t>-5.988</w:t>
            </w:r>
          </w:p>
        </w:tc>
        <w:tc>
          <w:tcPr>
            <w:tcW w:w="2311" w:type="dxa"/>
            <w:noWrap/>
            <w:hideMark/>
          </w:tcPr>
          <w:p w14:paraId="3D3E4163" w14:textId="77777777" w:rsidR="0043075A" w:rsidRPr="00C575D2" w:rsidRDefault="0043075A" w:rsidP="00CF48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575D2">
              <w:rPr>
                <w:rFonts w:ascii="Times New Roman" w:eastAsia="Times New Roman" w:hAnsi="Times New Roman" w:cs="Times New Roman"/>
                <w:color w:val="000000"/>
                <w:sz w:val="20"/>
                <w:szCs w:val="20"/>
                <w:lang w:eastAsia="fr-FR"/>
              </w:rPr>
              <w:t>-5.988 8.53e-09***</w:t>
            </w:r>
          </w:p>
        </w:tc>
      </w:tr>
      <w:tr w:rsidR="00CF484B" w:rsidRPr="00C575D2" w14:paraId="58B951D0" w14:textId="77777777" w:rsidTr="006B2FF8">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350" w:type="dxa"/>
            <w:noWrap/>
            <w:hideMark/>
          </w:tcPr>
          <w:p w14:paraId="196E9F64" w14:textId="77777777" w:rsidR="0043075A" w:rsidRPr="00C575D2" w:rsidRDefault="00CF484B" w:rsidP="00CF484B">
            <w:pPr>
              <w:jc w:val="center"/>
              <w:rPr>
                <w:rFonts w:ascii="Times New Roman" w:eastAsia="Times New Roman" w:hAnsi="Times New Roman" w:cs="Times New Roman"/>
                <w:color w:val="000000"/>
                <w:sz w:val="20"/>
                <w:szCs w:val="20"/>
                <w:lang w:eastAsia="fr-FR"/>
              </w:rPr>
            </w:pPr>
            <w:r w:rsidRPr="00C575D2">
              <w:rPr>
                <w:rFonts w:ascii="Times New Roman" w:eastAsia="Times New Roman" w:hAnsi="Times New Roman" w:cs="Times New Roman"/>
                <w:color w:val="000000"/>
                <w:sz w:val="20"/>
                <w:szCs w:val="20"/>
                <w:lang w:eastAsia="fr-FR"/>
              </w:rPr>
              <w:t>Concours Publics</w:t>
            </w:r>
          </w:p>
        </w:tc>
        <w:tc>
          <w:tcPr>
            <w:tcW w:w="1355" w:type="dxa"/>
            <w:noWrap/>
            <w:hideMark/>
          </w:tcPr>
          <w:p w14:paraId="43E58C94" w14:textId="77777777" w:rsidR="0043075A" w:rsidRPr="00C575D2" w:rsidRDefault="0043075A" w:rsidP="00CF48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575D2">
              <w:rPr>
                <w:rFonts w:ascii="Times New Roman" w:eastAsia="Times New Roman" w:hAnsi="Times New Roman" w:cs="Times New Roman"/>
                <w:color w:val="000000"/>
                <w:sz w:val="20"/>
                <w:szCs w:val="20"/>
                <w:lang w:eastAsia="fr-FR"/>
              </w:rPr>
              <w:t>-3.49E-11</w:t>
            </w:r>
          </w:p>
        </w:tc>
        <w:tc>
          <w:tcPr>
            <w:tcW w:w="1335" w:type="dxa"/>
            <w:noWrap/>
            <w:hideMark/>
          </w:tcPr>
          <w:p w14:paraId="584EEE05" w14:textId="77777777" w:rsidR="0043075A" w:rsidRPr="00C575D2" w:rsidRDefault="0043075A" w:rsidP="00CF48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575D2">
              <w:rPr>
                <w:rFonts w:ascii="Times New Roman" w:eastAsia="Times New Roman" w:hAnsi="Times New Roman" w:cs="Times New Roman"/>
                <w:color w:val="000000"/>
                <w:sz w:val="20"/>
                <w:szCs w:val="20"/>
                <w:lang w:eastAsia="fr-FR"/>
              </w:rPr>
              <w:t>5.32E-12</w:t>
            </w:r>
          </w:p>
        </w:tc>
        <w:tc>
          <w:tcPr>
            <w:tcW w:w="1959" w:type="dxa"/>
            <w:noWrap/>
            <w:hideMark/>
          </w:tcPr>
          <w:p w14:paraId="670E1101" w14:textId="77777777" w:rsidR="0043075A" w:rsidRPr="00C575D2" w:rsidRDefault="0043075A" w:rsidP="00CF48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575D2">
              <w:rPr>
                <w:rFonts w:ascii="Times New Roman" w:eastAsia="Times New Roman" w:hAnsi="Times New Roman" w:cs="Times New Roman"/>
                <w:color w:val="000000"/>
                <w:sz w:val="20"/>
                <w:szCs w:val="20"/>
                <w:lang w:eastAsia="fr-FR"/>
              </w:rPr>
              <w:t>-6.564</w:t>
            </w:r>
          </w:p>
        </w:tc>
        <w:tc>
          <w:tcPr>
            <w:tcW w:w="2311" w:type="dxa"/>
            <w:noWrap/>
            <w:hideMark/>
          </w:tcPr>
          <w:p w14:paraId="21AF2F61" w14:textId="77777777" w:rsidR="0043075A" w:rsidRPr="00C575D2" w:rsidRDefault="0043075A" w:rsidP="00CF48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575D2">
              <w:rPr>
                <w:rFonts w:ascii="Times New Roman" w:eastAsia="Times New Roman" w:hAnsi="Times New Roman" w:cs="Times New Roman"/>
                <w:color w:val="000000"/>
                <w:sz w:val="20"/>
                <w:szCs w:val="20"/>
                <w:lang w:eastAsia="fr-FR"/>
              </w:rPr>
              <w:t>3.67e-10***</w:t>
            </w:r>
          </w:p>
        </w:tc>
      </w:tr>
      <w:tr w:rsidR="00CF484B" w:rsidRPr="00C575D2" w14:paraId="1B0B6551" w14:textId="77777777" w:rsidTr="006B2FF8">
        <w:trPr>
          <w:trHeight w:val="277"/>
        </w:trPr>
        <w:tc>
          <w:tcPr>
            <w:cnfStyle w:val="001000000000" w:firstRow="0" w:lastRow="0" w:firstColumn="1" w:lastColumn="0" w:oddVBand="0" w:evenVBand="0" w:oddHBand="0" w:evenHBand="0" w:firstRowFirstColumn="0" w:firstRowLastColumn="0" w:lastRowFirstColumn="0" w:lastRowLastColumn="0"/>
            <w:tcW w:w="2350" w:type="dxa"/>
            <w:noWrap/>
            <w:hideMark/>
          </w:tcPr>
          <w:p w14:paraId="58846D88" w14:textId="77777777" w:rsidR="0043075A" w:rsidRPr="00C575D2" w:rsidRDefault="0043075A" w:rsidP="00CF484B">
            <w:pPr>
              <w:jc w:val="center"/>
              <w:rPr>
                <w:rFonts w:ascii="Times New Roman" w:eastAsia="Times New Roman" w:hAnsi="Times New Roman" w:cs="Times New Roman"/>
                <w:color w:val="000000"/>
                <w:sz w:val="20"/>
                <w:szCs w:val="20"/>
                <w:lang w:eastAsia="fr-FR"/>
              </w:rPr>
            </w:pPr>
            <w:r w:rsidRPr="00C575D2">
              <w:rPr>
                <w:rFonts w:ascii="Times New Roman" w:eastAsia="Times New Roman" w:hAnsi="Times New Roman" w:cs="Times New Roman"/>
                <w:color w:val="000000"/>
                <w:sz w:val="20"/>
                <w:szCs w:val="20"/>
                <w:lang w:eastAsia="fr-FR"/>
              </w:rPr>
              <w:t>Concours</w:t>
            </w:r>
            <w:r w:rsidR="00CF484B" w:rsidRPr="00C575D2">
              <w:rPr>
                <w:rFonts w:ascii="Times New Roman" w:eastAsia="Times New Roman" w:hAnsi="Times New Roman" w:cs="Times New Roman"/>
                <w:color w:val="000000"/>
                <w:sz w:val="20"/>
                <w:szCs w:val="20"/>
                <w:lang w:eastAsia="fr-FR"/>
              </w:rPr>
              <w:t xml:space="preserve"> </w:t>
            </w:r>
            <w:r w:rsidRPr="00C575D2">
              <w:rPr>
                <w:rFonts w:ascii="Times New Roman" w:eastAsia="Times New Roman" w:hAnsi="Times New Roman" w:cs="Times New Roman"/>
                <w:color w:val="000000"/>
                <w:sz w:val="20"/>
                <w:szCs w:val="20"/>
                <w:lang w:eastAsia="fr-FR"/>
              </w:rPr>
              <w:t>Publics</w:t>
            </w:r>
            <w:r w:rsidR="00CF484B" w:rsidRPr="00C575D2">
              <w:rPr>
                <w:rFonts w:ascii="Times New Roman" w:eastAsia="Times New Roman" w:hAnsi="Times New Roman" w:cs="Times New Roman"/>
                <w:color w:val="000000"/>
                <w:sz w:val="20"/>
                <w:szCs w:val="20"/>
                <w:lang w:eastAsia="fr-FR"/>
              </w:rPr>
              <w:t xml:space="preserve"> </w:t>
            </w:r>
            <w:r w:rsidRPr="00C575D2">
              <w:rPr>
                <w:rFonts w:ascii="Times New Roman" w:eastAsia="Times New Roman" w:hAnsi="Times New Roman" w:cs="Times New Roman"/>
                <w:color w:val="000000"/>
                <w:sz w:val="20"/>
                <w:szCs w:val="20"/>
                <w:lang w:eastAsia="fr-FR"/>
              </w:rPr>
              <w:t>(-1)</w:t>
            </w:r>
          </w:p>
        </w:tc>
        <w:tc>
          <w:tcPr>
            <w:tcW w:w="1355" w:type="dxa"/>
            <w:noWrap/>
            <w:hideMark/>
          </w:tcPr>
          <w:p w14:paraId="6B6AD37E" w14:textId="77777777" w:rsidR="0043075A" w:rsidRPr="00C575D2" w:rsidRDefault="0043075A" w:rsidP="00CF48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575D2">
              <w:rPr>
                <w:rFonts w:ascii="Times New Roman" w:eastAsia="Times New Roman" w:hAnsi="Times New Roman" w:cs="Times New Roman"/>
                <w:color w:val="000000"/>
                <w:sz w:val="20"/>
                <w:szCs w:val="20"/>
                <w:lang w:eastAsia="fr-FR"/>
              </w:rPr>
              <w:t>6.58E-11</w:t>
            </w:r>
          </w:p>
        </w:tc>
        <w:tc>
          <w:tcPr>
            <w:tcW w:w="1335" w:type="dxa"/>
            <w:noWrap/>
            <w:hideMark/>
          </w:tcPr>
          <w:p w14:paraId="7C4087D9" w14:textId="77777777" w:rsidR="0043075A" w:rsidRPr="00C575D2" w:rsidRDefault="0043075A" w:rsidP="00CF48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575D2">
              <w:rPr>
                <w:rFonts w:ascii="Times New Roman" w:eastAsia="Times New Roman" w:hAnsi="Times New Roman" w:cs="Times New Roman"/>
                <w:color w:val="000000"/>
                <w:sz w:val="20"/>
                <w:szCs w:val="20"/>
                <w:lang w:eastAsia="fr-FR"/>
              </w:rPr>
              <w:t>1.02E-11</w:t>
            </w:r>
          </w:p>
        </w:tc>
        <w:tc>
          <w:tcPr>
            <w:tcW w:w="1959" w:type="dxa"/>
            <w:noWrap/>
            <w:hideMark/>
          </w:tcPr>
          <w:p w14:paraId="52A8926E" w14:textId="77777777" w:rsidR="0043075A" w:rsidRPr="00C575D2" w:rsidRDefault="0043075A" w:rsidP="00CF48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575D2">
              <w:rPr>
                <w:rFonts w:ascii="Times New Roman" w:eastAsia="Times New Roman" w:hAnsi="Times New Roman" w:cs="Times New Roman"/>
                <w:color w:val="000000"/>
                <w:sz w:val="20"/>
                <w:szCs w:val="20"/>
                <w:lang w:eastAsia="fr-FR"/>
              </w:rPr>
              <w:t>6.45</w:t>
            </w:r>
          </w:p>
        </w:tc>
        <w:tc>
          <w:tcPr>
            <w:tcW w:w="2311" w:type="dxa"/>
            <w:noWrap/>
            <w:hideMark/>
          </w:tcPr>
          <w:p w14:paraId="280676E1" w14:textId="77777777" w:rsidR="0043075A" w:rsidRPr="00C575D2" w:rsidRDefault="0043075A" w:rsidP="00CF48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575D2">
              <w:rPr>
                <w:rFonts w:ascii="Times New Roman" w:eastAsia="Times New Roman" w:hAnsi="Times New Roman" w:cs="Times New Roman"/>
                <w:color w:val="000000"/>
                <w:sz w:val="20"/>
                <w:szCs w:val="20"/>
                <w:lang w:eastAsia="fr-FR"/>
              </w:rPr>
              <w:t>6.450 6.94e-10***</w:t>
            </w:r>
          </w:p>
        </w:tc>
      </w:tr>
      <w:tr w:rsidR="00CF484B" w:rsidRPr="00C575D2" w14:paraId="24681848" w14:textId="77777777" w:rsidTr="006B2FF8">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350" w:type="dxa"/>
            <w:noWrap/>
            <w:hideMark/>
          </w:tcPr>
          <w:p w14:paraId="1F3A8428" w14:textId="77777777" w:rsidR="0043075A" w:rsidRPr="00C575D2" w:rsidRDefault="0043075A" w:rsidP="00CF484B">
            <w:pPr>
              <w:jc w:val="center"/>
              <w:rPr>
                <w:rFonts w:ascii="Times New Roman" w:eastAsia="Times New Roman" w:hAnsi="Times New Roman" w:cs="Times New Roman"/>
                <w:color w:val="000000"/>
                <w:sz w:val="20"/>
                <w:szCs w:val="20"/>
                <w:lang w:eastAsia="fr-FR"/>
              </w:rPr>
            </w:pPr>
            <w:r w:rsidRPr="00C575D2">
              <w:rPr>
                <w:rFonts w:ascii="Times New Roman" w:eastAsia="Times New Roman" w:hAnsi="Times New Roman" w:cs="Times New Roman"/>
                <w:color w:val="000000"/>
                <w:sz w:val="20"/>
                <w:szCs w:val="20"/>
                <w:lang w:eastAsia="fr-FR"/>
              </w:rPr>
              <w:t>Concours</w:t>
            </w:r>
            <w:r w:rsidR="00CF484B" w:rsidRPr="00C575D2">
              <w:rPr>
                <w:rFonts w:ascii="Times New Roman" w:eastAsia="Times New Roman" w:hAnsi="Times New Roman" w:cs="Times New Roman"/>
                <w:color w:val="000000"/>
                <w:sz w:val="20"/>
                <w:szCs w:val="20"/>
                <w:lang w:eastAsia="fr-FR"/>
              </w:rPr>
              <w:t xml:space="preserve"> </w:t>
            </w:r>
            <w:r w:rsidRPr="00C575D2">
              <w:rPr>
                <w:rFonts w:ascii="Times New Roman" w:eastAsia="Times New Roman" w:hAnsi="Times New Roman" w:cs="Times New Roman"/>
                <w:color w:val="000000"/>
                <w:sz w:val="20"/>
                <w:szCs w:val="20"/>
                <w:lang w:eastAsia="fr-FR"/>
              </w:rPr>
              <w:t>Publics</w:t>
            </w:r>
            <w:r w:rsidR="00CF484B" w:rsidRPr="00C575D2">
              <w:rPr>
                <w:rFonts w:ascii="Times New Roman" w:eastAsia="Times New Roman" w:hAnsi="Times New Roman" w:cs="Times New Roman"/>
                <w:color w:val="000000"/>
                <w:sz w:val="20"/>
                <w:szCs w:val="20"/>
                <w:lang w:eastAsia="fr-FR"/>
              </w:rPr>
              <w:t xml:space="preserve"> </w:t>
            </w:r>
            <w:r w:rsidRPr="00C575D2">
              <w:rPr>
                <w:rFonts w:ascii="Times New Roman" w:eastAsia="Times New Roman" w:hAnsi="Times New Roman" w:cs="Times New Roman"/>
                <w:color w:val="000000"/>
                <w:sz w:val="20"/>
                <w:szCs w:val="20"/>
                <w:lang w:eastAsia="fr-FR"/>
              </w:rPr>
              <w:t>(-2)</w:t>
            </w:r>
          </w:p>
        </w:tc>
        <w:tc>
          <w:tcPr>
            <w:tcW w:w="1355" w:type="dxa"/>
            <w:noWrap/>
            <w:hideMark/>
          </w:tcPr>
          <w:p w14:paraId="22ECC10F" w14:textId="77777777" w:rsidR="0043075A" w:rsidRPr="00C575D2" w:rsidRDefault="0043075A" w:rsidP="00CF48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575D2">
              <w:rPr>
                <w:rFonts w:ascii="Times New Roman" w:eastAsia="Times New Roman" w:hAnsi="Times New Roman" w:cs="Times New Roman"/>
                <w:color w:val="000000"/>
                <w:sz w:val="20"/>
                <w:szCs w:val="20"/>
                <w:lang w:eastAsia="fr-FR"/>
              </w:rPr>
              <w:t>-3.12E-11</w:t>
            </w:r>
          </w:p>
        </w:tc>
        <w:tc>
          <w:tcPr>
            <w:tcW w:w="1335" w:type="dxa"/>
            <w:noWrap/>
            <w:hideMark/>
          </w:tcPr>
          <w:p w14:paraId="6FB71DB6" w14:textId="77777777" w:rsidR="0043075A" w:rsidRPr="00C575D2" w:rsidRDefault="0043075A" w:rsidP="00CF48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575D2">
              <w:rPr>
                <w:rFonts w:ascii="Times New Roman" w:eastAsia="Times New Roman" w:hAnsi="Times New Roman" w:cs="Times New Roman"/>
                <w:color w:val="000000"/>
                <w:sz w:val="20"/>
                <w:szCs w:val="20"/>
                <w:lang w:eastAsia="fr-FR"/>
              </w:rPr>
              <w:t>5.39E-12</w:t>
            </w:r>
          </w:p>
        </w:tc>
        <w:tc>
          <w:tcPr>
            <w:tcW w:w="1959" w:type="dxa"/>
            <w:noWrap/>
            <w:hideMark/>
          </w:tcPr>
          <w:p w14:paraId="5EFBB0F9" w14:textId="77777777" w:rsidR="0043075A" w:rsidRPr="00C575D2" w:rsidRDefault="0043075A" w:rsidP="00CF48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575D2">
              <w:rPr>
                <w:rFonts w:ascii="Times New Roman" w:eastAsia="Times New Roman" w:hAnsi="Times New Roman" w:cs="Times New Roman"/>
                <w:color w:val="000000"/>
                <w:sz w:val="20"/>
                <w:szCs w:val="20"/>
                <w:lang w:eastAsia="fr-FR"/>
              </w:rPr>
              <w:t>-5.789</w:t>
            </w:r>
          </w:p>
        </w:tc>
        <w:tc>
          <w:tcPr>
            <w:tcW w:w="2311" w:type="dxa"/>
            <w:noWrap/>
            <w:hideMark/>
          </w:tcPr>
          <w:p w14:paraId="78C122FC" w14:textId="77777777" w:rsidR="0043075A" w:rsidRPr="00C575D2" w:rsidRDefault="0043075A" w:rsidP="00CF48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575D2">
              <w:rPr>
                <w:rFonts w:ascii="Times New Roman" w:eastAsia="Times New Roman" w:hAnsi="Times New Roman" w:cs="Times New Roman"/>
                <w:color w:val="000000"/>
                <w:sz w:val="20"/>
                <w:szCs w:val="20"/>
                <w:lang w:eastAsia="fr-FR"/>
              </w:rPr>
              <w:t>-5.789 2.41e-08***</w:t>
            </w:r>
          </w:p>
        </w:tc>
      </w:tr>
      <w:tr w:rsidR="00CF484B" w:rsidRPr="00C575D2" w14:paraId="3ECBAA9C" w14:textId="77777777" w:rsidTr="006B2FF8">
        <w:trPr>
          <w:trHeight w:val="277"/>
        </w:trPr>
        <w:tc>
          <w:tcPr>
            <w:cnfStyle w:val="001000000000" w:firstRow="0" w:lastRow="0" w:firstColumn="1" w:lastColumn="0" w:oddVBand="0" w:evenVBand="0" w:oddHBand="0" w:evenHBand="0" w:firstRowFirstColumn="0" w:firstRowLastColumn="0" w:lastRowFirstColumn="0" w:lastRowLastColumn="0"/>
            <w:tcW w:w="2350" w:type="dxa"/>
            <w:noWrap/>
            <w:hideMark/>
          </w:tcPr>
          <w:p w14:paraId="48784A03" w14:textId="77777777" w:rsidR="0043075A" w:rsidRPr="00C575D2" w:rsidRDefault="0043075A" w:rsidP="00CF484B">
            <w:pPr>
              <w:jc w:val="center"/>
              <w:rPr>
                <w:rFonts w:ascii="Times New Roman" w:eastAsia="Times New Roman" w:hAnsi="Times New Roman" w:cs="Times New Roman"/>
                <w:color w:val="000000"/>
                <w:sz w:val="20"/>
                <w:szCs w:val="20"/>
                <w:lang w:eastAsia="fr-FR"/>
              </w:rPr>
            </w:pPr>
            <w:r w:rsidRPr="00C575D2">
              <w:rPr>
                <w:rFonts w:ascii="Times New Roman" w:eastAsia="Times New Roman" w:hAnsi="Times New Roman" w:cs="Times New Roman"/>
                <w:color w:val="000000"/>
                <w:sz w:val="20"/>
                <w:szCs w:val="20"/>
                <w:lang w:eastAsia="fr-FR"/>
              </w:rPr>
              <w:t>Offre</w:t>
            </w:r>
            <w:r w:rsidR="00CF484B" w:rsidRPr="00C575D2">
              <w:rPr>
                <w:rFonts w:ascii="Times New Roman" w:eastAsia="Times New Roman" w:hAnsi="Times New Roman" w:cs="Times New Roman"/>
                <w:color w:val="000000"/>
                <w:sz w:val="20"/>
                <w:szCs w:val="20"/>
                <w:lang w:eastAsia="fr-FR"/>
              </w:rPr>
              <w:t xml:space="preserve"> </w:t>
            </w:r>
            <w:r w:rsidRPr="00C575D2">
              <w:rPr>
                <w:rFonts w:ascii="Times New Roman" w:eastAsia="Times New Roman" w:hAnsi="Times New Roman" w:cs="Times New Roman"/>
                <w:color w:val="000000"/>
                <w:sz w:val="20"/>
                <w:szCs w:val="20"/>
                <w:lang w:eastAsia="fr-FR"/>
              </w:rPr>
              <w:t>Commerciale</w:t>
            </w:r>
          </w:p>
        </w:tc>
        <w:tc>
          <w:tcPr>
            <w:tcW w:w="1355" w:type="dxa"/>
            <w:noWrap/>
            <w:hideMark/>
          </w:tcPr>
          <w:p w14:paraId="49BC3659" w14:textId="77777777" w:rsidR="0043075A" w:rsidRPr="00C575D2" w:rsidRDefault="0043075A" w:rsidP="00CF48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575D2">
              <w:rPr>
                <w:rFonts w:ascii="Times New Roman" w:eastAsia="Times New Roman" w:hAnsi="Times New Roman" w:cs="Times New Roman"/>
                <w:color w:val="000000"/>
                <w:sz w:val="20"/>
                <w:szCs w:val="20"/>
                <w:lang w:eastAsia="fr-FR"/>
              </w:rPr>
              <w:t>2.78E-09</w:t>
            </w:r>
          </w:p>
        </w:tc>
        <w:tc>
          <w:tcPr>
            <w:tcW w:w="1335" w:type="dxa"/>
            <w:noWrap/>
            <w:hideMark/>
          </w:tcPr>
          <w:p w14:paraId="547DC554" w14:textId="77777777" w:rsidR="0043075A" w:rsidRPr="00C575D2" w:rsidRDefault="0043075A" w:rsidP="00CF48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575D2">
              <w:rPr>
                <w:rFonts w:ascii="Times New Roman" w:eastAsia="Times New Roman" w:hAnsi="Times New Roman" w:cs="Times New Roman"/>
                <w:color w:val="000000"/>
                <w:sz w:val="20"/>
                <w:szCs w:val="20"/>
                <w:lang w:eastAsia="fr-FR"/>
              </w:rPr>
              <w:t>1.58E-10</w:t>
            </w:r>
          </w:p>
        </w:tc>
        <w:tc>
          <w:tcPr>
            <w:tcW w:w="1959" w:type="dxa"/>
            <w:noWrap/>
            <w:hideMark/>
          </w:tcPr>
          <w:p w14:paraId="78080EEA" w14:textId="77777777" w:rsidR="0043075A" w:rsidRPr="00C575D2" w:rsidRDefault="0043075A" w:rsidP="00CF48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575D2">
              <w:rPr>
                <w:rFonts w:ascii="Times New Roman" w:eastAsia="Times New Roman" w:hAnsi="Times New Roman" w:cs="Times New Roman"/>
                <w:color w:val="000000"/>
                <w:sz w:val="20"/>
                <w:szCs w:val="20"/>
                <w:lang w:eastAsia="fr-FR"/>
              </w:rPr>
              <w:t>17.586</w:t>
            </w:r>
          </w:p>
        </w:tc>
        <w:tc>
          <w:tcPr>
            <w:tcW w:w="2311" w:type="dxa"/>
            <w:noWrap/>
            <w:hideMark/>
          </w:tcPr>
          <w:p w14:paraId="68311A52" w14:textId="77777777" w:rsidR="0043075A" w:rsidRPr="00C575D2" w:rsidRDefault="0043075A" w:rsidP="00CF48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575D2">
              <w:rPr>
                <w:rFonts w:ascii="Times New Roman" w:eastAsia="Times New Roman" w:hAnsi="Times New Roman" w:cs="Times New Roman"/>
                <w:color w:val="000000"/>
                <w:sz w:val="20"/>
                <w:szCs w:val="20"/>
                <w:lang w:eastAsia="fr-FR"/>
              </w:rPr>
              <w:t>&lt; 2e-16***</w:t>
            </w:r>
          </w:p>
        </w:tc>
      </w:tr>
      <w:tr w:rsidR="00CF484B" w:rsidRPr="00C575D2" w14:paraId="5E9EA037" w14:textId="77777777" w:rsidTr="006B2FF8">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350" w:type="dxa"/>
            <w:noWrap/>
            <w:hideMark/>
          </w:tcPr>
          <w:p w14:paraId="265CEEF3" w14:textId="77777777" w:rsidR="0043075A" w:rsidRPr="00C575D2" w:rsidRDefault="0043075A" w:rsidP="00CF484B">
            <w:pPr>
              <w:jc w:val="center"/>
              <w:rPr>
                <w:rFonts w:ascii="Times New Roman" w:eastAsia="Times New Roman" w:hAnsi="Times New Roman" w:cs="Times New Roman"/>
                <w:color w:val="000000"/>
                <w:sz w:val="20"/>
                <w:szCs w:val="20"/>
                <w:lang w:eastAsia="fr-FR"/>
              </w:rPr>
            </w:pPr>
            <w:r w:rsidRPr="00C575D2">
              <w:rPr>
                <w:rFonts w:ascii="Times New Roman" w:eastAsia="Times New Roman" w:hAnsi="Times New Roman" w:cs="Times New Roman"/>
                <w:color w:val="000000"/>
                <w:sz w:val="20"/>
                <w:szCs w:val="20"/>
                <w:lang w:eastAsia="fr-FR"/>
              </w:rPr>
              <w:t>Offre</w:t>
            </w:r>
            <w:r w:rsidR="00CF484B" w:rsidRPr="00C575D2">
              <w:rPr>
                <w:rFonts w:ascii="Times New Roman" w:eastAsia="Times New Roman" w:hAnsi="Times New Roman" w:cs="Times New Roman"/>
                <w:color w:val="000000"/>
                <w:sz w:val="20"/>
                <w:szCs w:val="20"/>
                <w:lang w:eastAsia="fr-FR"/>
              </w:rPr>
              <w:t xml:space="preserve"> </w:t>
            </w:r>
            <w:r w:rsidRPr="00C575D2">
              <w:rPr>
                <w:rFonts w:ascii="Times New Roman" w:eastAsia="Times New Roman" w:hAnsi="Times New Roman" w:cs="Times New Roman"/>
                <w:color w:val="000000"/>
                <w:sz w:val="20"/>
                <w:szCs w:val="20"/>
                <w:lang w:eastAsia="fr-FR"/>
              </w:rPr>
              <w:t>Commerciale</w:t>
            </w:r>
            <w:r w:rsidR="00CF484B" w:rsidRPr="00C575D2">
              <w:rPr>
                <w:rFonts w:ascii="Times New Roman" w:eastAsia="Times New Roman" w:hAnsi="Times New Roman" w:cs="Times New Roman"/>
                <w:color w:val="000000"/>
                <w:sz w:val="20"/>
                <w:szCs w:val="20"/>
                <w:lang w:eastAsia="fr-FR"/>
              </w:rPr>
              <w:t xml:space="preserve"> </w:t>
            </w:r>
            <w:r w:rsidRPr="00C575D2">
              <w:rPr>
                <w:rFonts w:ascii="Times New Roman" w:eastAsia="Times New Roman" w:hAnsi="Times New Roman" w:cs="Times New Roman"/>
                <w:color w:val="000000"/>
                <w:sz w:val="20"/>
                <w:szCs w:val="20"/>
                <w:lang w:eastAsia="fr-FR"/>
              </w:rPr>
              <w:t>(-1)</w:t>
            </w:r>
          </w:p>
        </w:tc>
        <w:tc>
          <w:tcPr>
            <w:tcW w:w="1355" w:type="dxa"/>
            <w:noWrap/>
            <w:hideMark/>
          </w:tcPr>
          <w:p w14:paraId="5647B6AB" w14:textId="77777777" w:rsidR="0043075A" w:rsidRPr="00C575D2" w:rsidRDefault="0043075A" w:rsidP="00CF48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575D2">
              <w:rPr>
                <w:rFonts w:ascii="Times New Roman" w:eastAsia="Times New Roman" w:hAnsi="Times New Roman" w:cs="Times New Roman"/>
                <w:color w:val="000000"/>
                <w:sz w:val="20"/>
                <w:szCs w:val="20"/>
                <w:lang w:eastAsia="fr-FR"/>
              </w:rPr>
              <w:t>-5.18E-09</w:t>
            </w:r>
          </w:p>
        </w:tc>
        <w:tc>
          <w:tcPr>
            <w:tcW w:w="1335" w:type="dxa"/>
            <w:noWrap/>
            <w:hideMark/>
          </w:tcPr>
          <w:p w14:paraId="1837A886" w14:textId="77777777" w:rsidR="0043075A" w:rsidRPr="00C575D2" w:rsidRDefault="0043075A" w:rsidP="00CF48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575D2">
              <w:rPr>
                <w:rFonts w:ascii="Times New Roman" w:eastAsia="Times New Roman" w:hAnsi="Times New Roman" w:cs="Times New Roman"/>
                <w:color w:val="000000"/>
                <w:sz w:val="20"/>
                <w:szCs w:val="20"/>
                <w:lang w:eastAsia="fr-FR"/>
              </w:rPr>
              <w:t>3.21E-10</w:t>
            </w:r>
          </w:p>
        </w:tc>
        <w:tc>
          <w:tcPr>
            <w:tcW w:w="1959" w:type="dxa"/>
            <w:noWrap/>
            <w:hideMark/>
          </w:tcPr>
          <w:p w14:paraId="2A48CD76" w14:textId="77777777" w:rsidR="0043075A" w:rsidRPr="00C575D2" w:rsidRDefault="0043075A" w:rsidP="00CF48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575D2">
              <w:rPr>
                <w:rFonts w:ascii="Times New Roman" w:eastAsia="Times New Roman" w:hAnsi="Times New Roman" w:cs="Times New Roman"/>
                <w:color w:val="000000"/>
                <w:sz w:val="20"/>
                <w:szCs w:val="20"/>
                <w:lang w:eastAsia="fr-FR"/>
              </w:rPr>
              <w:t>-16.142</w:t>
            </w:r>
          </w:p>
        </w:tc>
        <w:tc>
          <w:tcPr>
            <w:tcW w:w="2311" w:type="dxa"/>
            <w:noWrap/>
            <w:hideMark/>
          </w:tcPr>
          <w:p w14:paraId="45FEE4DC" w14:textId="77777777" w:rsidR="0043075A" w:rsidRPr="00C575D2" w:rsidRDefault="0043075A" w:rsidP="00CF48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575D2">
              <w:rPr>
                <w:rFonts w:ascii="Times New Roman" w:eastAsia="Times New Roman" w:hAnsi="Times New Roman" w:cs="Times New Roman"/>
                <w:color w:val="000000"/>
                <w:sz w:val="20"/>
                <w:szCs w:val="20"/>
                <w:lang w:eastAsia="fr-FR"/>
              </w:rPr>
              <w:t>&lt; 2e-16***</w:t>
            </w:r>
          </w:p>
        </w:tc>
      </w:tr>
      <w:tr w:rsidR="00CF484B" w:rsidRPr="00C575D2" w14:paraId="3E51FCBB" w14:textId="77777777" w:rsidTr="006B2FF8">
        <w:trPr>
          <w:trHeight w:val="277"/>
        </w:trPr>
        <w:tc>
          <w:tcPr>
            <w:cnfStyle w:val="001000000000" w:firstRow="0" w:lastRow="0" w:firstColumn="1" w:lastColumn="0" w:oddVBand="0" w:evenVBand="0" w:oddHBand="0" w:evenHBand="0" w:firstRowFirstColumn="0" w:firstRowLastColumn="0" w:lastRowFirstColumn="0" w:lastRowLastColumn="0"/>
            <w:tcW w:w="2350" w:type="dxa"/>
            <w:noWrap/>
            <w:hideMark/>
          </w:tcPr>
          <w:p w14:paraId="06754516" w14:textId="77777777" w:rsidR="0043075A" w:rsidRPr="00C575D2" w:rsidRDefault="0043075A" w:rsidP="00CF484B">
            <w:pPr>
              <w:jc w:val="center"/>
              <w:rPr>
                <w:rFonts w:ascii="Times New Roman" w:eastAsia="Times New Roman" w:hAnsi="Times New Roman" w:cs="Times New Roman"/>
                <w:color w:val="000000"/>
                <w:sz w:val="20"/>
                <w:szCs w:val="20"/>
                <w:lang w:eastAsia="fr-FR"/>
              </w:rPr>
            </w:pPr>
            <w:r w:rsidRPr="00C575D2">
              <w:rPr>
                <w:rFonts w:ascii="Times New Roman" w:eastAsia="Times New Roman" w:hAnsi="Times New Roman" w:cs="Times New Roman"/>
                <w:color w:val="000000"/>
                <w:sz w:val="20"/>
                <w:szCs w:val="20"/>
                <w:lang w:eastAsia="fr-FR"/>
              </w:rPr>
              <w:t>Offre</w:t>
            </w:r>
            <w:r w:rsidR="00CF484B" w:rsidRPr="00C575D2">
              <w:rPr>
                <w:rFonts w:ascii="Times New Roman" w:eastAsia="Times New Roman" w:hAnsi="Times New Roman" w:cs="Times New Roman"/>
                <w:color w:val="000000"/>
                <w:sz w:val="20"/>
                <w:szCs w:val="20"/>
                <w:lang w:eastAsia="fr-FR"/>
              </w:rPr>
              <w:t xml:space="preserve"> </w:t>
            </w:r>
            <w:r w:rsidRPr="00C575D2">
              <w:rPr>
                <w:rFonts w:ascii="Times New Roman" w:eastAsia="Times New Roman" w:hAnsi="Times New Roman" w:cs="Times New Roman"/>
                <w:color w:val="000000"/>
                <w:sz w:val="20"/>
                <w:szCs w:val="20"/>
                <w:lang w:eastAsia="fr-FR"/>
              </w:rPr>
              <w:t>Commerciale</w:t>
            </w:r>
            <w:r w:rsidR="00CF484B" w:rsidRPr="00C575D2">
              <w:rPr>
                <w:rFonts w:ascii="Times New Roman" w:eastAsia="Times New Roman" w:hAnsi="Times New Roman" w:cs="Times New Roman"/>
                <w:color w:val="000000"/>
                <w:sz w:val="20"/>
                <w:szCs w:val="20"/>
                <w:lang w:eastAsia="fr-FR"/>
              </w:rPr>
              <w:t xml:space="preserve"> </w:t>
            </w:r>
            <w:r w:rsidRPr="00C575D2">
              <w:rPr>
                <w:rFonts w:ascii="Times New Roman" w:eastAsia="Times New Roman" w:hAnsi="Times New Roman" w:cs="Times New Roman"/>
                <w:color w:val="000000"/>
                <w:sz w:val="20"/>
                <w:szCs w:val="20"/>
                <w:lang w:eastAsia="fr-FR"/>
              </w:rPr>
              <w:t>(-2)</w:t>
            </w:r>
          </w:p>
        </w:tc>
        <w:tc>
          <w:tcPr>
            <w:tcW w:w="1355" w:type="dxa"/>
            <w:noWrap/>
            <w:hideMark/>
          </w:tcPr>
          <w:p w14:paraId="5BE80E12" w14:textId="77777777" w:rsidR="0043075A" w:rsidRPr="00C575D2" w:rsidRDefault="0043075A" w:rsidP="00CF48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575D2">
              <w:rPr>
                <w:rFonts w:ascii="Times New Roman" w:eastAsia="Times New Roman" w:hAnsi="Times New Roman" w:cs="Times New Roman"/>
                <w:color w:val="000000"/>
                <w:sz w:val="20"/>
                <w:szCs w:val="20"/>
                <w:lang w:eastAsia="fr-FR"/>
              </w:rPr>
              <w:t>2.45E-09</w:t>
            </w:r>
          </w:p>
        </w:tc>
        <w:tc>
          <w:tcPr>
            <w:tcW w:w="1335" w:type="dxa"/>
            <w:noWrap/>
            <w:hideMark/>
          </w:tcPr>
          <w:p w14:paraId="7070A167" w14:textId="77777777" w:rsidR="0043075A" w:rsidRPr="00C575D2" w:rsidRDefault="0043075A" w:rsidP="00CF48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575D2">
              <w:rPr>
                <w:rFonts w:ascii="Times New Roman" w:eastAsia="Times New Roman" w:hAnsi="Times New Roman" w:cs="Times New Roman"/>
                <w:color w:val="000000"/>
                <w:sz w:val="20"/>
                <w:szCs w:val="20"/>
                <w:lang w:eastAsia="fr-FR"/>
              </w:rPr>
              <w:t>2.97E-10</w:t>
            </w:r>
          </w:p>
        </w:tc>
        <w:tc>
          <w:tcPr>
            <w:tcW w:w="1959" w:type="dxa"/>
            <w:noWrap/>
            <w:hideMark/>
          </w:tcPr>
          <w:p w14:paraId="2BECD698" w14:textId="77777777" w:rsidR="0043075A" w:rsidRPr="00C575D2" w:rsidRDefault="0043075A" w:rsidP="00CF48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575D2">
              <w:rPr>
                <w:rFonts w:ascii="Times New Roman" w:eastAsia="Times New Roman" w:hAnsi="Times New Roman" w:cs="Times New Roman"/>
                <w:color w:val="000000"/>
                <w:sz w:val="20"/>
                <w:szCs w:val="20"/>
                <w:lang w:eastAsia="fr-FR"/>
              </w:rPr>
              <w:t>8.247</w:t>
            </w:r>
          </w:p>
        </w:tc>
        <w:tc>
          <w:tcPr>
            <w:tcW w:w="2311" w:type="dxa"/>
            <w:noWrap/>
            <w:hideMark/>
          </w:tcPr>
          <w:p w14:paraId="37F14788" w14:textId="77777777" w:rsidR="0043075A" w:rsidRPr="00C575D2" w:rsidRDefault="0043075A" w:rsidP="00CF48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575D2">
              <w:rPr>
                <w:rFonts w:ascii="Times New Roman" w:eastAsia="Times New Roman" w:hAnsi="Times New Roman" w:cs="Times New Roman"/>
                <w:color w:val="000000"/>
                <w:sz w:val="20"/>
                <w:szCs w:val="20"/>
                <w:lang w:eastAsia="fr-FR"/>
              </w:rPr>
              <w:t>1.45e-14***</w:t>
            </w:r>
          </w:p>
        </w:tc>
      </w:tr>
      <w:tr w:rsidR="00CF484B" w:rsidRPr="00C575D2" w14:paraId="4DCAF914" w14:textId="77777777" w:rsidTr="006B2FF8">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350" w:type="dxa"/>
            <w:noWrap/>
            <w:hideMark/>
          </w:tcPr>
          <w:p w14:paraId="6A5960FB" w14:textId="77777777" w:rsidR="0043075A" w:rsidRPr="00C575D2" w:rsidRDefault="0043075A" w:rsidP="00CF484B">
            <w:pPr>
              <w:jc w:val="center"/>
              <w:rPr>
                <w:rFonts w:ascii="Times New Roman" w:eastAsia="Times New Roman" w:hAnsi="Times New Roman" w:cs="Times New Roman"/>
                <w:color w:val="000000"/>
                <w:sz w:val="20"/>
                <w:szCs w:val="20"/>
                <w:lang w:eastAsia="fr-FR"/>
              </w:rPr>
            </w:pPr>
            <w:r w:rsidRPr="00C575D2">
              <w:rPr>
                <w:rFonts w:ascii="Times New Roman" w:eastAsia="Times New Roman" w:hAnsi="Times New Roman" w:cs="Times New Roman"/>
                <w:color w:val="000000"/>
                <w:sz w:val="20"/>
                <w:szCs w:val="20"/>
                <w:lang w:eastAsia="fr-FR"/>
              </w:rPr>
              <w:t>Offre</w:t>
            </w:r>
            <w:r w:rsidR="00CF484B" w:rsidRPr="00C575D2">
              <w:rPr>
                <w:rFonts w:ascii="Times New Roman" w:eastAsia="Times New Roman" w:hAnsi="Times New Roman" w:cs="Times New Roman"/>
                <w:color w:val="000000"/>
                <w:sz w:val="20"/>
                <w:szCs w:val="20"/>
                <w:lang w:eastAsia="fr-FR"/>
              </w:rPr>
              <w:t xml:space="preserve"> </w:t>
            </w:r>
            <w:r w:rsidRPr="00C575D2">
              <w:rPr>
                <w:rFonts w:ascii="Times New Roman" w:eastAsia="Times New Roman" w:hAnsi="Times New Roman" w:cs="Times New Roman"/>
                <w:color w:val="000000"/>
                <w:sz w:val="20"/>
                <w:szCs w:val="20"/>
                <w:lang w:eastAsia="fr-FR"/>
              </w:rPr>
              <w:t>Commerciale</w:t>
            </w:r>
            <w:r w:rsidR="00CF484B" w:rsidRPr="00C575D2">
              <w:rPr>
                <w:rFonts w:ascii="Times New Roman" w:eastAsia="Times New Roman" w:hAnsi="Times New Roman" w:cs="Times New Roman"/>
                <w:color w:val="000000"/>
                <w:sz w:val="20"/>
                <w:szCs w:val="20"/>
                <w:lang w:eastAsia="fr-FR"/>
              </w:rPr>
              <w:t xml:space="preserve"> </w:t>
            </w:r>
            <w:r w:rsidR="00A319D4">
              <w:rPr>
                <w:rFonts w:ascii="Times New Roman" w:eastAsia="Times New Roman" w:hAnsi="Times New Roman" w:cs="Times New Roman"/>
                <w:color w:val="000000"/>
                <w:sz w:val="20"/>
                <w:szCs w:val="20"/>
                <w:lang w:eastAsia="fr-FR"/>
              </w:rPr>
              <w:t>(-3</w:t>
            </w:r>
            <w:r w:rsidRPr="00C575D2">
              <w:rPr>
                <w:rFonts w:ascii="Times New Roman" w:eastAsia="Times New Roman" w:hAnsi="Times New Roman" w:cs="Times New Roman"/>
                <w:color w:val="000000"/>
                <w:sz w:val="20"/>
                <w:szCs w:val="20"/>
                <w:lang w:eastAsia="fr-FR"/>
              </w:rPr>
              <w:t>)</w:t>
            </w:r>
          </w:p>
        </w:tc>
        <w:tc>
          <w:tcPr>
            <w:tcW w:w="1355" w:type="dxa"/>
            <w:noWrap/>
            <w:hideMark/>
          </w:tcPr>
          <w:p w14:paraId="01EA6F3B" w14:textId="77777777" w:rsidR="0043075A" w:rsidRPr="00C575D2" w:rsidRDefault="0043075A" w:rsidP="00CF48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575D2">
              <w:rPr>
                <w:rFonts w:ascii="Times New Roman" w:eastAsia="Times New Roman" w:hAnsi="Times New Roman" w:cs="Times New Roman"/>
                <w:color w:val="000000"/>
                <w:sz w:val="20"/>
                <w:szCs w:val="20"/>
                <w:lang w:eastAsia="fr-FR"/>
              </w:rPr>
              <w:t>-2.87E-11</w:t>
            </w:r>
          </w:p>
        </w:tc>
        <w:tc>
          <w:tcPr>
            <w:tcW w:w="1335" w:type="dxa"/>
            <w:noWrap/>
            <w:hideMark/>
          </w:tcPr>
          <w:p w14:paraId="19B9C915" w14:textId="77777777" w:rsidR="0043075A" w:rsidRPr="00C575D2" w:rsidRDefault="0043075A" w:rsidP="00CF48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575D2">
              <w:rPr>
                <w:rFonts w:ascii="Times New Roman" w:eastAsia="Times New Roman" w:hAnsi="Times New Roman" w:cs="Times New Roman"/>
                <w:color w:val="000000"/>
                <w:sz w:val="20"/>
                <w:szCs w:val="20"/>
                <w:lang w:eastAsia="fr-FR"/>
              </w:rPr>
              <w:t>2.50E-10</w:t>
            </w:r>
          </w:p>
        </w:tc>
        <w:tc>
          <w:tcPr>
            <w:tcW w:w="1959" w:type="dxa"/>
            <w:noWrap/>
            <w:hideMark/>
          </w:tcPr>
          <w:p w14:paraId="0763E946" w14:textId="77777777" w:rsidR="0043075A" w:rsidRPr="00C575D2" w:rsidRDefault="0043075A" w:rsidP="00CF48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575D2">
              <w:rPr>
                <w:rFonts w:ascii="Times New Roman" w:eastAsia="Times New Roman" w:hAnsi="Times New Roman" w:cs="Times New Roman"/>
                <w:color w:val="000000"/>
                <w:sz w:val="20"/>
                <w:szCs w:val="20"/>
                <w:lang w:eastAsia="fr-FR"/>
              </w:rPr>
              <w:t>-0.115</w:t>
            </w:r>
          </w:p>
        </w:tc>
        <w:tc>
          <w:tcPr>
            <w:tcW w:w="2311" w:type="dxa"/>
            <w:noWrap/>
            <w:hideMark/>
          </w:tcPr>
          <w:p w14:paraId="1EF8E737" w14:textId="77777777" w:rsidR="0043075A" w:rsidRPr="00C575D2" w:rsidRDefault="0043075A" w:rsidP="00CF48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575D2">
              <w:rPr>
                <w:rFonts w:ascii="Times New Roman" w:eastAsia="Times New Roman" w:hAnsi="Times New Roman" w:cs="Times New Roman"/>
                <w:color w:val="000000"/>
                <w:sz w:val="20"/>
                <w:szCs w:val="20"/>
                <w:lang w:eastAsia="fr-FR"/>
              </w:rPr>
              <w:t>0.909</w:t>
            </w:r>
          </w:p>
        </w:tc>
      </w:tr>
      <w:tr w:rsidR="00CF484B" w:rsidRPr="00C575D2" w14:paraId="0AF5920D" w14:textId="77777777" w:rsidTr="006B2FF8">
        <w:trPr>
          <w:trHeight w:val="277"/>
        </w:trPr>
        <w:tc>
          <w:tcPr>
            <w:cnfStyle w:val="001000000000" w:firstRow="0" w:lastRow="0" w:firstColumn="1" w:lastColumn="0" w:oddVBand="0" w:evenVBand="0" w:oddHBand="0" w:evenHBand="0" w:firstRowFirstColumn="0" w:firstRowLastColumn="0" w:lastRowFirstColumn="0" w:lastRowLastColumn="0"/>
            <w:tcW w:w="2350" w:type="dxa"/>
            <w:noWrap/>
            <w:hideMark/>
          </w:tcPr>
          <w:p w14:paraId="7EC254C5" w14:textId="77777777" w:rsidR="0043075A" w:rsidRPr="00C575D2" w:rsidRDefault="0043075A" w:rsidP="00CF484B">
            <w:pPr>
              <w:jc w:val="center"/>
              <w:rPr>
                <w:rFonts w:ascii="Times New Roman" w:eastAsia="Times New Roman" w:hAnsi="Times New Roman" w:cs="Times New Roman"/>
                <w:color w:val="000000"/>
                <w:sz w:val="20"/>
                <w:szCs w:val="20"/>
                <w:lang w:eastAsia="fr-FR"/>
              </w:rPr>
            </w:pPr>
            <w:r w:rsidRPr="00C575D2">
              <w:rPr>
                <w:rFonts w:ascii="Times New Roman" w:eastAsia="Times New Roman" w:hAnsi="Times New Roman" w:cs="Times New Roman"/>
                <w:color w:val="000000"/>
                <w:sz w:val="20"/>
                <w:szCs w:val="20"/>
                <w:lang w:eastAsia="fr-FR"/>
              </w:rPr>
              <w:t>Offre</w:t>
            </w:r>
            <w:r w:rsidR="00CF484B" w:rsidRPr="00C575D2">
              <w:rPr>
                <w:rFonts w:ascii="Times New Roman" w:eastAsia="Times New Roman" w:hAnsi="Times New Roman" w:cs="Times New Roman"/>
                <w:color w:val="000000"/>
                <w:sz w:val="20"/>
                <w:szCs w:val="20"/>
                <w:lang w:eastAsia="fr-FR"/>
              </w:rPr>
              <w:t xml:space="preserve"> </w:t>
            </w:r>
            <w:r w:rsidRPr="00C575D2">
              <w:rPr>
                <w:rFonts w:ascii="Times New Roman" w:eastAsia="Times New Roman" w:hAnsi="Times New Roman" w:cs="Times New Roman"/>
                <w:color w:val="000000"/>
                <w:sz w:val="20"/>
                <w:szCs w:val="20"/>
                <w:lang w:eastAsia="fr-FR"/>
              </w:rPr>
              <w:t>Commerciale</w:t>
            </w:r>
            <w:r w:rsidR="00CF484B" w:rsidRPr="00C575D2">
              <w:rPr>
                <w:rFonts w:ascii="Times New Roman" w:eastAsia="Times New Roman" w:hAnsi="Times New Roman" w:cs="Times New Roman"/>
                <w:color w:val="000000"/>
                <w:sz w:val="20"/>
                <w:szCs w:val="20"/>
                <w:lang w:eastAsia="fr-FR"/>
              </w:rPr>
              <w:t xml:space="preserve"> </w:t>
            </w:r>
            <w:r w:rsidRPr="00C575D2">
              <w:rPr>
                <w:rFonts w:ascii="Times New Roman" w:eastAsia="Times New Roman" w:hAnsi="Times New Roman" w:cs="Times New Roman"/>
                <w:color w:val="000000"/>
                <w:sz w:val="20"/>
                <w:szCs w:val="20"/>
                <w:lang w:eastAsia="fr-FR"/>
              </w:rPr>
              <w:t>(-4)</w:t>
            </w:r>
          </w:p>
        </w:tc>
        <w:tc>
          <w:tcPr>
            <w:tcW w:w="1355" w:type="dxa"/>
            <w:noWrap/>
            <w:hideMark/>
          </w:tcPr>
          <w:p w14:paraId="003B07FA" w14:textId="77777777" w:rsidR="0043075A" w:rsidRPr="00C575D2" w:rsidRDefault="0043075A" w:rsidP="00CF48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575D2">
              <w:rPr>
                <w:rFonts w:ascii="Times New Roman" w:eastAsia="Times New Roman" w:hAnsi="Times New Roman" w:cs="Times New Roman"/>
                <w:color w:val="000000"/>
                <w:sz w:val="20"/>
                <w:szCs w:val="20"/>
                <w:lang w:eastAsia="fr-FR"/>
              </w:rPr>
              <w:t>4.14E-11</w:t>
            </w:r>
          </w:p>
        </w:tc>
        <w:tc>
          <w:tcPr>
            <w:tcW w:w="1335" w:type="dxa"/>
            <w:noWrap/>
            <w:hideMark/>
          </w:tcPr>
          <w:p w14:paraId="73AD9F6A" w14:textId="77777777" w:rsidR="0043075A" w:rsidRPr="00C575D2" w:rsidRDefault="0043075A" w:rsidP="00CF48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575D2">
              <w:rPr>
                <w:rFonts w:ascii="Times New Roman" w:eastAsia="Times New Roman" w:hAnsi="Times New Roman" w:cs="Times New Roman"/>
                <w:color w:val="000000"/>
                <w:sz w:val="20"/>
                <w:szCs w:val="20"/>
                <w:lang w:eastAsia="fr-FR"/>
              </w:rPr>
              <w:t>1.28E-10</w:t>
            </w:r>
          </w:p>
        </w:tc>
        <w:tc>
          <w:tcPr>
            <w:tcW w:w="1959" w:type="dxa"/>
            <w:noWrap/>
            <w:hideMark/>
          </w:tcPr>
          <w:p w14:paraId="66C99C0B" w14:textId="77777777" w:rsidR="0043075A" w:rsidRPr="00C575D2" w:rsidRDefault="0043075A" w:rsidP="00CF48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575D2">
              <w:rPr>
                <w:rFonts w:ascii="Times New Roman" w:eastAsia="Times New Roman" w:hAnsi="Times New Roman" w:cs="Times New Roman"/>
                <w:color w:val="000000"/>
                <w:sz w:val="20"/>
                <w:szCs w:val="20"/>
                <w:lang w:eastAsia="fr-FR"/>
              </w:rPr>
              <w:t>0.325</w:t>
            </w:r>
          </w:p>
        </w:tc>
        <w:tc>
          <w:tcPr>
            <w:tcW w:w="2311" w:type="dxa"/>
            <w:noWrap/>
            <w:hideMark/>
          </w:tcPr>
          <w:p w14:paraId="5F7447DB" w14:textId="77777777" w:rsidR="0043075A" w:rsidRPr="00C575D2" w:rsidRDefault="0043075A" w:rsidP="00CF48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575D2">
              <w:rPr>
                <w:rFonts w:ascii="Times New Roman" w:eastAsia="Times New Roman" w:hAnsi="Times New Roman" w:cs="Times New Roman"/>
                <w:color w:val="000000"/>
                <w:sz w:val="20"/>
                <w:szCs w:val="20"/>
                <w:lang w:eastAsia="fr-FR"/>
              </w:rPr>
              <w:t>0.745</w:t>
            </w:r>
          </w:p>
        </w:tc>
      </w:tr>
      <w:tr w:rsidR="00CF484B" w:rsidRPr="00C575D2" w14:paraId="502EBB09" w14:textId="77777777" w:rsidTr="006B2FF8">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350" w:type="dxa"/>
            <w:noWrap/>
            <w:hideMark/>
          </w:tcPr>
          <w:p w14:paraId="09F0A902" w14:textId="77777777" w:rsidR="0043075A" w:rsidRPr="00C575D2" w:rsidRDefault="00CF484B" w:rsidP="00CF484B">
            <w:pPr>
              <w:jc w:val="center"/>
              <w:rPr>
                <w:rFonts w:ascii="Times New Roman" w:eastAsia="Times New Roman" w:hAnsi="Times New Roman" w:cs="Times New Roman"/>
                <w:color w:val="000000"/>
                <w:sz w:val="20"/>
                <w:szCs w:val="20"/>
                <w:lang w:eastAsia="fr-FR"/>
              </w:rPr>
            </w:pPr>
            <w:r w:rsidRPr="00C575D2">
              <w:rPr>
                <w:rFonts w:ascii="Times New Roman" w:eastAsia="Times New Roman" w:hAnsi="Times New Roman" w:cs="Times New Roman"/>
                <w:color w:val="000000"/>
                <w:sz w:val="20"/>
                <w:szCs w:val="20"/>
                <w:lang w:eastAsia="fr-FR"/>
              </w:rPr>
              <w:t xml:space="preserve">Rentabilité </w:t>
            </w:r>
            <w:r w:rsidR="0043075A" w:rsidRPr="00C575D2">
              <w:rPr>
                <w:rFonts w:ascii="Times New Roman" w:eastAsia="Times New Roman" w:hAnsi="Times New Roman" w:cs="Times New Roman"/>
                <w:color w:val="000000"/>
                <w:sz w:val="20"/>
                <w:szCs w:val="20"/>
                <w:lang w:eastAsia="fr-FR"/>
              </w:rPr>
              <w:t>(-1)</w:t>
            </w:r>
          </w:p>
        </w:tc>
        <w:tc>
          <w:tcPr>
            <w:tcW w:w="1355" w:type="dxa"/>
            <w:noWrap/>
            <w:hideMark/>
          </w:tcPr>
          <w:p w14:paraId="7090729D" w14:textId="77777777" w:rsidR="0043075A" w:rsidRPr="00C575D2" w:rsidRDefault="0043075A" w:rsidP="00CF48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575D2">
              <w:rPr>
                <w:rFonts w:ascii="Times New Roman" w:eastAsia="Times New Roman" w:hAnsi="Times New Roman" w:cs="Times New Roman"/>
                <w:color w:val="000000"/>
                <w:sz w:val="20"/>
                <w:szCs w:val="20"/>
                <w:lang w:eastAsia="fr-FR"/>
              </w:rPr>
              <w:t>2.86E+00</w:t>
            </w:r>
          </w:p>
        </w:tc>
        <w:tc>
          <w:tcPr>
            <w:tcW w:w="1335" w:type="dxa"/>
            <w:noWrap/>
            <w:hideMark/>
          </w:tcPr>
          <w:p w14:paraId="7089D669" w14:textId="77777777" w:rsidR="0043075A" w:rsidRPr="00C575D2" w:rsidRDefault="0043075A" w:rsidP="00CF48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575D2">
              <w:rPr>
                <w:rFonts w:ascii="Times New Roman" w:eastAsia="Times New Roman" w:hAnsi="Times New Roman" w:cs="Times New Roman"/>
                <w:color w:val="000000"/>
                <w:sz w:val="20"/>
                <w:szCs w:val="20"/>
                <w:lang w:eastAsia="fr-FR"/>
              </w:rPr>
              <w:t>3.23E-02</w:t>
            </w:r>
          </w:p>
        </w:tc>
        <w:tc>
          <w:tcPr>
            <w:tcW w:w="1959" w:type="dxa"/>
            <w:noWrap/>
            <w:hideMark/>
          </w:tcPr>
          <w:p w14:paraId="72F37134" w14:textId="77777777" w:rsidR="0043075A" w:rsidRPr="00C575D2" w:rsidRDefault="0043075A" w:rsidP="00CF48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575D2">
              <w:rPr>
                <w:rFonts w:ascii="Times New Roman" w:eastAsia="Times New Roman" w:hAnsi="Times New Roman" w:cs="Times New Roman"/>
                <w:color w:val="000000"/>
                <w:sz w:val="20"/>
                <w:szCs w:val="20"/>
                <w:lang w:eastAsia="fr-FR"/>
              </w:rPr>
              <w:t>88.418</w:t>
            </w:r>
          </w:p>
        </w:tc>
        <w:tc>
          <w:tcPr>
            <w:tcW w:w="2311" w:type="dxa"/>
            <w:noWrap/>
            <w:hideMark/>
          </w:tcPr>
          <w:p w14:paraId="004AC9DC" w14:textId="77777777" w:rsidR="0043075A" w:rsidRPr="00C575D2" w:rsidRDefault="0043075A" w:rsidP="00CF48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575D2">
              <w:rPr>
                <w:rFonts w:ascii="Times New Roman" w:eastAsia="Times New Roman" w:hAnsi="Times New Roman" w:cs="Times New Roman"/>
                <w:color w:val="000000"/>
                <w:sz w:val="20"/>
                <w:szCs w:val="20"/>
                <w:lang w:eastAsia="fr-FR"/>
              </w:rPr>
              <w:t>&lt; 2e-16***</w:t>
            </w:r>
          </w:p>
        </w:tc>
      </w:tr>
      <w:tr w:rsidR="00CF484B" w:rsidRPr="00C575D2" w14:paraId="1AD73EFD" w14:textId="77777777" w:rsidTr="006B2FF8">
        <w:trPr>
          <w:trHeight w:val="277"/>
        </w:trPr>
        <w:tc>
          <w:tcPr>
            <w:cnfStyle w:val="001000000000" w:firstRow="0" w:lastRow="0" w:firstColumn="1" w:lastColumn="0" w:oddVBand="0" w:evenVBand="0" w:oddHBand="0" w:evenHBand="0" w:firstRowFirstColumn="0" w:firstRowLastColumn="0" w:lastRowFirstColumn="0" w:lastRowLastColumn="0"/>
            <w:tcW w:w="2350" w:type="dxa"/>
            <w:noWrap/>
            <w:hideMark/>
          </w:tcPr>
          <w:p w14:paraId="2BCA385E" w14:textId="77777777" w:rsidR="0043075A" w:rsidRPr="00C575D2" w:rsidRDefault="00CF484B" w:rsidP="00CF484B">
            <w:pPr>
              <w:jc w:val="center"/>
              <w:rPr>
                <w:rFonts w:ascii="Times New Roman" w:eastAsia="Times New Roman" w:hAnsi="Times New Roman" w:cs="Times New Roman"/>
                <w:color w:val="000000"/>
                <w:sz w:val="20"/>
                <w:szCs w:val="20"/>
                <w:lang w:eastAsia="fr-FR"/>
              </w:rPr>
            </w:pPr>
            <w:r w:rsidRPr="00C575D2">
              <w:rPr>
                <w:rFonts w:ascii="Times New Roman" w:eastAsia="Times New Roman" w:hAnsi="Times New Roman" w:cs="Times New Roman"/>
                <w:color w:val="000000"/>
                <w:sz w:val="20"/>
                <w:szCs w:val="20"/>
                <w:lang w:eastAsia="fr-FR"/>
              </w:rPr>
              <w:t xml:space="preserve">Rentabilité </w:t>
            </w:r>
            <w:r w:rsidR="0043075A" w:rsidRPr="00C575D2">
              <w:rPr>
                <w:rFonts w:ascii="Times New Roman" w:eastAsia="Times New Roman" w:hAnsi="Times New Roman" w:cs="Times New Roman"/>
                <w:color w:val="000000"/>
                <w:sz w:val="20"/>
                <w:szCs w:val="20"/>
                <w:lang w:eastAsia="fr-FR"/>
              </w:rPr>
              <w:t>(-2)</w:t>
            </w:r>
          </w:p>
        </w:tc>
        <w:tc>
          <w:tcPr>
            <w:tcW w:w="1355" w:type="dxa"/>
            <w:noWrap/>
            <w:hideMark/>
          </w:tcPr>
          <w:p w14:paraId="07E125D3" w14:textId="77777777" w:rsidR="0043075A" w:rsidRPr="00C575D2" w:rsidRDefault="0043075A" w:rsidP="00CF48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575D2">
              <w:rPr>
                <w:rFonts w:ascii="Times New Roman" w:eastAsia="Times New Roman" w:hAnsi="Times New Roman" w:cs="Times New Roman"/>
                <w:color w:val="000000"/>
                <w:sz w:val="20"/>
                <w:szCs w:val="20"/>
                <w:lang w:eastAsia="fr-FR"/>
              </w:rPr>
              <w:t>-2.74E+00</w:t>
            </w:r>
          </w:p>
        </w:tc>
        <w:tc>
          <w:tcPr>
            <w:tcW w:w="1335" w:type="dxa"/>
            <w:noWrap/>
            <w:hideMark/>
          </w:tcPr>
          <w:p w14:paraId="6374C18E" w14:textId="77777777" w:rsidR="0043075A" w:rsidRPr="00C575D2" w:rsidRDefault="0043075A" w:rsidP="00CF48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575D2">
              <w:rPr>
                <w:rFonts w:ascii="Times New Roman" w:eastAsia="Times New Roman" w:hAnsi="Times New Roman" w:cs="Times New Roman"/>
                <w:color w:val="000000"/>
                <w:sz w:val="20"/>
                <w:szCs w:val="20"/>
                <w:lang w:eastAsia="fr-FR"/>
              </w:rPr>
              <w:t>6.46E-02</w:t>
            </w:r>
          </w:p>
        </w:tc>
        <w:tc>
          <w:tcPr>
            <w:tcW w:w="1959" w:type="dxa"/>
            <w:noWrap/>
            <w:hideMark/>
          </w:tcPr>
          <w:p w14:paraId="11323D61" w14:textId="77777777" w:rsidR="0043075A" w:rsidRPr="00C575D2" w:rsidRDefault="0043075A" w:rsidP="00CF48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575D2">
              <w:rPr>
                <w:rFonts w:ascii="Times New Roman" w:eastAsia="Times New Roman" w:hAnsi="Times New Roman" w:cs="Times New Roman"/>
                <w:color w:val="000000"/>
                <w:sz w:val="20"/>
                <w:szCs w:val="20"/>
                <w:lang w:eastAsia="fr-FR"/>
              </w:rPr>
              <w:t>-42.348</w:t>
            </w:r>
          </w:p>
        </w:tc>
        <w:tc>
          <w:tcPr>
            <w:tcW w:w="2311" w:type="dxa"/>
            <w:noWrap/>
            <w:hideMark/>
          </w:tcPr>
          <w:p w14:paraId="4F696F14" w14:textId="77777777" w:rsidR="0043075A" w:rsidRPr="00C575D2" w:rsidRDefault="0043075A" w:rsidP="00CF48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575D2">
              <w:rPr>
                <w:rFonts w:ascii="Times New Roman" w:eastAsia="Times New Roman" w:hAnsi="Times New Roman" w:cs="Times New Roman"/>
                <w:color w:val="000000"/>
                <w:sz w:val="20"/>
                <w:szCs w:val="20"/>
                <w:lang w:eastAsia="fr-FR"/>
              </w:rPr>
              <w:t>&lt; 2e-16***</w:t>
            </w:r>
          </w:p>
        </w:tc>
      </w:tr>
      <w:tr w:rsidR="00CF484B" w:rsidRPr="00C575D2" w14:paraId="35206DCE" w14:textId="77777777" w:rsidTr="006B2FF8">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350" w:type="dxa"/>
            <w:noWrap/>
            <w:hideMark/>
          </w:tcPr>
          <w:p w14:paraId="4E9838E4" w14:textId="77777777" w:rsidR="0043075A" w:rsidRPr="00C575D2" w:rsidRDefault="00CF484B" w:rsidP="00CF484B">
            <w:pPr>
              <w:jc w:val="center"/>
              <w:rPr>
                <w:rFonts w:ascii="Times New Roman" w:eastAsia="Times New Roman" w:hAnsi="Times New Roman" w:cs="Times New Roman"/>
                <w:color w:val="000000"/>
                <w:sz w:val="20"/>
                <w:szCs w:val="20"/>
                <w:lang w:eastAsia="fr-FR"/>
              </w:rPr>
            </w:pPr>
            <w:r w:rsidRPr="00C575D2">
              <w:rPr>
                <w:rFonts w:ascii="Times New Roman" w:eastAsia="Times New Roman" w:hAnsi="Times New Roman" w:cs="Times New Roman"/>
                <w:color w:val="000000"/>
                <w:sz w:val="20"/>
                <w:szCs w:val="20"/>
                <w:lang w:eastAsia="fr-FR"/>
              </w:rPr>
              <w:t xml:space="preserve">Rentabilité </w:t>
            </w:r>
            <w:r w:rsidR="0043075A" w:rsidRPr="00C575D2">
              <w:rPr>
                <w:rFonts w:ascii="Times New Roman" w:eastAsia="Times New Roman" w:hAnsi="Times New Roman" w:cs="Times New Roman"/>
                <w:color w:val="000000"/>
                <w:sz w:val="20"/>
                <w:szCs w:val="20"/>
                <w:lang w:eastAsia="fr-FR"/>
              </w:rPr>
              <w:t>(-3)</w:t>
            </w:r>
          </w:p>
        </w:tc>
        <w:tc>
          <w:tcPr>
            <w:tcW w:w="1355" w:type="dxa"/>
            <w:noWrap/>
            <w:hideMark/>
          </w:tcPr>
          <w:p w14:paraId="40CB5985" w14:textId="77777777" w:rsidR="0043075A" w:rsidRPr="00C575D2" w:rsidRDefault="0043075A" w:rsidP="00CF48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575D2">
              <w:rPr>
                <w:rFonts w:ascii="Times New Roman" w:eastAsia="Times New Roman" w:hAnsi="Times New Roman" w:cs="Times New Roman"/>
                <w:color w:val="000000"/>
                <w:sz w:val="20"/>
                <w:szCs w:val="20"/>
                <w:lang w:eastAsia="fr-FR"/>
              </w:rPr>
              <w:t>8.80E-01</w:t>
            </w:r>
          </w:p>
        </w:tc>
        <w:tc>
          <w:tcPr>
            <w:tcW w:w="1335" w:type="dxa"/>
            <w:noWrap/>
            <w:hideMark/>
          </w:tcPr>
          <w:p w14:paraId="54362339" w14:textId="77777777" w:rsidR="0043075A" w:rsidRPr="00C575D2" w:rsidRDefault="0043075A" w:rsidP="00CF48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575D2">
              <w:rPr>
                <w:rFonts w:ascii="Times New Roman" w:eastAsia="Times New Roman" w:hAnsi="Times New Roman" w:cs="Times New Roman"/>
                <w:color w:val="000000"/>
                <w:sz w:val="20"/>
                <w:szCs w:val="20"/>
                <w:lang w:eastAsia="fr-FR"/>
              </w:rPr>
              <w:t>3.25E-02</w:t>
            </w:r>
          </w:p>
        </w:tc>
        <w:tc>
          <w:tcPr>
            <w:tcW w:w="1959" w:type="dxa"/>
            <w:noWrap/>
            <w:hideMark/>
          </w:tcPr>
          <w:p w14:paraId="3BF22EBA" w14:textId="77777777" w:rsidR="0043075A" w:rsidRPr="00C575D2" w:rsidRDefault="0043075A" w:rsidP="00CF48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575D2">
              <w:rPr>
                <w:rFonts w:ascii="Times New Roman" w:eastAsia="Times New Roman" w:hAnsi="Times New Roman" w:cs="Times New Roman"/>
                <w:color w:val="000000"/>
                <w:sz w:val="20"/>
                <w:szCs w:val="20"/>
                <w:lang w:eastAsia="fr-FR"/>
              </w:rPr>
              <w:t>27.056</w:t>
            </w:r>
          </w:p>
        </w:tc>
        <w:tc>
          <w:tcPr>
            <w:tcW w:w="2311" w:type="dxa"/>
            <w:noWrap/>
            <w:hideMark/>
          </w:tcPr>
          <w:p w14:paraId="54F77A6C" w14:textId="77777777" w:rsidR="0043075A" w:rsidRPr="00C575D2" w:rsidRDefault="0043075A" w:rsidP="00CF48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575D2">
              <w:rPr>
                <w:rFonts w:ascii="Times New Roman" w:eastAsia="Times New Roman" w:hAnsi="Times New Roman" w:cs="Times New Roman"/>
                <w:color w:val="000000"/>
                <w:sz w:val="20"/>
                <w:szCs w:val="20"/>
                <w:lang w:eastAsia="fr-FR"/>
              </w:rPr>
              <w:t>&lt; 2e-16***</w:t>
            </w:r>
          </w:p>
        </w:tc>
      </w:tr>
      <w:tr w:rsidR="00CF484B" w:rsidRPr="00C575D2" w14:paraId="29AAD780" w14:textId="77777777" w:rsidTr="006B2FF8">
        <w:trPr>
          <w:trHeight w:val="277"/>
        </w:trPr>
        <w:tc>
          <w:tcPr>
            <w:cnfStyle w:val="001000000000" w:firstRow="0" w:lastRow="0" w:firstColumn="1" w:lastColumn="0" w:oddVBand="0" w:evenVBand="0" w:oddHBand="0" w:evenHBand="0" w:firstRowFirstColumn="0" w:firstRowLastColumn="0" w:lastRowFirstColumn="0" w:lastRowLastColumn="0"/>
            <w:tcW w:w="2350" w:type="dxa"/>
            <w:noWrap/>
          </w:tcPr>
          <w:p w14:paraId="3821593E" w14:textId="77777777" w:rsidR="00CF484B" w:rsidRPr="00C575D2" w:rsidRDefault="00CF484B" w:rsidP="00CF484B">
            <w:pPr>
              <w:jc w:val="center"/>
              <w:rPr>
                <w:rFonts w:ascii="Times New Roman" w:eastAsia="Times New Roman" w:hAnsi="Times New Roman" w:cs="Times New Roman"/>
                <w:color w:val="000000"/>
                <w:sz w:val="20"/>
                <w:szCs w:val="20"/>
                <w:lang w:eastAsia="fr-FR"/>
              </w:rPr>
            </w:pPr>
          </w:p>
        </w:tc>
        <w:tc>
          <w:tcPr>
            <w:tcW w:w="1355" w:type="dxa"/>
            <w:noWrap/>
          </w:tcPr>
          <w:p w14:paraId="72697E74" w14:textId="77777777" w:rsidR="00CF484B" w:rsidRPr="00C575D2" w:rsidRDefault="00CF484B" w:rsidP="00CF48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p>
        </w:tc>
        <w:tc>
          <w:tcPr>
            <w:tcW w:w="1335" w:type="dxa"/>
            <w:noWrap/>
          </w:tcPr>
          <w:p w14:paraId="54252DA9" w14:textId="77777777" w:rsidR="00CF484B" w:rsidRPr="00C575D2" w:rsidRDefault="00CF484B" w:rsidP="00CF48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p>
        </w:tc>
        <w:tc>
          <w:tcPr>
            <w:tcW w:w="1959" w:type="dxa"/>
            <w:noWrap/>
          </w:tcPr>
          <w:p w14:paraId="3155A09C" w14:textId="77777777" w:rsidR="00CF484B" w:rsidRPr="00C575D2" w:rsidRDefault="00CF484B" w:rsidP="00CF48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p>
        </w:tc>
        <w:tc>
          <w:tcPr>
            <w:tcW w:w="2311" w:type="dxa"/>
            <w:noWrap/>
          </w:tcPr>
          <w:p w14:paraId="3CFF4FF2" w14:textId="77777777" w:rsidR="00CF484B" w:rsidRPr="00C575D2" w:rsidRDefault="00CF484B" w:rsidP="00CF48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p>
        </w:tc>
      </w:tr>
      <w:tr w:rsidR="00CF484B" w:rsidRPr="00C575D2" w14:paraId="693B9CC6" w14:textId="77777777" w:rsidTr="006B2FF8">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350" w:type="dxa"/>
            <w:noWrap/>
          </w:tcPr>
          <w:p w14:paraId="1A1A0226" w14:textId="465E5408" w:rsidR="00CF484B" w:rsidRPr="00C575D2" w:rsidRDefault="006B2FF8" w:rsidP="00CF484B">
            <w:pPr>
              <w:jc w:val="center"/>
              <w:rPr>
                <w:rFonts w:ascii="Times New Roman" w:eastAsia="Times New Roman" w:hAnsi="Times New Roman" w:cs="Times New Roman"/>
                <w:color w:val="000000"/>
                <w:sz w:val="20"/>
                <w:szCs w:val="20"/>
                <w:lang w:eastAsia="fr-FR"/>
              </w:rPr>
            </w:pPr>
            <w:r w:rsidRPr="00D77DF1">
              <w:rPr>
                <w:rFonts w:ascii="Times New Roman" w:eastAsia="Times New Roman" w:hAnsi="Times New Roman" w:cs="Times New Roman"/>
                <w:color w:val="000000"/>
                <w:sz w:val="20"/>
                <w:szCs w:val="20"/>
                <w:lang w:eastAsia="fr-FR"/>
              </w:rPr>
              <w:t>Multiple R-</w:t>
            </w:r>
            <w:r>
              <w:rPr>
                <w:rFonts w:ascii="Times New Roman" w:eastAsia="Times New Roman" w:hAnsi="Times New Roman" w:cs="Times New Roman"/>
                <w:color w:val="000000"/>
                <w:sz w:val="20"/>
                <w:szCs w:val="20"/>
                <w:lang w:eastAsia="fr-FR"/>
              </w:rPr>
              <w:t>carré</w:t>
            </w:r>
          </w:p>
        </w:tc>
        <w:tc>
          <w:tcPr>
            <w:tcW w:w="1355" w:type="dxa"/>
            <w:noWrap/>
          </w:tcPr>
          <w:p w14:paraId="72D12B91" w14:textId="77777777" w:rsidR="00CF484B" w:rsidRPr="00C575D2" w:rsidRDefault="00CF484B" w:rsidP="00CF48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575D2">
              <w:rPr>
                <w:rFonts w:ascii="Times New Roman" w:eastAsia="Times New Roman" w:hAnsi="Times New Roman" w:cs="Times New Roman"/>
                <w:color w:val="000000"/>
                <w:sz w:val="20"/>
                <w:szCs w:val="20"/>
                <w:lang w:eastAsia="fr-FR"/>
              </w:rPr>
              <w:t>0.99</w:t>
            </w:r>
          </w:p>
        </w:tc>
        <w:tc>
          <w:tcPr>
            <w:tcW w:w="1335" w:type="dxa"/>
            <w:noWrap/>
          </w:tcPr>
          <w:p w14:paraId="5D81499E" w14:textId="77777777" w:rsidR="00CF484B" w:rsidRPr="00C575D2" w:rsidRDefault="00CF484B" w:rsidP="00CF48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p>
        </w:tc>
        <w:tc>
          <w:tcPr>
            <w:tcW w:w="1959" w:type="dxa"/>
            <w:noWrap/>
          </w:tcPr>
          <w:p w14:paraId="43F21AA0" w14:textId="77777777" w:rsidR="00CF484B" w:rsidRPr="00C575D2" w:rsidRDefault="00CF484B" w:rsidP="00CF48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p>
        </w:tc>
        <w:tc>
          <w:tcPr>
            <w:tcW w:w="2311" w:type="dxa"/>
            <w:noWrap/>
          </w:tcPr>
          <w:p w14:paraId="39F43901" w14:textId="77777777" w:rsidR="00CF484B" w:rsidRPr="00C575D2" w:rsidRDefault="00CF484B" w:rsidP="00CF48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p>
        </w:tc>
      </w:tr>
      <w:tr w:rsidR="00CF484B" w:rsidRPr="00C575D2" w14:paraId="4D7947F8" w14:textId="77777777" w:rsidTr="006B2FF8">
        <w:trPr>
          <w:trHeight w:val="277"/>
        </w:trPr>
        <w:tc>
          <w:tcPr>
            <w:cnfStyle w:val="001000000000" w:firstRow="0" w:lastRow="0" w:firstColumn="1" w:lastColumn="0" w:oddVBand="0" w:evenVBand="0" w:oddHBand="0" w:evenHBand="0" w:firstRowFirstColumn="0" w:firstRowLastColumn="0" w:lastRowFirstColumn="0" w:lastRowLastColumn="0"/>
            <w:tcW w:w="2350" w:type="dxa"/>
            <w:noWrap/>
          </w:tcPr>
          <w:p w14:paraId="2EFA47B9" w14:textId="7FF47B3C" w:rsidR="00CF484B" w:rsidRPr="00C575D2" w:rsidRDefault="006B2FF8" w:rsidP="00CF484B">
            <w:pPr>
              <w:jc w:val="center"/>
              <w:rPr>
                <w:rFonts w:ascii="Times New Roman" w:eastAsia="Times New Roman" w:hAnsi="Times New Roman" w:cs="Times New Roman"/>
                <w:color w:val="000000"/>
                <w:sz w:val="20"/>
                <w:szCs w:val="20"/>
                <w:lang w:eastAsia="fr-FR"/>
              </w:rPr>
            </w:pPr>
            <w:r>
              <w:rPr>
                <w:rFonts w:ascii="Times New Roman" w:eastAsia="Times New Roman" w:hAnsi="Times New Roman" w:cs="Times New Roman"/>
                <w:color w:val="000000"/>
                <w:sz w:val="20"/>
                <w:szCs w:val="20"/>
                <w:lang w:eastAsia="fr-FR"/>
              </w:rPr>
              <w:t>R-carré ajusté</w:t>
            </w:r>
          </w:p>
        </w:tc>
        <w:tc>
          <w:tcPr>
            <w:tcW w:w="1355" w:type="dxa"/>
            <w:noWrap/>
          </w:tcPr>
          <w:p w14:paraId="529E5E58" w14:textId="77777777" w:rsidR="00CF484B" w:rsidRPr="00C575D2" w:rsidRDefault="00CF484B" w:rsidP="00CF48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575D2">
              <w:rPr>
                <w:rFonts w:ascii="Times New Roman" w:eastAsia="Times New Roman" w:hAnsi="Times New Roman" w:cs="Times New Roman"/>
                <w:color w:val="000000"/>
                <w:sz w:val="20"/>
                <w:szCs w:val="20"/>
                <w:lang w:eastAsia="fr-FR"/>
              </w:rPr>
              <w:t>0.99</w:t>
            </w:r>
          </w:p>
        </w:tc>
        <w:tc>
          <w:tcPr>
            <w:tcW w:w="1335" w:type="dxa"/>
            <w:noWrap/>
          </w:tcPr>
          <w:p w14:paraId="20964384" w14:textId="77777777" w:rsidR="00CF484B" w:rsidRPr="00C575D2" w:rsidRDefault="00CF484B" w:rsidP="00CF48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p>
        </w:tc>
        <w:tc>
          <w:tcPr>
            <w:tcW w:w="1959" w:type="dxa"/>
            <w:noWrap/>
          </w:tcPr>
          <w:p w14:paraId="3FA8E7DC" w14:textId="77777777" w:rsidR="00CF484B" w:rsidRPr="00C575D2" w:rsidRDefault="00CF484B" w:rsidP="00CF48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p>
        </w:tc>
        <w:tc>
          <w:tcPr>
            <w:tcW w:w="2311" w:type="dxa"/>
            <w:noWrap/>
          </w:tcPr>
          <w:p w14:paraId="4DD3B2A5" w14:textId="77777777" w:rsidR="00CF484B" w:rsidRPr="00C575D2" w:rsidRDefault="00CF484B" w:rsidP="00CF48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p>
        </w:tc>
      </w:tr>
      <w:tr w:rsidR="00CF484B" w:rsidRPr="00C575D2" w14:paraId="1ACAA5C9" w14:textId="77777777" w:rsidTr="006B2FF8">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350" w:type="dxa"/>
            <w:noWrap/>
          </w:tcPr>
          <w:p w14:paraId="40CAE1BD" w14:textId="714521F3" w:rsidR="00CF484B" w:rsidRPr="00C575D2" w:rsidRDefault="006B2FF8" w:rsidP="00CF484B">
            <w:pPr>
              <w:jc w:val="center"/>
              <w:rPr>
                <w:rFonts w:ascii="Times New Roman" w:eastAsia="Times New Roman" w:hAnsi="Times New Roman" w:cs="Times New Roman"/>
                <w:color w:val="000000"/>
                <w:sz w:val="20"/>
                <w:szCs w:val="20"/>
                <w:lang w:eastAsia="fr-FR"/>
              </w:rPr>
            </w:pPr>
            <w:r>
              <w:rPr>
                <w:rFonts w:ascii="Times New Roman" w:eastAsia="Times New Roman" w:hAnsi="Times New Roman" w:cs="Times New Roman"/>
                <w:color w:val="000000"/>
                <w:sz w:val="20"/>
                <w:szCs w:val="20"/>
                <w:lang w:eastAsia="fr-FR"/>
              </w:rPr>
              <w:t>Fisher (F)</w:t>
            </w:r>
          </w:p>
        </w:tc>
        <w:tc>
          <w:tcPr>
            <w:tcW w:w="1355" w:type="dxa"/>
            <w:noWrap/>
          </w:tcPr>
          <w:p w14:paraId="4242F809" w14:textId="77777777" w:rsidR="00CF484B" w:rsidRPr="00C575D2" w:rsidRDefault="00CF484B" w:rsidP="00CF48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575D2">
              <w:rPr>
                <w:rFonts w:ascii="Times New Roman" w:eastAsia="Times New Roman" w:hAnsi="Times New Roman" w:cs="Times New Roman"/>
                <w:color w:val="000000"/>
                <w:sz w:val="20"/>
                <w:szCs w:val="20"/>
                <w:lang w:eastAsia="fr-FR"/>
              </w:rPr>
              <w:t>1.193e+07</w:t>
            </w:r>
          </w:p>
        </w:tc>
        <w:tc>
          <w:tcPr>
            <w:tcW w:w="1335" w:type="dxa"/>
            <w:noWrap/>
          </w:tcPr>
          <w:p w14:paraId="1E324C16" w14:textId="77777777" w:rsidR="00CF484B" w:rsidRPr="00C575D2" w:rsidRDefault="00CF484B" w:rsidP="00CF48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p>
        </w:tc>
        <w:tc>
          <w:tcPr>
            <w:tcW w:w="1959" w:type="dxa"/>
            <w:noWrap/>
          </w:tcPr>
          <w:p w14:paraId="0A9DA12B" w14:textId="77777777" w:rsidR="00CF484B" w:rsidRPr="00C575D2" w:rsidRDefault="00CF484B" w:rsidP="00CF48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p>
        </w:tc>
        <w:tc>
          <w:tcPr>
            <w:tcW w:w="2311" w:type="dxa"/>
            <w:noWrap/>
          </w:tcPr>
          <w:p w14:paraId="5C3C926F" w14:textId="77777777" w:rsidR="00CF484B" w:rsidRPr="00C575D2" w:rsidRDefault="00CF484B" w:rsidP="00CF484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p>
        </w:tc>
      </w:tr>
      <w:tr w:rsidR="00CF484B" w:rsidRPr="00C575D2" w14:paraId="69EF53BB" w14:textId="77777777" w:rsidTr="006B2FF8">
        <w:trPr>
          <w:trHeight w:val="277"/>
        </w:trPr>
        <w:tc>
          <w:tcPr>
            <w:cnfStyle w:val="001000000000" w:firstRow="0" w:lastRow="0" w:firstColumn="1" w:lastColumn="0" w:oddVBand="0" w:evenVBand="0" w:oddHBand="0" w:evenHBand="0" w:firstRowFirstColumn="0" w:firstRowLastColumn="0" w:lastRowFirstColumn="0" w:lastRowLastColumn="0"/>
            <w:tcW w:w="2350" w:type="dxa"/>
            <w:noWrap/>
          </w:tcPr>
          <w:p w14:paraId="6B46D45A" w14:textId="77777777" w:rsidR="00CF484B" w:rsidRPr="00C575D2" w:rsidRDefault="00CF484B" w:rsidP="00CF484B">
            <w:pPr>
              <w:jc w:val="center"/>
              <w:rPr>
                <w:rFonts w:ascii="Times New Roman" w:eastAsia="Times New Roman" w:hAnsi="Times New Roman" w:cs="Times New Roman"/>
                <w:color w:val="000000"/>
                <w:sz w:val="20"/>
                <w:szCs w:val="20"/>
                <w:lang w:eastAsia="fr-FR"/>
              </w:rPr>
            </w:pPr>
            <w:r w:rsidRPr="00C575D2">
              <w:rPr>
                <w:rFonts w:ascii="Times New Roman" w:eastAsia="Times New Roman" w:hAnsi="Times New Roman" w:cs="Times New Roman"/>
                <w:color w:val="000000"/>
                <w:sz w:val="20"/>
                <w:szCs w:val="20"/>
                <w:lang w:eastAsia="fr-FR"/>
              </w:rPr>
              <w:t>p-value</w:t>
            </w:r>
          </w:p>
        </w:tc>
        <w:tc>
          <w:tcPr>
            <w:tcW w:w="1355" w:type="dxa"/>
            <w:noWrap/>
          </w:tcPr>
          <w:p w14:paraId="174D73B7" w14:textId="77777777" w:rsidR="00CF484B" w:rsidRPr="00C575D2" w:rsidRDefault="00CF484B" w:rsidP="00CF48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C575D2">
              <w:rPr>
                <w:rFonts w:ascii="Times New Roman" w:eastAsia="Times New Roman" w:hAnsi="Times New Roman" w:cs="Times New Roman"/>
                <w:color w:val="000000"/>
                <w:sz w:val="20"/>
                <w:szCs w:val="20"/>
                <w:lang w:eastAsia="fr-FR"/>
              </w:rPr>
              <w:t>&lt;2.2e-16</w:t>
            </w:r>
          </w:p>
        </w:tc>
        <w:tc>
          <w:tcPr>
            <w:tcW w:w="1335" w:type="dxa"/>
            <w:noWrap/>
          </w:tcPr>
          <w:p w14:paraId="115CE011" w14:textId="77777777" w:rsidR="00CF484B" w:rsidRPr="00C575D2" w:rsidRDefault="00CF484B" w:rsidP="00CF48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p>
        </w:tc>
        <w:tc>
          <w:tcPr>
            <w:tcW w:w="1959" w:type="dxa"/>
            <w:noWrap/>
          </w:tcPr>
          <w:p w14:paraId="330CA293" w14:textId="77777777" w:rsidR="00CF484B" w:rsidRPr="00C575D2" w:rsidRDefault="00CF484B" w:rsidP="00CF48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p>
        </w:tc>
        <w:tc>
          <w:tcPr>
            <w:tcW w:w="2311" w:type="dxa"/>
            <w:noWrap/>
          </w:tcPr>
          <w:p w14:paraId="06C5B64D" w14:textId="77777777" w:rsidR="00CF484B" w:rsidRPr="00C575D2" w:rsidRDefault="00CF484B" w:rsidP="00CF484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p>
        </w:tc>
      </w:tr>
    </w:tbl>
    <w:p w14:paraId="2361DC26" w14:textId="77777777" w:rsidR="006C16A3" w:rsidRDefault="006B2FF8" w:rsidP="006B2FF8">
      <w:pPr>
        <w:pStyle w:val="PrformatHTML"/>
        <w:shd w:val="clear" w:color="auto" w:fill="FFFFFF"/>
        <w:wordWrap w:val="0"/>
        <w:rPr>
          <w:rFonts w:ascii="Times New Roman" w:hAnsi="Times New Roman" w:cs="Times New Roman"/>
          <w:b/>
          <w:bCs/>
          <w:color w:val="000000"/>
        </w:rPr>
      </w:pPr>
      <w:r w:rsidRPr="00133FEC">
        <w:rPr>
          <w:rStyle w:val="gd15mcfceub"/>
          <w:rFonts w:ascii="Times New Roman" w:hAnsi="Times New Roman" w:cs="Times New Roman"/>
          <w:b/>
          <w:bCs/>
          <w:color w:val="000000"/>
          <w:bdr w:val="none" w:sz="0" w:space="0" w:color="auto" w:frame="1"/>
        </w:rPr>
        <w:t xml:space="preserve">Source : </w:t>
      </w:r>
      <w:r w:rsidR="00DE6D6E" w:rsidRPr="00133FEC">
        <w:rPr>
          <w:rFonts w:ascii="Times New Roman" w:hAnsi="Times New Roman" w:cs="Times New Roman"/>
          <w:b/>
          <w:bCs/>
          <w:color w:val="000000"/>
        </w:rPr>
        <w:t>Compte</w:t>
      </w:r>
      <w:r w:rsidR="00DE6D6E" w:rsidRPr="00317520">
        <w:rPr>
          <w:rFonts w:ascii="Times New Roman" w:hAnsi="Times New Roman" w:cs="Times New Roman"/>
          <w:b/>
          <w:bCs/>
          <w:color w:val="000000"/>
        </w:rPr>
        <w:t xml:space="preserve"> déplacements des voyageurs en Île-de-France (Île de France Mobilités) et Île-de-France Mobilités, d'après RATP, </w:t>
      </w:r>
      <w:proofErr w:type="spellStart"/>
      <w:r w:rsidR="00DE6D6E" w:rsidRPr="00317520">
        <w:rPr>
          <w:rFonts w:ascii="Times New Roman" w:hAnsi="Times New Roman" w:cs="Times New Roman"/>
          <w:b/>
          <w:bCs/>
          <w:color w:val="000000"/>
        </w:rPr>
        <w:t>Optile</w:t>
      </w:r>
      <w:proofErr w:type="spellEnd"/>
      <w:r w:rsidR="00DE6D6E" w:rsidRPr="00317520">
        <w:rPr>
          <w:rFonts w:ascii="Times New Roman" w:hAnsi="Times New Roman" w:cs="Times New Roman"/>
          <w:b/>
          <w:bCs/>
          <w:color w:val="000000"/>
        </w:rPr>
        <w:t xml:space="preserve"> et SNCF</w:t>
      </w:r>
    </w:p>
    <w:p w14:paraId="74D02D1D" w14:textId="50F045F7" w:rsidR="006C16A3" w:rsidRPr="006C16A3" w:rsidRDefault="006C16A3" w:rsidP="006B2FF8">
      <w:pPr>
        <w:pStyle w:val="PrformatHTML"/>
        <w:shd w:val="clear" w:color="auto" w:fill="FFFFFF"/>
        <w:wordWrap w:val="0"/>
        <w:rPr>
          <w:rFonts w:ascii="Times New Roman" w:hAnsi="Times New Roman" w:cs="Times New Roman"/>
          <w:bCs/>
          <w:color w:val="000000"/>
        </w:rPr>
      </w:pPr>
      <w:r>
        <w:rPr>
          <w:rFonts w:ascii="Times New Roman" w:hAnsi="Times New Roman" w:cs="Times New Roman"/>
          <w:b/>
          <w:bCs/>
          <w:color w:val="000000"/>
        </w:rPr>
        <w:t>Note :</w:t>
      </w:r>
      <w:r>
        <w:rPr>
          <w:rFonts w:ascii="Times New Roman" w:hAnsi="Times New Roman" w:cs="Times New Roman"/>
          <w:bCs/>
          <w:color w:val="000000"/>
        </w:rPr>
        <w:t>(***) : Significativité à 1%.</w:t>
      </w:r>
    </w:p>
    <w:p w14:paraId="2FB29594" w14:textId="50F5228F" w:rsidR="00EE2604" w:rsidRPr="006C16A3" w:rsidRDefault="00DE6D6E" w:rsidP="006C16A3">
      <w:pPr>
        <w:pStyle w:val="PrformatHTML"/>
        <w:shd w:val="clear" w:color="auto" w:fill="FFFFFF"/>
        <w:wordWrap w:val="0"/>
        <w:rPr>
          <w:rFonts w:ascii="Times New Roman" w:hAnsi="Times New Roman" w:cs="Times New Roman"/>
          <w:color w:val="000000"/>
        </w:rPr>
      </w:pPr>
      <w:r w:rsidRPr="00317520">
        <w:rPr>
          <w:rFonts w:ascii="Times New Roman" w:hAnsi="Times New Roman" w:cs="Times New Roman"/>
          <w:b/>
          <w:bCs/>
        </w:rPr>
        <w:tab/>
      </w:r>
    </w:p>
    <w:p w14:paraId="58FC97E9" w14:textId="6D867D21" w:rsidR="00E5045D" w:rsidRDefault="00CF484B" w:rsidP="004750E8">
      <w:pPr>
        <w:jc w:val="both"/>
        <w:rPr>
          <w:rFonts w:ascii="Times New Roman" w:hAnsi="Times New Roman" w:cs="Times New Roman"/>
          <w:sz w:val="24"/>
        </w:rPr>
      </w:pPr>
      <w:r w:rsidRPr="0005672D">
        <w:rPr>
          <w:rFonts w:ascii="Times New Roman" w:eastAsiaTheme="minorHAnsi" w:hAnsi="Times New Roman" w:cs="Times New Roman"/>
          <w:sz w:val="24"/>
        </w:rPr>
        <w:t>Les résultats des estimations sont meilleurs que les précédents. Nous avons une significati</w:t>
      </w:r>
      <w:r w:rsidR="00C25DB9">
        <w:rPr>
          <w:rFonts w:ascii="Times New Roman" w:eastAsiaTheme="minorHAnsi" w:hAnsi="Times New Roman" w:cs="Times New Roman"/>
          <w:sz w:val="24"/>
        </w:rPr>
        <w:t>vité des variables sauf pour la</w:t>
      </w:r>
      <w:r w:rsidRPr="0005672D">
        <w:rPr>
          <w:rFonts w:ascii="Times New Roman" w:eastAsiaTheme="minorHAnsi" w:hAnsi="Times New Roman" w:cs="Times New Roman"/>
          <w:sz w:val="24"/>
        </w:rPr>
        <w:t xml:space="preserve"> </w:t>
      </w:r>
      <w:r w:rsidR="00C25DB9">
        <w:rPr>
          <w:rFonts w:ascii="Times New Roman" w:eastAsiaTheme="minorHAnsi" w:hAnsi="Times New Roman" w:cs="Times New Roman"/>
          <w:sz w:val="24"/>
        </w:rPr>
        <w:t xml:space="preserve">variable </w:t>
      </w:r>
      <w:r w:rsidRPr="0005672D">
        <w:rPr>
          <w:rFonts w:ascii="Times New Roman" w:eastAsiaTheme="minorHAnsi" w:hAnsi="Times New Roman" w:cs="Times New Roman"/>
          <w:sz w:val="24"/>
        </w:rPr>
        <w:t>offre commerciale</w:t>
      </w:r>
      <w:r w:rsidR="00C25DB9">
        <w:rPr>
          <w:rFonts w:ascii="Times New Roman" w:eastAsiaTheme="minorHAnsi" w:hAnsi="Times New Roman" w:cs="Times New Roman"/>
          <w:sz w:val="24"/>
        </w:rPr>
        <w:t xml:space="preserve"> décalée de trois et de quatre mois</w:t>
      </w:r>
      <w:r w:rsidRPr="0005672D">
        <w:rPr>
          <w:rFonts w:ascii="Times New Roman" w:eastAsiaTheme="minorHAnsi" w:hAnsi="Times New Roman" w:cs="Times New Roman"/>
          <w:sz w:val="24"/>
        </w:rPr>
        <w:t xml:space="preserve">, ce qui confirme l’hypothèse de deux retards optimaux pour cette variable. </w:t>
      </w:r>
      <w:r w:rsidR="00E3134B">
        <w:rPr>
          <w:rFonts w:ascii="Times New Roman" w:hAnsi="Times New Roman" w:cs="Times New Roman"/>
          <w:sz w:val="24"/>
        </w:rPr>
        <w:t>De plus, i</w:t>
      </w:r>
      <w:r w:rsidR="00E5045D">
        <w:rPr>
          <w:rFonts w:ascii="Times New Roman" w:hAnsi="Times New Roman" w:cs="Times New Roman"/>
          <w:sz w:val="24"/>
        </w:rPr>
        <w:t xml:space="preserve">l ressort de l’estimation que la rentabilité présente est influencée significativement par la rentabilité des trois derniers mois. Un impact positif sur la valeur </w:t>
      </w:r>
      <w:r w:rsidR="008F3CE6">
        <w:rPr>
          <w:rFonts w:ascii="Times New Roman" w:hAnsi="Times New Roman" w:cs="Times New Roman"/>
          <w:sz w:val="24"/>
        </w:rPr>
        <w:t>présente</w:t>
      </w:r>
      <w:r w:rsidR="00E5045D">
        <w:rPr>
          <w:rFonts w:ascii="Times New Roman" w:hAnsi="Times New Roman" w:cs="Times New Roman"/>
          <w:sz w:val="24"/>
        </w:rPr>
        <w:t xml:space="preserve"> de la </w:t>
      </w:r>
      <w:r w:rsidR="008F3CE6">
        <w:rPr>
          <w:rFonts w:ascii="Times New Roman" w:hAnsi="Times New Roman" w:cs="Times New Roman"/>
          <w:sz w:val="24"/>
        </w:rPr>
        <w:t>rentabilité</w:t>
      </w:r>
      <w:r w:rsidR="00E5045D">
        <w:rPr>
          <w:rFonts w:ascii="Times New Roman" w:hAnsi="Times New Roman" w:cs="Times New Roman"/>
          <w:sz w:val="24"/>
        </w:rPr>
        <w:t xml:space="preserve"> est observé pour les retards</w:t>
      </w:r>
      <w:r w:rsidR="008F3CE6">
        <w:rPr>
          <w:rFonts w:ascii="Times New Roman" w:hAnsi="Times New Roman" w:cs="Times New Roman"/>
          <w:sz w:val="24"/>
        </w:rPr>
        <w:t xml:space="preserve"> un (1) et trois (3) tandis que la rentabilité observée deux mois antérieure</w:t>
      </w:r>
      <w:r w:rsidR="00074F0B">
        <w:rPr>
          <w:rFonts w:ascii="Times New Roman" w:hAnsi="Times New Roman" w:cs="Times New Roman"/>
          <w:sz w:val="24"/>
        </w:rPr>
        <w:t>ment</w:t>
      </w:r>
      <w:r w:rsidR="008F3CE6">
        <w:rPr>
          <w:rFonts w:ascii="Times New Roman" w:hAnsi="Times New Roman" w:cs="Times New Roman"/>
          <w:sz w:val="24"/>
        </w:rPr>
        <w:t xml:space="preserve"> a un impact négatif sur la rentabilité présente.</w:t>
      </w:r>
      <w:r w:rsidR="0097732A">
        <w:rPr>
          <w:rFonts w:ascii="Times New Roman" w:hAnsi="Times New Roman" w:cs="Times New Roman"/>
          <w:sz w:val="24"/>
        </w:rPr>
        <w:t xml:space="preserve"> </w:t>
      </w:r>
      <w:r w:rsidR="00C575D2">
        <w:rPr>
          <w:rFonts w:ascii="Times New Roman" w:hAnsi="Times New Roman" w:cs="Times New Roman"/>
          <w:sz w:val="24"/>
        </w:rPr>
        <w:t xml:space="preserve">Quant aux investissements engagés pour la transition </w:t>
      </w:r>
      <w:r w:rsidR="00AD20C7">
        <w:rPr>
          <w:rFonts w:ascii="Times New Roman" w:hAnsi="Times New Roman" w:cs="Times New Roman"/>
          <w:sz w:val="24"/>
        </w:rPr>
        <w:t>énergétique</w:t>
      </w:r>
      <w:r w:rsidR="00C575D2">
        <w:rPr>
          <w:rFonts w:ascii="Times New Roman" w:hAnsi="Times New Roman" w:cs="Times New Roman"/>
          <w:sz w:val="24"/>
        </w:rPr>
        <w:t xml:space="preserve">, ils ont un impact </w:t>
      </w:r>
      <w:r w:rsidR="00AD20C7">
        <w:rPr>
          <w:rFonts w:ascii="Times New Roman" w:hAnsi="Times New Roman" w:cs="Times New Roman"/>
          <w:sz w:val="24"/>
        </w:rPr>
        <w:t>négatif</w:t>
      </w:r>
      <w:r w:rsidR="00C575D2">
        <w:rPr>
          <w:rFonts w:ascii="Times New Roman" w:hAnsi="Times New Roman" w:cs="Times New Roman"/>
          <w:sz w:val="24"/>
        </w:rPr>
        <w:t xml:space="preserve"> sur la rentabilité. Cependant, les investissements engagés un mois plutôt ont un impact positif supérieur en valeur absolu à l’impact négatif observé deux mois auparavant. </w:t>
      </w:r>
      <w:r w:rsidR="00AD20C7">
        <w:rPr>
          <w:rFonts w:ascii="Times New Roman" w:hAnsi="Times New Roman" w:cs="Times New Roman"/>
          <w:sz w:val="24"/>
        </w:rPr>
        <w:t>Il faut aussi remarquer que ces impacts sont significatifs sur la rentabilité, peu importe le niveau de confiance</w:t>
      </w:r>
      <w:r w:rsidR="00AD20C7" w:rsidRPr="00E96DB6">
        <w:rPr>
          <w:rFonts w:ascii="Times New Roman" w:hAnsi="Times New Roman" w:cs="Times New Roman"/>
          <w:sz w:val="24"/>
        </w:rPr>
        <w:t xml:space="preserve">. </w:t>
      </w:r>
      <w:r w:rsidR="003A55EC" w:rsidRPr="00E96DB6">
        <w:rPr>
          <w:rFonts w:ascii="Times New Roman" w:hAnsi="Times New Roman" w:cs="Times New Roman"/>
          <w:sz w:val="24"/>
        </w:rPr>
        <w:t>En valeur absolue, il s’agit du plus grand impact sur la rentabilité pour les deux retards des investissements.</w:t>
      </w:r>
      <w:r w:rsidR="003A55EC">
        <w:rPr>
          <w:rFonts w:ascii="Times New Roman" w:hAnsi="Times New Roman" w:cs="Times New Roman"/>
          <w:sz w:val="24"/>
        </w:rPr>
        <w:t xml:space="preserve"> </w:t>
      </w:r>
      <w:r w:rsidR="007E0E63">
        <w:rPr>
          <w:rFonts w:ascii="Times New Roman" w:hAnsi="Times New Roman" w:cs="Times New Roman"/>
          <w:sz w:val="24"/>
        </w:rPr>
        <w:t xml:space="preserve">Les concours publics suivent la même tendance que les investissements. </w:t>
      </w:r>
    </w:p>
    <w:p w14:paraId="6D5C9A50" w14:textId="1D688984" w:rsidR="006F094C" w:rsidRDefault="00632BA2" w:rsidP="00787F6E">
      <w:pPr>
        <w:jc w:val="both"/>
        <w:rPr>
          <w:rFonts w:ascii="Times New Roman" w:hAnsi="Times New Roman" w:cs="Times New Roman"/>
          <w:sz w:val="24"/>
        </w:rPr>
      </w:pPr>
      <w:r>
        <w:rPr>
          <w:rFonts w:ascii="Times New Roman" w:hAnsi="Times New Roman" w:cs="Times New Roman"/>
          <w:sz w:val="24"/>
        </w:rPr>
        <w:lastRenderedPageBreak/>
        <w:t xml:space="preserve">Globalement, le </w:t>
      </w:r>
      <w:r w:rsidR="00EB679F">
        <w:rPr>
          <w:rFonts w:ascii="Times New Roman" w:hAnsi="Times New Roman" w:cs="Times New Roman"/>
          <w:sz w:val="24"/>
        </w:rPr>
        <w:t>modèle</w:t>
      </w:r>
      <w:r>
        <w:rPr>
          <w:rFonts w:ascii="Times New Roman" w:hAnsi="Times New Roman" w:cs="Times New Roman"/>
          <w:sz w:val="24"/>
        </w:rPr>
        <w:t xml:space="preserve"> est bien </w:t>
      </w:r>
      <w:r w:rsidR="00EB679F">
        <w:rPr>
          <w:rFonts w:ascii="Times New Roman" w:hAnsi="Times New Roman" w:cs="Times New Roman"/>
          <w:sz w:val="24"/>
        </w:rPr>
        <w:t>spécifié</w:t>
      </w:r>
      <w:r>
        <w:rPr>
          <w:rFonts w:ascii="Times New Roman" w:hAnsi="Times New Roman" w:cs="Times New Roman"/>
          <w:sz w:val="24"/>
        </w:rPr>
        <w:t xml:space="preserve"> au regard du test de ficher et ce dernier explique 99% de la variabilité de nos données. </w:t>
      </w:r>
      <w:r w:rsidR="00875A70">
        <w:rPr>
          <w:rFonts w:ascii="Times New Roman" w:hAnsi="Times New Roman" w:cs="Times New Roman"/>
          <w:sz w:val="24"/>
        </w:rPr>
        <w:t>La constante n’est pas significative car s</w:t>
      </w:r>
      <w:r w:rsidR="00074F0B">
        <w:rPr>
          <w:rFonts w:ascii="Times New Roman" w:hAnsi="Times New Roman" w:cs="Times New Roman"/>
          <w:sz w:val="24"/>
        </w:rPr>
        <w:t>a</w:t>
      </w:r>
      <w:r w:rsidR="00875A70">
        <w:rPr>
          <w:rFonts w:ascii="Times New Roman" w:hAnsi="Times New Roman" w:cs="Times New Roman"/>
          <w:sz w:val="24"/>
        </w:rPr>
        <w:t xml:space="preserve"> p-value </w:t>
      </w:r>
      <w:r w:rsidR="00EB679F">
        <w:rPr>
          <w:rFonts w:ascii="Times New Roman" w:hAnsi="Times New Roman" w:cs="Times New Roman"/>
          <w:sz w:val="24"/>
        </w:rPr>
        <w:t>dépasse</w:t>
      </w:r>
      <w:r w:rsidR="00875A70">
        <w:rPr>
          <w:rFonts w:ascii="Times New Roman" w:hAnsi="Times New Roman" w:cs="Times New Roman"/>
          <w:sz w:val="24"/>
        </w:rPr>
        <w:t xml:space="preserve"> largement 0.05%. </w:t>
      </w:r>
    </w:p>
    <w:p w14:paraId="1498D2A5" w14:textId="20541C32" w:rsidR="00D47724" w:rsidRPr="002C015D" w:rsidRDefault="00D47724" w:rsidP="00F61F98">
      <w:pPr>
        <w:pStyle w:val="Titre3"/>
        <w:numPr>
          <w:ilvl w:val="0"/>
          <w:numId w:val="15"/>
        </w:numPr>
        <w:rPr>
          <w:rFonts w:ascii="Times New Roman" w:hAnsi="Times New Roman" w:cs="Times New Roman"/>
          <w:b/>
          <w:bCs/>
        </w:rPr>
      </w:pPr>
      <w:bookmarkStart w:id="42" w:name="_Toc70937421"/>
      <w:r w:rsidRPr="002C015D">
        <w:rPr>
          <w:rFonts w:ascii="Times New Roman" w:hAnsi="Times New Roman" w:cs="Times New Roman"/>
          <w:b/>
          <w:bCs/>
        </w:rPr>
        <w:t xml:space="preserve">Test de </w:t>
      </w:r>
      <w:r w:rsidR="001128A3" w:rsidRPr="002C015D">
        <w:rPr>
          <w:rFonts w:ascii="Times New Roman" w:hAnsi="Times New Roman" w:cs="Times New Roman"/>
          <w:b/>
          <w:bCs/>
        </w:rPr>
        <w:t>Cointégration</w:t>
      </w:r>
      <w:bookmarkEnd w:id="42"/>
      <w:r w:rsidRPr="002C015D">
        <w:rPr>
          <w:rFonts w:ascii="Times New Roman" w:hAnsi="Times New Roman" w:cs="Times New Roman"/>
          <w:b/>
          <w:bCs/>
        </w:rPr>
        <w:t xml:space="preserve"> </w:t>
      </w:r>
    </w:p>
    <w:p w14:paraId="45D5C6DA" w14:textId="271F62DD" w:rsidR="00E45A8F" w:rsidRDefault="006F1B59" w:rsidP="00E45A8F">
      <w:pPr>
        <w:jc w:val="both"/>
        <w:rPr>
          <w:rFonts w:ascii="Times New Roman" w:hAnsi="Times New Roman" w:cs="Times New Roman"/>
          <w:sz w:val="24"/>
        </w:rPr>
      </w:pPr>
      <w:r w:rsidRPr="00187AE0">
        <w:rPr>
          <w:rFonts w:ascii="Times New Roman" w:hAnsi="Times New Roman" w:cs="Times New Roman"/>
          <w:sz w:val="24"/>
        </w:rPr>
        <w:t xml:space="preserve">Les variables sont </w:t>
      </w:r>
      <w:r w:rsidR="00C00EE8" w:rsidRPr="00187AE0">
        <w:rPr>
          <w:rFonts w:ascii="Times New Roman" w:hAnsi="Times New Roman" w:cs="Times New Roman"/>
          <w:sz w:val="24"/>
        </w:rPr>
        <w:t>intégrées</w:t>
      </w:r>
      <w:r w:rsidRPr="00187AE0">
        <w:rPr>
          <w:rFonts w:ascii="Times New Roman" w:hAnsi="Times New Roman" w:cs="Times New Roman"/>
          <w:sz w:val="24"/>
        </w:rPr>
        <w:t xml:space="preserve"> à des ordres </w:t>
      </w:r>
      <w:r w:rsidR="00C00EE8" w:rsidRPr="00187AE0">
        <w:rPr>
          <w:rFonts w:ascii="Times New Roman" w:hAnsi="Times New Roman" w:cs="Times New Roman"/>
          <w:sz w:val="24"/>
        </w:rPr>
        <w:t>différents</w:t>
      </w:r>
      <w:r w:rsidRPr="00187AE0">
        <w:rPr>
          <w:rFonts w:ascii="Times New Roman" w:hAnsi="Times New Roman" w:cs="Times New Roman"/>
          <w:sz w:val="24"/>
        </w:rPr>
        <w:t xml:space="preserve"> </w:t>
      </w:r>
      <w:r w:rsidR="00E45A8F" w:rsidRPr="00187AE0">
        <w:rPr>
          <w:rFonts w:ascii="Times New Roman" w:hAnsi="Times New Roman" w:cs="Times New Roman"/>
          <w:sz w:val="24"/>
        </w:rPr>
        <w:t>(</w:t>
      </w:r>
      <w:r w:rsidR="00C00EE8" w:rsidRPr="00187AE0">
        <w:rPr>
          <w:rFonts w:ascii="Times New Roman" w:hAnsi="Times New Roman" w:cs="Times New Roman"/>
          <w:sz w:val="24"/>
        </w:rPr>
        <w:t>zéro</w:t>
      </w:r>
      <w:r w:rsidR="00E45A8F" w:rsidRPr="00187AE0">
        <w:rPr>
          <w:rFonts w:ascii="Times New Roman" w:hAnsi="Times New Roman" w:cs="Times New Roman"/>
          <w:sz w:val="24"/>
        </w:rPr>
        <w:t xml:space="preserve"> et un)</w:t>
      </w:r>
      <w:r w:rsidR="0056128A">
        <w:rPr>
          <w:rFonts w:ascii="Times New Roman" w:hAnsi="Times New Roman" w:cs="Times New Roman"/>
          <w:sz w:val="24"/>
        </w:rPr>
        <w:t>,</w:t>
      </w:r>
      <w:r w:rsidR="00E45A8F" w:rsidRPr="00187AE0">
        <w:rPr>
          <w:rFonts w:ascii="Times New Roman" w:hAnsi="Times New Roman" w:cs="Times New Roman"/>
          <w:sz w:val="24"/>
        </w:rPr>
        <w:t xml:space="preserve"> ce qui nous permet </w:t>
      </w:r>
      <w:r w:rsidR="0056128A">
        <w:rPr>
          <w:rFonts w:ascii="Times New Roman" w:hAnsi="Times New Roman" w:cs="Times New Roman"/>
          <w:sz w:val="24"/>
        </w:rPr>
        <w:t xml:space="preserve">d’effectuer </w:t>
      </w:r>
      <w:r w:rsidR="00E45A8F" w:rsidRPr="00187AE0">
        <w:rPr>
          <w:rFonts w:ascii="Times New Roman" w:hAnsi="Times New Roman" w:cs="Times New Roman"/>
          <w:sz w:val="24"/>
        </w:rPr>
        <w:t xml:space="preserve">un test de </w:t>
      </w:r>
      <w:r w:rsidR="001128A3">
        <w:rPr>
          <w:rFonts w:ascii="Times New Roman" w:hAnsi="Times New Roman" w:cs="Times New Roman"/>
          <w:sz w:val="24"/>
        </w:rPr>
        <w:t>C</w:t>
      </w:r>
      <w:r w:rsidR="001128A3" w:rsidRPr="00187AE0">
        <w:rPr>
          <w:rFonts w:ascii="Times New Roman" w:hAnsi="Times New Roman" w:cs="Times New Roman"/>
          <w:sz w:val="24"/>
        </w:rPr>
        <w:t>o</w:t>
      </w:r>
      <w:r w:rsidR="001128A3">
        <w:rPr>
          <w:rFonts w:ascii="Times New Roman" w:hAnsi="Times New Roman" w:cs="Times New Roman"/>
          <w:sz w:val="24"/>
        </w:rPr>
        <w:t>i</w:t>
      </w:r>
      <w:r w:rsidR="001128A3" w:rsidRPr="00187AE0">
        <w:rPr>
          <w:rFonts w:ascii="Times New Roman" w:hAnsi="Times New Roman" w:cs="Times New Roman"/>
          <w:sz w:val="24"/>
        </w:rPr>
        <w:t>ntégration</w:t>
      </w:r>
      <w:r w:rsidR="00E45A8F" w:rsidRPr="00187AE0">
        <w:rPr>
          <w:rFonts w:ascii="Times New Roman" w:hAnsi="Times New Roman" w:cs="Times New Roman"/>
          <w:sz w:val="24"/>
        </w:rPr>
        <w:t xml:space="preserve"> pour nous assurer </w:t>
      </w:r>
      <w:r w:rsidR="00E45A8F" w:rsidRPr="004C31C7">
        <w:rPr>
          <w:rFonts w:ascii="Times New Roman" w:hAnsi="Times New Roman" w:cs="Times New Roman"/>
          <w:sz w:val="24"/>
        </w:rPr>
        <w:t xml:space="preserve">qu’il n’y a pas de relation de </w:t>
      </w:r>
      <w:r w:rsidR="001128A3" w:rsidRPr="004C31C7">
        <w:rPr>
          <w:rFonts w:ascii="Times New Roman" w:hAnsi="Times New Roman" w:cs="Times New Roman"/>
          <w:sz w:val="24"/>
        </w:rPr>
        <w:t>Cointégration</w:t>
      </w:r>
      <w:r w:rsidR="00E45A8F" w:rsidRPr="004C31C7">
        <w:rPr>
          <w:rFonts w:ascii="Times New Roman" w:hAnsi="Times New Roman" w:cs="Times New Roman"/>
          <w:sz w:val="24"/>
        </w:rPr>
        <w:t xml:space="preserve"> entre les variables</w:t>
      </w:r>
      <w:r w:rsidR="00E45A8F" w:rsidRPr="00187AE0">
        <w:rPr>
          <w:rFonts w:ascii="Times New Roman" w:hAnsi="Times New Roman" w:cs="Times New Roman"/>
          <w:sz w:val="24"/>
        </w:rPr>
        <w:t xml:space="preserve">. </w:t>
      </w:r>
      <w:r w:rsidR="0056128A">
        <w:rPr>
          <w:rFonts w:ascii="Times New Roman" w:hAnsi="Times New Roman" w:cs="Times New Roman"/>
          <w:sz w:val="24"/>
        </w:rPr>
        <w:t xml:space="preserve">En </w:t>
      </w:r>
      <w:r w:rsidR="004C706F" w:rsidRPr="00187AE0">
        <w:rPr>
          <w:rFonts w:ascii="Times New Roman" w:hAnsi="Times New Roman" w:cs="Times New Roman"/>
          <w:sz w:val="24"/>
        </w:rPr>
        <w:t>présence</w:t>
      </w:r>
      <w:r w:rsidR="00E45A8F" w:rsidRPr="00187AE0">
        <w:rPr>
          <w:rFonts w:ascii="Times New Roman" w:hAnsi="Times New Roman" w:cs="Times New Roman"/>
          <w:sz w:val="24"/>
        </w:rPr>
        <w:t xml:space="preserve"> de </w:t>
      </w:r>
      <w:r w:rsidR="001128A3">
        <w:rPr>
          <w:rFonts w:ascii="Times New Roman" w:hAnsi="Times New Roman" w:cs="Times New Roman"/>
          <w:sz w:val="24"/>
        </w:rPr>
        <w:t>C</w:t>
      </w:r>
      <w:r w:rsidR="001128A3" w:rsidRPr="00187AE0">
        <w:rPr>
          <w:rFonts w:ascii="Times New Roman" w:hAnsi="Times New Roman" w:cs="Times New Roman"/>
          <w:sz w:val="24"/>
        </w:rPr>
        <w:t>o</w:t>
      </w:r>
      <w:r w:rsidR="001128A3">
        <w:rPr>
          <w:rFonts w:ascii="Times New Roman" w:hAnsi="Times New Roman" w:cs="Times New Roman"/>
          <w:sz w:val="24"/>
        </w:rPr>
        <w:t>i</w:t>
      </w:r>
      <w:r w:rsidR="001128A3" w:rsidRPr="00187AE0">
        <w:rPr>
          <w:rFonts w:ascii="Times New Roman" w:hAnsi="Times New Roman" w:cs="Times New Roman"/>
          <w:sz w:val="24"/>
        </w:rPr>
        <w:t>ntégration</w:t>
      </w:r>
      <w:r w:rsidR="00E45A8F" w:rsidRPr="00187AE0">
        <w:rPr>
          <w:rFonts w:ascii="Times New Roman" w:hAnsi="Times New Roman" w:cs="Times New Roman"/>
          <w:sz w:val="24"/>
        </w:rPr>
        <w:t>, il se peut que les coefficients obtenus ne soi</w:t>
      </w:r>
      <w:r w:rsidR="00E7672F">
        <w:rPr>
          <w:rFonts w:ascii="Times New Roman" w:hAnsi="Times New Roman" w:cs="Times New Roman"/>
          <w:sz w:val="24"/>
        </w:rPr>
        <w:t>en</w:t>
      </w:r>
      <w:r w:rsidR="00E45A8F" w:rsidRPr="00187AE0">
        <w:rPr>
          <w:rFonts w:ascii="Times New Roman" w:hAnsi="Times New Roman" w:cs="Times New Roman"/>
          <w:sz w:val="24"/>
        </w:rPr>
        <w:t xml:space="preserve">t pas robustes, surtout à long terme. </w:t>
      </w:r>
      <w:r w:rsidR="00E45A8F" w:rsidRPr="0056128A">
        <w:rPr>
          <w:rFonts w:ascii="Times New Roman" w:hAnsi="Times New Roman" w:cs="Times New Roman"/>
          <w:sz w:val="24"/>
        </w:rPr>
        <w:t xml:space="preserve">Cependant, dans notre </w:t>
      </w:r>
      <w:r w:rsidR="004C706F" w:rsidRPr="0056128A">
        <w:rPr>
          <w:rFonts w:ascii="Times New Roman" w:hAnsi="Times New Roman" w:cs="Times New Roman"/>
          <w:sz w:val="24"/>
        </w:rPr>
        <w:t>étude</w:t>
      </w:r>
      <w:r w:rsidR="00E45A8F" w:rsidRPr="0056128A">
        <w:rPr>
          <w:rFonts w:ascii="Times New Roman" w:hAnsi="Times New Roman" w:cs="Times New Roman"/>
          <w:sz w:val="24"/>
        </w:rPr>
        <w:t xml:space="preserve">, les variables nous montrent que le test de </w:t>
      </w:r>
      <w:r w:rsidR="001128A3" w:rsidRPr="0056128A">
        <w:rPr>
          <w:rFonts w:ascii="Times New Roman" w:hAnsi="Times New Roman" w:cs="Times New Roman"/>
          <w:sz w:val="24"/>
        </w:rPr>
        <w:t>Cointégration</w:t>
      </w:r>
      <w:r w:rsidR="004C706F" w:rsidRPr="0056128A">
        <w:rPr>
          <w:rFonts w:ascii="Times New Roman" w:hAnsi="Times New Roman" w:cs="Times New Roman"/>
          <w:sz w:val="24"/>
        </w:rPr>
        <w:t xml:space="preserve"> d’</w:t>
      </w:r>
      <w:proofErr w:type="spellStart"/>
      <w:r w:rsidR="00E45A8F" w:rsidRPr="0056128A">
        <w:rPr>
          <w:rFonts w:ascii="Times New Roman" w:hAnsi="Times New Roman" w:cs="Times New Roman"/>
          <w:sz w:val="24"/>
        </w:rPr>
        <w:t>Engle</w:t>
      </w:r>
      <w:proofErr w:type="spellEnd"/>
      <w:r w:rsidR="00E45A8F" w:rsidRPr="0056128A">
        <w:rPr>
          <w:rFonts w:ascii="Times New Roman" w:hAnsi="Times New Roman" w:cs="Times New Roman"/>
          <w:sz w:val="24"/>
        </w:rPr>
        <w:t xml:space="preserve"> et Granger</w:t>
      </w:r>
      <w:r w:rsidR="0056128A">
        <w:rPr>
          <w:rFonts w:ascii="Times New Roman" w:hAnsi="Times New Roman" w:cs="Times New Roman"/>
          <w:sz w:val="24"/>
        </w:rPr>
        <w:t xml:space="preserve"> est inefficace puisque les séries ne sont pas stationnaires au même ordre</w:t>
      </w:r>
      <w:r w:rsidR="00E45A8F" w:rsidRPr="00187AE0">
        <w:rPr>
          <w:rFonts w:ascii="Times New Roman" w:hAnsi="Times New Roman" w:cs="Times New Roman"/>
          <w:sz w:val="24"/>
        </w:rPr>
        <w:t xml:space="preserve">. Nous allons donc utiliser la </w:t>
      </w:r>
      <w:r w:rsidR="004C706F" w:rsidRPr="00187AE0">
        <w:rPr>
          <w:rFonts w:ascii="Times New Roman" w:hAnsi="Times New Roman" w:cs="Times New Roman"/>
          <w:sz w:val="24"/>
        </w:rPr>
        <w:t>procédure</w:t>
      </w:r>
      <w:r w:rsidR="00E7672F">
        <w:rPr>
          <w:rFonts w:ascii="Times New Roman" w:hAnsi="Times New Roman" w:cs="Times New Roman"/>
          <w:sz w:val="24"/>
        </w:rPr>
        <w:t xml:space="preserve"> de </w:t>
      </w:r>
      <w:proofErr w:type="spellStart"/>
      <w:r w:rsidR="00E7672F">
        <w:rPr>
          <w:rFonts w:ascii="Times New Roman" w:hAnsi="Times New Roman" w:cs="Times New Roman"/>
          <w:sz w:val="24"/>
        </w:rPr>
        <w:t>Perasan</w:t>
      </w:r>
      <w:proofErr w:type="spellEnd"/>
      <w:r w:rsidR="00E7672F">
        <w:rPr>
          <w:rFonts w:ascii="Times New Roman" w:hAnsi="Times New Roman" w:cs="Times New Roman"/>
          <w:sz w:val="24"/>
        </w:rPr>
        <w:t xml:space="preserve"> et al.  ou test de </w:t>
      </w:r>
      <w:r w:rsidR="001128A3">
        <w:rPr>
          <w:rFonts w:ascii="Times New Roman" w:hAnsi="Times New Roman" w:cs="Times New Roman"/>
          <w:sz w:val="24"/>
        </w:rPr>
        <w:t>Cointégration</w:t>
      </w:r>
      <w:r w:rsidR="00E7672F">
        <w:rPr>
          <w:rFonts w:ascii="Times New Roman" w:hAnsi="Times New Roman" w:cs="Times New Roman"/>
          <w:sz w:val="24"/>
        </w:rPr>
        <w:t xml:space="preserve"> aux bornes</w:t>
      </w:r>
      <w:r w:rsidR="001C4A67">
        <w:rPr>
          <w:rFonts w:ascii="Times New Roman" w:hAnsi="Times New Roman" w:cs="Times New Roman"/>
          <w:sz w:val="24"/>
        </w:rPr>
        <w:t xml:space="preserve"> (</w:t>
      </w:r>
      <w:r w:rsidR="001C4A67" w:rsidRPr="004C31C7">
        <w:rPr>
          <w:rFonts w:ascii="Times New Roman" w:hAnsi="Times New Roman" w:cs="Times New Roman"/>
          <w:sz w:val="24"/>
        </w:rPr>
        <w:t>Bound test</w:t>
      </w:r>
      <w:r w:rsidR="004C31C7">
        <w:rPr>
          <w:rFonts w:ascii="Times New Roman" w:hAnsi="Times New Roman" w:cs="Times New Roman"/>
          <w:sz w:val="24"/>
        </w:rPr>
        <w:t xml:space="preserve"> to </w:t>
      </w:r>
      <w:proofErr w:type="spellStart"/>
      <w:r w:rsidR="004C31C7">
        <w:rPr>
          <w:rFonts w:ascii="Times New Roman" w:hAnsi="Times New Roman" w:cs="Times New Roman"/>
          <w:sz w:val="24"/>
        </w:rPr>
        <w:t>cointegration</w:t>
      </w:r>
      <w:proofErr w:type="spellEnd"/>
      <w:r w:rsidR="001C4A67" w:rsidRPr="004C31C7">
        <w:rPr>
          <w:rFonts w:ascii="Times New Roman" w:hAnsi="Times New Roman" w:cs="Times New Roman"/>
          <w:sz w:val="24"/>
        </w:rPr>
        <w:t>)</w:t>
      </w:r>
      <w:r w:rsidR="00E7672F" w:rsidRPr="004C31C7">
        <w:rPr>
          <w:rFonts w:ascii="Times New Roman" w:hAnsi="Times New Roman" w:cs="Times New Roman"/>
          <w:sz w:val="24"/>
        </w:rPr>
        <w:t>.</w:t>
      </w:r>
      <w:r w:rsidR="00E7672F">
        <w:rPr>
          <w:rFonts w:ascii="Times New Roman" w:hAnsi="Times New Roman" w:cs="Times New Roman"/>
          <w:sz w:val="24"/>
        </w:rPr>
        <w:t xml:space="preserve"> Pour la</w:t>
      </w:r>
      <w:r w:rsidR="00E45A8F" w:rsidRPr="00187AE0">
        <w:rPr>
          <w:rFonts w:ascii="Times New Roman" w:hAnsi="Times New Roman" w:cs="Times New Roman"/>
          <w:sz w:val="24"/>
        </w:rPr>
        <w:t xml:space="preserve"> mettre en œuvre, nous utiliserons le </w:t>
      </w:r>
      <w:r w:rsidR="004C706F" w:rsidRPr="00187AE0">
        <w:rPr>
          <w:rFonts w:ascii="Times New Roman" w:hAnsi="Times New Roman" w:cs="Times New Roman"/>
          <w:sz w:val="24"/>
        </w:rPr>
        <w:t>même</w:t>
      </w:r>
      <w:r w:rsidR="00E45A8F" w:rsidRPr="00187AE0">
        <w:rPr>
          <w:rFonts w:ascii="Times New Roman" w:hAnsi="Times New Roman" w:cs="Times New Roman"/>
          <w:sz w:val="24"/>
        </w:rPr>
        <w:t xml:space="preserve"> package dans R studio qui nous a permis d’estimer le </w:t>
      </w:r>
      <w:r w:rsidR="004C706F" w:rsidRPr="00187AE0">
        <w:rPr>
          <w:rFonts w:ascii="Times New Roman" w:hAnsi="Times New Roman" w:cs="Times New Roman"/>
          <w:sz w:val="24"/>
        </w:rPr>
        <w:t>modèle</w:t>
      </w:r>
      <w:r w:rsidR="00E45A8F" w:rsidRPr="00187AE0">
        <w:rPr>
          <w:rFonts w:ascii="Times New Roman" w:hAnsi="Times New Roman" w:cs="Times New Roman"/>
          <w:sz w:val="24"/>
        </w:rPr>
        <w:t xml:space="preserve"> ARDL. En fait, la </w:t>
      </w:r>
      <w:r w:rsidR="004C706F" w:rsidRPr="00187AE0">
        <w:rPr>
          <w:rFonts w:ascii="Times New Roman" w:hAnsi="Times New Roman" w:cs="Times New Roman"/>
          <w:sz w:val="24"/>
        </w:rPr>
        <w:t>première</w:t>
      </w:r>
      <w:r w:rsidR="00E45A8F" w:rsidRPr="00187AE0">
        <w:rPr>
          <w:rFonts w:ascii="Times New Roman" w:hAnsi="Times New Roman" w:cs="Times New Roman"/>
          <w:sz w:val="24"/>
        </w:rPr>
        <w:t xml:space="preserve"> </w:t>
      </w:r>
      <w:r w:rsidR="004C706F" w:rsidRPr="00187AE0">
        <w:rPr>
          <w:rFonts w:ascii="Times New Roman" w:hAnsi="Times New Roman" w:cs="Times New Roman"/>
          <w:sz w:val="24"/>
        </w:rPr>
        <w:t>étape</w:t>
      </w:r>
      <w:r w:rsidR="00E45A8F" w:rsidRPr="00187AE0">
        <w:rPr>
          <w:rFonts w:ascii="Times New Roman" w:hAnsi="Times New Roman" w:cs="Times New Roman"/>
          <w:sz w:val="24"/>
        </w:rPr>
        <w:t xml:space="preserve"> dans la mise en place de ce test est l</w:t>
      </w:r>
      <w:r w:rsidR="00187AE0">
        <w:rPr>
          <w:rFonts w:ascii="Times New Roman" w:hAnsi="Times New Roman" w:cs="Times New Roman"/>
          <w:sz w:val="24"/>
        </w:rPr>
        <w:t xml:space="preserve">’estimation du </w:t>
      </w:r>
      <w:r w:rsidR="004C706F">
        <w:rPr>
          <w:rFonts w:ascii="Times New Roman" w:hAnsi="Times New Roman" w:cs="Times New Roman"/>
          <w:sz w:val="24"/>
        </w:rPr>
        <w:t>modèle</w:t>
      </w:r>
      <w:r w:rsidR="00187AE0">
        <w:rPr>
          <w:rFonts w:ascii="Times New Roman" w:hAnsi="Times New Roman" w:cs="Times New Roman"/>
          <w:sz w:val="24"/>
        </w:rPr>
        <w:t xml:space="preserve"> ARDL. </w:t>
      </w:r>
    </w:p>
    <w:p w14:paraId="353A7AE7" w14:textId="664428FF" w:rsidR="009961ED" w:rsidRDefault="00187AE0" w:rsidP="00E45A8F">
      <w:pPr>
        <w:jc w:val="both"/>
        <w:rPr>
          <w:rFonts w:ascii="Times New Roman" w:hAnsi="Times New Roman" w:cs="Times New Roman"/>
          <w:sz w:val="24"/>
        </w:rPr>
      </w:pPr>
      <w:r>
        <w:rPr>
          <w:rFonts w:ascii="Times New Roman" w:hAnsi="Times New Roman" w:cs="Times New Roman"/>
          <w:sz w:val="24"/>
        </w:rPr>
        <w:t xml:space="preserve">Il faut aussi </w:t>
      </w:r>
      <w:r w:rsidR="004C706F">
        <w:rPr>
          <w:rFonts w:ascii="Times New Roman" w:hAnsi="Times New Roman" w:cs="Times New Roman"/>
          <w:sz w:val="24"/>
        </w:rPr>
        <w:t>déterminer</w:t>
      </w:r>
      <w:r>
        <w:rPr>
          <w:rFonts w:ascii="Times New Roman" w:hAnsi="Times New Roman" w:cs="Times New Roman"/>
          <w:sz w:val="24"/>
        </w:rPr>
        <w:t xml:space="preserve"> le nombre </w:t>
      </w:r>
      <w:r w:rsidR="003A55EC">
        <w:rPr>
          <w:rFonts w:ascii="Times New Roman" w:hAnsi="Times New Roman" w:cs="Times New Roman"/>
          <w:sz w:val="24"/>
        </w:rPr>
        <w:t xml:space="preserve">optimal </w:t>
      </w:r>
      <w:r>
        <w:rPr>
          <w:rFonts w:ascii="Times New Roman" w:hAnsi="Times New Roman" w:cs="Times New Roman"/>
          <w:sz w:val="24"/>
        </w:rPr>
        <w:t>de retard</w:t>
      </w:r>
      <w:r w:rsidR="003A55EC">
        <w:rPr>
          <w:rFonts w:ascii="Times New Roman" w:hAnsi="Times New Roman" w:cs="Times New Roman"/>
          <w:sz w:val="24"/>
        </w:rPr>
        <w:t>s</w:t>
      </w:r>
      <w:r>
        <w:rPr>
          <w:rFonts w:ascii="Times New Roman" w:hAnsi="Times New Roman" w:cs="Times New Roman"/>
          <w:sz w:val="24"/>
        </w:rPr>
        <w:t xml:space="preserve"> pour le test</w:t>
      </w:r>
      <w:r w:rsidR="00DA017C">
        <w:rPr>
          <w:rFonts w:ascii="Times New Roman" w:hAnsi="Times New Roman" w:cs="Times New Roman"/>
          <w:sz w:val="24"/>
        </w:rPr>
        <w:t xml:space="preserve"> de </w:t>
      </w:r>
      <w:r w:rsidR="001128A3">
        <w:rPr>
          <w:rFonts w:ascii="Times New Roman" w:hAnsi="Times New Roman" w:cs="Times New Roman"/>
          <w:sz w:val="24"/>
        </w:rPr>
        <w:t>Cointégration</w:t>
      </w:r>
      <w:r w:rsidR="00DA017C">
        <w:rPr>
          <w:rFonts w:ascii="Times New Roman" w:hAnsi="Times New Roman" w:cs="Times New Roman"/>
          <w:sz w:val="24"/>
        </w:rPr>
        <w:t xml:space="preserve"> aux bornes</w:t>
      </w:r>
      <w:r w:rsidR="002D5119">
        <w:rPr>
          <w:rFonts w:ascii="Times New Roman" w:hAnsi="Times New Roman" w:cs="Times New Roman"/>
          <w:sz w:val="24"/>
        </w:rPr>
        <w:t xml:space="preserve"> en utilisant la </w:t>
      </w:r>
      <w:r w:rsidR="001128A3">
        <w:rPr>
          <w:rFonts w:ascii="Times New Roman" w:hAnsi="Times New Roman" w:cs="Times New Roman"/>
          <w:sz w:val="24"/>
        </w:rPr>
        <w:t>fonction</w:t>
      </w:r>
      <m:oMath>
        <m:r>
          <w:rPr>
            <w:rFonts w:ascii="Cambria Math" w:hAnsi="Cambria Math" w:cs="Times New Roman"/>
            <w:sz w:val="24"/>
          </w:rPr>
          <m:t xml:space="preserve"> « ardlboundorders »</m:t>
        </m:r>
      </m:oMath>
      <w:r w:rsidR="00D318B0">
        <w:rPr>
          <w:rFonts w:ascii="Times New Roman" w:hAnsi="Times New Roman" w:cs="Times New Roman"/>
          <w:sz w:val="24"/>
        </w:rPr>
        <w:t xml:space="preserve">. Cette fonction se base sur une approche parcimonieuse dans la </w:t>
      </w:r>
      <w:r w:rsidR="004C706F">
        <w:rPr>
          <w:rFonts w:ascii="Times New Roman" w:hAnsi="Times New Roman" w:cs="Times New Roman"/>
          <w:sz w:val="24"/>
        </w:rPr>
        <w:t>détermination</w:t>
      </w:r>
      <w:r w:rsidR="00D318B0">
        <w:rPr>
          <w:rFonts w:ascii="Times New Roman" w:hAnsi="Times New Roman" w:cs="Times New Roman"/>
          <w:sz w:val="24"/>
        </w:rPr>
        <w:t xml:space="preserve"> de l’ordre de retard</w:t>
      </w:r>
      <w:r w:rsidR="00726635">
        <w:rPr>
          <w:rFonts w:ascii="Times New Roman" w:hAnsi="Times New Roman" w:cs="Times New Roman"/>
          <w:sz w:val="24"/>
        </w:rPr>
        <w:t>s</w:t>
      </w:r>
      <w:r w:rsidR="00D318B0">
        <w:rPr>
          <w:rFonts w:ascii="Times New Roman" w:hAnsi="Times New Roman" w:cs="Times New Roman"/>
          <w:sz w:val="24"/>
        </w:rPr>
        <w:t xml:space="preserve"> avec les </w:t>
      </w:r>
      <w:r w:rsidR="004C706F">
        <w:rPr>
          <w:rFonts w:ascii="Times New Roman" w:hAnsi="Times New Roman" w:cs="Times New Roman"/>
          <w:sz w:val="24"/>
        </w:rPr>
        <w:t>critères</w:t>
      </w:r>
      <w:r w:rsidR="00D318B0">
        <w:rPr>
          <w:rFonts w:ascii="Times New Roman" w:hAnsi="Times New Roman" w:cs="Times New Roman"/>
          <w:sz w:val="24"/>
        </w:rPr>
        <w:t xml:space="preserve"> d’informations </w:t>
      </w:r>
      <w:r w:rsidR="009961ED">
        <w:rPr>
          <w:rFonts w:ascii="Times New Roman" w:hAnsi="Times New Roman" w:cs="Times New Roman"/>
          <w:sz w:val="24"/>
        </w:rPr>
        <w:t xml:space="preserve">AIC. </w:t>
      </w:r>
      <w:r w:rsidR="00FB2BDF">
        <w:rPr>
          <w:rFonts w:ascii="Times New Roman" w:hAnsi="Times New Roman" w:cs="Times New Roman"/>
          <w:sz w:val="24"/>
        </w:rPr>
        <w:t xml:space="preserve">Nous </w:t>
      </w:r>
      <w:r w:rsidR="004C706F">
        <w:rPr>
          <w:rFonts w:ascii="Times New Roman" w:hAnsi="Times New Roman" w:cs="Times New Roman"/>
          <w:sz w:val="24"/>
        </w:rPr>
        <w:t>désignons</w:t>
      </w:r>
      <w:r w:rsidR="00FB2BDF">
        <w:rPr>
          <w:rFonts w:ascii="Times New Roman" w:hAnsi="Times New Roman" w:cs="Times New Roman"/>
          <w:sz w:val="24"/>
        </w:rPr>
        <w:t xml:space="preserve"> par p le nombre de retard</w:t>
      </w:r>
      <w:r w:rsidR="00973553">
        <w:rPr>
          <w:rFonts w:ascii="Times New Roman" w:hAnsi="Times New Roman" w:cs="Times New Roman"/>
          <w:sz w:val="24"/>
        </w:rPr>
        <w:t>s</w:t>
      </w:r>
      <w:r w:rsidR="00FB2BDF">
        <w:rPr>
          <w:rFonts w:ascii="Times New Roman" w:hAnsi="Times New Roman" w:cs="Times New Roman"/>
          <w:sz w:val="24"/>
        </w:rPr>
        <w:t xml:space="preserve"> </w:t>
      </w:r>
      <w:r w:rsidR="00FB2BDF" w:rsidRPr="00E96DB6">
        <w:rPr>
          <w:rFonts w:ascii="Times New Roman" w:hAnsi="Times New Roman" w:cs="Times New Roman"/>
          <w:sz w:val="24"/>
        </w:rPr>
        <w:t xml:space="preserve">pour les variables </w:t>
      </w:r>
      <w:r w:rsidR="004C706F" w:rsidRPr="00E96DB6">
        <w:rPr>
          <w:rFonts w:ascii="Times New Roman" w:hAnsi="Times New Roman" w:cs="Times New Roman"/>
          <w:sz w:val="24"/>
        </w:rPr>
        <w:t>indépendante</w:t>
      </w:r>
      <w:r w:rsidR="00E31C0A" w:rsidRPr="00E96DB6">
        <w:rPr>
          <w:rFonts w:ascii="Times New Roman" w:hAnsi="Times New Roman" w:cs="Times New Roman"/>
          <w:sz w:val="24"/>
        </w:rPr>
        <w:t>s</w:t>
      </w:r>
      <w:r w:rsidR="00FB2BDF">
        <w:rPr>
          <w:rFonts w:ascii="Times New Roman" w:hAnsi="Times New Roman" w:cs="Times New Roman"/>
          <w:sz w:val="24"/>
        </w:rPr>
        <w:t xml:space="preserve"> et q </w:t>
      </w:r>
      <w:r w:rsidR="00E31C0A">
        <w:rPr>
          <w:rFonts w:ascii="Times New Roman" w:hAnsi="Times New Roman" w:cs="Times New Roman"/>
          <w:sz w:val="24"/>
        </w:rPr>
        <w:t xml:space="preserve">pour </w:t>
      </w:r>
      <w:r w:rsidR="00FB2BDF">
        <w:rPr>
          <w:rFonts w:ascii="Times New Roman" w:hAnsi="Times New Roman" w:cs="Times New Roman"/>
          <w:sz w:val="24"/>
        </w:rPr>
        <w:t xml:space="preserve">la variable </w:t>
      </w:r>
      <w:r w:rsidR="004C706F">
        <w:rPr>
          <w:rFonts w:ascii="Times New Roman" w:hAnsi="Times New Roman" w:cs="Times New Roman"/>
          <w:sz w:val="24"/>
        </w:rPr>
        <w:t>dépendante</w:t>
      </w:r>
      <w:r w:rsidR="00FB2BDF">
        <w:rPr>
          <w:rFonts w:ascii="Times New Roman" w:hAnsi="Times New Roman" w:cs="Times New Roman"/>
          <w:sz w:val="24"/>
        </w:rPr>
        <w:t xml:space="preserve">. </w:t>
      </w:r>
      <w:r w:rsidR="009961ED">
        <w:rPr>
          <w:rFonts w:ascii="Times New Roman" w:hAnsi="Times New Roman" w:cs="Times New Roman"/>
          <w:sz w:val="24"/>
        </w:rPr>
        <w:t xml:space="preserve">Les </w:t>
      </w:r>
      <w:r w:rsidR="004C706F">
        <w:rPr>
          <w:rFonts w:ascii="Times New Roman" w:hAnsi="Times New Roman" w:cs="Times New Roman"/>
          <w:sz w:val="24"/>
        </w:rPr>
        <w:t>résultats</w:t>
      </w:r>
      <w:r w:rsidR="009961ED">
        <w:rPr>
          <w:rFonts w:ascii="Times New Roman" w:hAnsi="Times New Roman" w:cs="Times New Roman"/>
          <w:sz w:val="24"/>
        </w:rPr>
        <w:t xml:space="preserve"> sont consignés dans le tableau ci-dessous. </w:t>
      </w:r>
    </w:p>
    <w:p w14:paraId="1F89C45D" w14:textId="2298010C" w:rsidR="0013449F" w:rsidRPr="001C4A67" w:rsidRDefault="001C4A67" w:rsidP="00E45A8F">
      <w:pPr>
        <w:jc w:val="both"/>
        <w:rPr>
          <w:rFonts w:ascii="Times New Roman" w:hAnsi="Times New Roman" w:cs="Times New Roman"/>
          <w:b/>
          <w:sz w:val="32"/>
        </w:rPr>
      </w:pPr>
      <w:r w:rsidRPr="001C4A67">
        <w:rPr>
          <w:rFonts w:ascii="Times New Roman" w:eastAsia="Times New Roman" w:hAnsi="Times New Roman" w:cs="Times New Roman"/>
          <w:b/>
          <w:color w:val="000000"/>
          <w:sz w:val="24"/>
          <w:szCs w:val="20"/>
          <w:lang w:eastAsia="fr-FR"/>
        </w:rPr>
        <w:t>Tableau 8 : Détermination du retard optimal pour Bound test</w:t>
      </w:r>
    </w:p>
    <w:tbl>
      <w:tblPr>
        <w:tblStyle w:val="Tableausimple2"/>
        <w:tblW w:w="9280" w:type="dxa"/>
        <w:jc w:val="center"/>
        <w:tblLook w:val="04A0" w:firstRow="1" w:lastRow="0" w:firstColumn="1" w:lastColumn="0" w:noHBand="0" w:noVBand="1"/>
      </w:tblPr>
      <w:tblGrid>
        <w:gridCol w:w="3552"/>
        <w:gridCol w:w="1906"/>
        <w:gridCol w:w="1906"/>
        <w:gridCol w:w="1916"/>
      </w:tblGrid>
      <w:tr w:rsidR="0013449F" w:rsidRPr="0013449F" w14:paraId="3C029884" w14:textId="77777777" w:rsidTr="00645EEA">
        <w:trPr>
          <w:cnfStyle w:val="100000000000" w:firstRow="1" w:lastRow="0" w:firstColumn="0" w:lastColumn="0" w:oddVBand="0" w:evenVBand="0" w:oddHBand="0"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9280" w:type="dxa"/>
            <w:gridSpan w:val="4"/>
            <w:noWrap/>
            <w:vAlign w:val="center"/>
            <w:hideMark/>
          </w:tcPr>
          <w:p w14:paraId="0EED2DCC" w14:textId="3FBEDA9D" w:rsidR="0013449F" w:rsidRPr="0013449F" w:rsidRDefault="004352B7" w:rsidP="003E4721">
            <w:pPr>
              <w:jc w:val="center"/>
              <w:rPr>
                <w:rFonts w:ascii="Times New Roman" w:eastAsia="Times New Roman" w:hAnsi="Times New Roman" w:cs="Times New Roman"/>
                <w:color w:val="000000"/>
                <w:sz w:val="20"/>
                <w:szCs w:val="20"/>
                <w:lang w:eastAsia="fr-FR"/>
              </w:rPr>
            </w:pPr>
            <w:r>
              <w:rPr>
                <w:rFonts w:ascii="Times New Roman" w:eastAsia="Times New Roman" w:hAnsi="Times New Roman" w:cs="Times New Roman"/>
                <w:color w:val="000000"/>
                <w:sz w:val="20"/>
                <w:szCs w:val="20"/>
                <w:lang w:eastAsia="fr-FR"/>
              </w:rPr>
              <w:t>Table des résultats</w:t>
            </w:r>
          </w:p>
        </w:tc>
      </w:tr>
      <w:tr w:rsidR="003E4721" w:rsidRPr="003E4721" w14:paraId="4FD7C273" w14:textId="77777777" w:rsidTr="001C4A67">
        <w:trPr>
          <w:cnfStyle w:val="000000100000" w:firstRow="0" w:lastRow="0" w:firstColumn="0" w:lastColumn="0" w:oddVBand="0" w:evenVBand="0" w:oddHBand="1"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3552" w:type="dxa"/>
            <w:noWrap/>
            <w:vAlign w:val="center"/>
            <w:hideMark/>
          </w:tcPr>
          <w:p w14:paraId="4AA1DCA4" w14:textId="77777777" w:rsidR="0013449F" w:rsidRPr="0013449F" w:rsidRDefault="0013449F" w:rsidP="003E4721">
            <w:pPr>
              <w:jc w:val="center"/>
              <w:rPr>
                <w:rFonts w:ascii="Times New Roman" w:eastAsia="Times New Roman" w:hAnsi="Times New Roman" w:cs="Times New Roman"/>
                <w:color w:val="000000"/>
                <w:sz w:val="20"/>
                <w:szCs w:val="20"/>
                <w:lang w:eastAsia="fr-FR"/>
              </w:rPr>
            </w:pPr>
          </w:p>
        </w:tc>
        <w:tc>
          <w:tcPr>
            <w:tcW w:w="1906" w:type="dxa"/>
            <w:noWrap/>
            <w:vAlign w:val="center"/>
            <w:hideMark/>
          </w:tcPr>
          <w:p w14:paraId="3E9A4D81" w14:textId="77777777" w:rsidR="0013449F" w:rsidRPr="0013449F" w:rsidRDefault="0013449F" w:rsidP="003E47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13449F">
              <w:rPr>
                <w:rFonts w:ascii="Times New Roman" w:eastAsia="Times New Roman" w:hAnsi="Times New Roman" w:cs="Times New Roman"/>
                <w:color w:val="000000"/>
                <w:sz w:val="20"/>
                <w:szCs w:val="20"/>
                <w:lang w:eastAsia="fr-FR"/>
              </w:rPr>
              <w:t>q = 1</w:t>
            </w:r>
          </w:p>
        </w:tc>
        <w:tc>
          <w:tcPr>
            <w:tcW w:w="1906" w:type="dxa"/>
            <w:noWrap/>
            <w:vAlign w:val="center"/>
            <w:hideMark/>
          </w:tcPr>
          <w:p w14:paraId="409C241B" w14:textId="77777777" w:rsidR="0013449F" w:rsidRPr="0013449F" w:rsidRDefault="0013449F" w:rsidP="003E47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13449F">
              <w:rPr>
                <w:rFonts w:ascii="Times New Roman" w:eastAsia="Times New Roman" w:hAnsi="Times New Roman" w:cs="Times New Roman"/>
                <w:color w:val="000000"/>
                <w:sz w:val="20"/>
                <w:szCs w:val="20"/>
                <w:lang w:eastAsia="fr-FR"/>
              </w:rPr>
              <w:t>q = 2</w:t>
            </w:r>
          </w:p>
        </w:tc>
        <w:tc>
          <w:tcPr>
            <w:tcW w:w="1916" w:type="dxa"/>
            <w:noWrap/>
            <w:vAlign w:val="center"/>
            <w:hideMark/>
          </w:tcPr>
          <w:p w14:paraId="4121FC45" w14:textId="77777777" w:rsidR="0013449F" w:rsidRPr="0013449F" w:rsidRDefault="0013449F" w:rsidP="003E47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13449F">
              <w:rPr>
                <w:rFonts w:ascii="Times New Roman" w:eastAsia="Times New Roman" w:hAnsi="Times New Roman" w:cs="Times New Roman"/>
                <w:color w:val="000000"/>
                <w:sz w:val="20"/>
                <w:szCs w:val="20"/>
                <w:lang w:eastAsia="fr-FR"/>
              </w:rPr>
              <w:t>q = 3</w:t>
            </w:r>
          </w:p>
        </w:tc>
      </w:tr>
      <w:tr w:rsidR="003E4721" w:rsidRPr="003E4721" w14:paraId="720F8EEF" w14:textId="77777777" w:rsidTr="001C4A67">
        <w:trPr>
          <w:trHeight w:val="245"/>
          <w:jc w:val="center"/>
        </w:trPr>
        <w:tc>
          <w:tcPr>
            <w:cnfStyle w:val="001000000000" w:firstRow="0" w:lastRow="0" w:firstColumn="1" w:lastColumn="0" w:oddVBand="0" w:evenVBand="0" w:oddHBand="0" w:evenHBand="0" w:firstRowFirstColumn="0" w:firstRowLastColumn="0" w:lastRowFirstColumn="0" w:lastRowLastColumn="0"/>
            <w:tcW w:w="3552" w:type="dxa"/>
            <w:noWrap/>
            <w:vAlign w:val="center"/>
            <w:hideMark/>
          </w:tcPr>
          <w:p w14:paraId="234B9863" w14:textId="77777777" w:rsidR="0013449F" w:rsidRPr="0013449F" w:rsidRDefault="0013449F" w:rsidP="003E4721">
            <w:pPr>
              <w:jc w:val="center"/>
              <w:rPr>
                <w:rFonts w:ascii="Times New Roman" w:eastAsia="Times New Roman" w:hAnsi="Times New Roman" w:cs="Times New Roman"/>
                <w:color w:val="000000"/>
                <w:sz w:val="20"/>
                <w:szCs w:val="20"/>
                <w:lang w:eastAsia="fr-FR"/>
              </w:rPr>
            </w:pPr>
            <w:r w:rsidRPr="0013449F">
              <w:rPr>
                <w:rFonts w:ascii="Times New Roman" w:eastAsia="Times New Roman" w:hAnsi="Times New Roman" w:cs="Times New Roman"/>
                <w:color w:val="000000"/>
                <w:sz w:val="20"/>
                <w:szCs w:val="20"/>
                <w:lang w:eastAsia="fr-FR"/>
              </w:rPr>
              <w:t>p = 1</w:t>
            </w:r>
          </w:p>
        </w:tc>
        <w:tc>
          <w:tcPr>
            <w:tcW w:w="1906" w:type="dxa"/>
            <w:noWrap/>
            <w:vAlign w:val="center"/>
            <w:hideMark/>
          </w:tcPr>
          <w:p w14:paraId="2621C2F1" w14:textId="77777777" w:rsidR="0013449F" w:rsidRPr="0013449F" w:rsidRDefault="0013449F" w:rsidP="003E47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13449F">
              <w:rPr>
                <w:rFonts w:ascii="Times New Roman" w:eastAsia="Times New Roman" w:hAnsi="Times New Roman" w:cs="Times New Roman"/>
                <w:color w:val="000000"/>
                <w:sz w:val="20"/>
                <w:szCs w:val="20"/>
                <w:lang w:eastAsia="fr-FR"/>
              </w:rPr>
              <w:t>-3632.91</w:t>
            </w:r>
          </w:p>
        </w:tc>
        <w:tc>
          <w:tcPr>
            <w:tcW w:w="1906" w:type="dxa"/>
            <w:noWrap/>
            <w:vAlign w:val="center"/>
            <w:hideMark/>
          </w:tcPr>
          <w:p w14:paraId="78405B22" w14:textId="77777777" w:rsidR="0013449F" w:rsidRPr="0013449F" w:rsidRDefault="0013449F" w:rsidP="003E47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13449F">
              <w:rPr>
                <w:rFonts w:ascii="Times New Roman" w:eastAsia="Times New Roman" w:hAnsi="Times New Roman" w:cs="Times New Roman"/>
                <w:color w:val="000000"/>
                <w:sz w:val="20"/>
                <w:szCs w:val="20"/>
                <w:lang w:eastAsia="fr-FR"/>
              </w:rPr>
              <w:t>-3966.2</w:t>
            </w:r>
          </w:p>
        </w:tc>
        <w:tc>
          <w:tcPr>
            <w:tcW w:w="1916" w:type="dxa"/>
            <w:noWrap/>
            <w:vAlign w:val="center"/>
            <w:hideMark/>
          </w:tcPr>
          <w:p w14:paraId="57F52169" w14:textId="77777777" w:rsidR="0013449F" w:rsidRPr="0013449F" w:rsidRDefault="0013449F" w:rsidP="003E47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13449F">
              <w:rPr>
                <w:rFonts w:ascii="Times New Roman" w:eastAsia="Times New Roman" w:hAnsi="Times New Roman" w:cs="Times New Roman"/>
                <w:color w:val="000000"/>
                <w:sz w:val="20"/>
                <w:szCs w:val="20"/>
                <w:lang w:eastAsia="fr-FR"/>
              </w:rPr>
              <w:t>-3946.46</w:t>
            </w:r>
          </w:p>
        </w:tc>
      </w:tr>
      <w:tr w:rsidR="003E4721" w:rsidRPr="003E4721" w14:paraId="036DFB6F" w14:textId="77777777" w:rsidTr="001C4A67">
        <w:trPr>
          <w:cnfStyle w:val="000000100000" w:firstRow="0" w:lastRow="0" w:firstColumn="0" w:lastColumn="0" w:oddVBand="0" w:evenVBand="0" w:oddHBand="1"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3552" w:type="dxa"/>
            <w:noWrap/>
            <w:vAlign w:val="center"/>
            <w:hideMark/>
          </w:tcPr>
          <w:p w14:paraId="59EB6633" w14:textId="77777777" w:rsidR="0013449F" w:rsidRPr="0013449F" w:rsidRDefault="0013449F" w:rsidP="003E4721">
            <w:pPr>
              <w:jc w:val="center"/>
              <w:rPr>
                <w:rFonts w:ascii="Times New Roman" w:eastAsia="Times New Roman" w:hAnsi="Times New Roman" w:cs="Times New Roman"/>
                <w:color w:val="000000"/>
                <w:sz w:val="20"/>
                <w:szCs w:val="20"/>
                <w:lang w:eastAsia="fr-FR"/>
              </w:rPr>
            </w:pPr>
            <w:r w:rsidRPr="0013449F">
              <w:rPr>
                <w:rFonts w:ascii="Times New Roman" w:eastAsia="Times New Roman" w:hAnsi="Times New Roman" w:cs="Times New Roman"/>
                <w:color w:val="000000"/>
                <w:sz w:val="20"/>
                <w:szCs w:val="20"/>
                <w:lang w:eastAsia="fr-FR"/>
              </w:rPr>
              <w:t>p = 2</w:t>
            </w:r>
          </w:p>
        </w:tc>
        <w:tc>
          <w:tcPr>
            <w:tcW w:w="1906" w:type="dxa"/>
            <w:noWrap/>
            <w:vAlign w:val="center"/>
            <w:hideMark/>
          </w:tcPr>
          <w:p w14:paraId="36BCAAA3" w14:textId="77777777" w:rsidR="0013449F" w:rsidRPr="0013449F" w:rsidRDefault="0013449F" w:rsidP="003E47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13449F">
              <w:rPr>
                <w:rFonts w:ascii="Times New Roman" w:eastAsia="Times New Roman" w:hAnsi="Times New Roman" w:cs="Times New Roman"/>
                <w:color w:val="000000"/>
                <w:sz w:val="20"/>
                <w:szCs w:val="20"/>
                <w:lang w:eastAsia="fr-FR"/>
              </w:rPr>
              <w:t>-3613.46</w:t>
            </w:r>
          </w:p>
        </w:tc>
        <w:tc>
          <w:tcPr>
            <w:tcW w:w="1906" w:type="dxa"/>
            <w:noWrap/>
            <w:vAlign w:val="center"/>
            <w:hideMark/>
          </w:tcPr>
          <w:p w14:paraId="7EEB0F92" w14:textId="77777777" w:rsidR="0013449F" w:rsidRPr="0013449F" w:rsidRDefault="0013449F" w:rsidP="003E47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13449F">
              <w:rPr>
                <w:rFonts w:ascii="Times New Roman" w:eastAsia="Times New Roman" w:hAnsi="Times New Roman" w:cs="Times New Roman"/>
                <w:color w:val="000000"/>
                <w:sz w:val="20"/>
                <w:szCs w:val="20"/>
                <w:lang w:eastAsia="fr-FR"/>
              </w:rPr>
              <w:t>-3960.48</w:t>
            </w:r>
          </w:p>
        </w:tc>
        <w:tc>
          <w:tcPr>
            <w:tcW w:w="1916" w:type="dxa"/>
            <w:noWrap/>
            <w:vAlign w:val="center"/>
            <w:hideMark/>
          </w:tcPr>
          <w:p w14:paraId="1AC14482" w14:textId="77777777" w:rsidR="0013449F" w:rsidRPr="0013449F" w:rsidRDefault="0013449F" w:rsidP="003E47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13449F">
              <w:rPr>
                <w:rFonts w:ascii="Times New Roman" w:eastAsia="Times New Roman" w:hAnsi="Times New Roman" w:cs="Times New Roman"/>
                <w:color w:val="000000"/>
                <w:sz w:val="20"/>
                <w:szCs w:val="20"/>
                <w:lang w:eastAsia="fr-FR"/>
              </w:rPr>
              <w:t>-3940.85</w:t>
            </w:r>
          </w:p>
        </w:tc>
      </w:tr>
      <w:tr w:rsidR="003E4721" w:rsidRPr="003E4721" w14:paraId="5AC30483" w14:textId="77777777" w:rsidTr="001C4A67">
        <w:trPr>
          <w:trHeight w:val="245"/>
          <w:jc w:val="center"/>
        </w:trPr>
        <w:tc>
          <w:tcPr>
            <w:cnfStyle w:val="001000000000" w:firstRow="0" w:lastRow="0" w:firstColumn="1" w:lastColumn="0" w:oddVBand="0" w:evenVBand="0" w:oddHBand="0" w:evenHBand="0" w:firstRowFirstColumn="0" w:firstRowLastColumn="0" w:lastRowFirstColumn="0" w:lastRowLastColumn="0"/>
            <w:tcW w:w="3552" w:type="dxa"/>
            <w:noWrap/>
            <w:vAlign w:val="center"/>
            <w:hideMark/>
          </w:tcPr>
          <w:p w14:paraId="2D537A63" w14:textId="77777777" w:rsidR="0013449F" w:rsidRPr="0013449F" w:rsidRDefault="0013449F" w:rsidP="003E4721">
            <w:pPr>
              <w:jc w:val="center"/>
              <w:rPr>
                <w:rFonts w:ascii="Times New Roman" w:eastAsia="Times New Roman" w:hAnsi="Times New Roman" w:cs="Times New Roman"/>
                <w:color w:val="000000"/>
                <w:sz w:val="20"/>
                <w:szCs w:val="20"/>
                <w:lang w:eastAsia="fr-FR"/>
              </w:rPr>
            </w:pPr>
            <w:r w:rsidRPr="0013449F">
              <w:rPr>
                <w:rFonts w:ascii="Times New Roman" w:eastAsia="Times New Roman" w:hAnsi="Times New Roman" w:cs="Times New Roman"/>
                <w:color w:val="000000"/>
                <w:sz w:val="20"/>
                <w:szCs w:val="20"/>
                <w:lang w:eastAsia="fr-FR"/>
              </w:rPr>
              <w:t>p = 3</w:t>
            </w:r>
          </w:p>
        </w:tc>
        <w:tc>
          <w:tcPr>
            <w:tcW w:w="1906" w:type="dxa"/>
            <w:noWrap/>
            <w:vAlign w:val="center"/>
            <w:hideMark/>
          </w:tcPr>
          <w:p w14:paraId="768AF01E" w14:textId="77777777" w:rsidR="0013449F" w:rsidRPr="0013449F" w:rsidRDefault="0013449F" w:rsidP="003E47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13449F">
              <w:rPr>
                <w:rFonts w:ascii="Times New Roman" w:eastAsia="Times New Roman" w:hAnsi="Times New Roman" w:cs="Times New Roman"/>
                <w:color w:val="000000"/>
                <w:sz w:val="20"/>
                <w:szCs w:val="20"/>
                <w:lang w:eastAsia="fr-FR"/>
              </w:rPr>
              <w:t>-3936.93</w:t>
            </w:r>
          </w:p>
        </w:tc>
        <w:tc>
          <w:tcPr>
            <w:tcW w:w="1906" w:type="dxa"/>
            <w:noWrap/>
            <w:vAlign w:val="center"/>
            <w:hideMark/>
          </w:tcPr>
          <w:p w14:paraId="4B2AAC07" w14:textId="77777777" w:rsidR="0013449F" w:rsidRPr="0013449F" w:rsidRDefault="0013449F" w:rsidP="003E47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13449F">
              <w:rPr>
                <w:rFonts w:ascii="Times New Roman" w:eastAsia="Times New Roman" w:hAnsi="Times New Roman" w:cs="Times New Roman"/>
                <w:color w:val="000000"/>
                <w:sz w:val="20"/>
                <w:szCs w:val="20"/>
                <w:lang w:eastAsia="fr-FR"/>
              </w:rPr>
              <w:t>-3936.93</w:t>
            </w:r>
          </w:p>
        </w:tc>
        <w:tc>
          <w:tcPr>
            <w:tcW w:w="1916" w:type="dxa"/>
            <w:noWrap/>
            <w:vAlign w:val="center"/>
            <w:hideMark/>
          </w:tcPr>
          <w:p w14:paraId="3F166F92" w14:textId="77777777" w:rsidR="0013449F" w:rsidRPr="0013449F" w:rsidRDefault="0013449F" w:rsidP="003E47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13449F">
              <w:rPr>
                <w:rFonts w:ascii="Times New Roman" w:eastAsia="Times New Roman" w:hAnsi="Times New Roman" w:cs="Times New Roman"/>
                <w:color w:val="000000"/>
                <w:sz w:val="20"/>
                <w:szCs w:val="20"/>
                <w:lang w:eastAsia="fr-FR"/>
              </w:rPr>
              <w:t>-3935.1</w:t>
            </w:r>
          </w:p>
        </w:tc>
      </w:tr>
      <w:tr w:rsidR="003E4721" w:rsidRPr="003E4721" w14:paraId="58207601" w14:textId="77777777" w:rsidTr="001C4A67">
        <w:trPr>
          <w:cnfStyle w:val="000000100000" w:firstRow="0" w:lastRow="0" w:firstColumn="0" w:lastColumn="0" w:oddVBand="0" w:evenVBand="0" w:oddHBand="1"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3552" w:type="dxa"/>
            <w:noWrap/>
            <w:vAlign w:val="center"/>
            <w:hideMark/>
          </w:tcPr>
          <w:p w14:paraId="0690F294" w14:textId="77777777" w:rsidR="0013449F" w:rsidRPr="0013449F" w:rsidRDefault="0013449F" w:rsidP="003E4721">
            <w:pPr>
              <w:jc w:val="center"/>
              <w:rPr>
                <w:rFonts w:ascii="Times New Roman" w:eastAsia="Times New Roman" w:hAnsi="Times New Roman" w:cs="Times New Roman"/>
                <w:color w:val="000000"/>
                <w:sz w:val="20"/>
                <w:szCs w:val="20"/>
                <w:lang w:eastAsia="fr-FR"/>
              </w:rPr>
            </w:pPr>
            <w:r w:rsidRPr="0013449F">
              <w:rPr>
                <w:rFonts w:ascii="Times New Roman" w:eastAsia="Times New Roman" w:hAnsi="Times New Roman" w:cs="Times New Roman"/>
                <w:color w:val="000000"/>
                <w:sz w:val="20"/>
                <w:szCs w:val="20"/>
                <w:lang w:eastAsia="fr-FR"/>
              </w:rPr>
              <w:t>p = 4</w:t>
            </w:r>
          </w:p>
        </w:tc>
        <w:tc>
          <w:tcPr>
            <w:tcW w:w="1906" w:type="dxa"/>
            <w:noWrap/>
            <w:vAlign w:val="center"/>
            <w:hideMark/>
          </w:tcPr>
          <w:p w14:paraId="01B6DB35" w14:textId="77777777" w:rsidR="0013449F" w:rsidRPr="0013449F" w:rsidRDefault="0013449F" w:rsidP="003E47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13449F">
              <w:rPr>
                <w:rFonts w:ascii="Times New Roman" w:eastAsia="Times New Roman" w:hAnsi="Times New Roman" w:cs="Times New Roman"/>
                <w:color w:val="000000"/>
                <w:sz w:val="20"/>
                <w:szCs w:val="20"/>
                <w:lang w:eastAsia="fr-FR"/>
              </w:rPr>
              <w:t>-3896.16</w:t>
            </w:r>
          </w:p>
        </w:tc>
        <w:tc>
          <w:tcPr>
            <w:tcW w:w="1906" w:type="dxa"/>
            <w:noWrap/>
            <w:vAlign w:val="center"/>
            <w:hideMark/>
          </w:tcPr>
          <w:p w14:paraId="5F041FA6" w14:textId="77777777" w:rsidR="0013449F" w:rsidRPr="0013449F" w:rsidRDefault="0013449F" w:rsidP="003E47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13449F">
              <w:rPr>
                <w:rFonts w:ascii="Times New Roman" w:eastAsia="Times New Roman" w:hAnsi="Times New Roman" w:cs="Times New Roman"/>
                <w:color w:val="000000"/>
                <w:sz w:val="20"/>
                <w:szCs w:val="20"/>
                <w:lang w:eastAsia="fr-FR"/>
              </w:rPr>
              <w:t>-3911.51</w:t>
            </w:r>
          </w:p>
        </w:tc>
        <w:tc>
          <w:tcPr>
            <w:tcW w:w="1916" w:type="dxa"/>
            <w:noWrap/>
            <w:vAlign w:val="center"/>
            <w:hideMark/>
          </w:tcPr>
          <w:p w14:paraId="3C3F0145" w14:textId="77777777" w:rsidR="0013449F" w:rsidRPr="0013449F" w:rsidRDefault="0013449F" w:rsidP="003E47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13449F">
              <w:rPr>
                <w:rFonts w:ascii="Times New Roman" w:eastAsia="Times New Roman" w:hAnsi="Times New Roman" w:cs="Times New Roman"/>
                <w:color w:val="000000"/>
                <w:sz w:val="20"/>
                <w:szCs w:val="20"/>
                <w:lang w:eastAsia="fr-FR"/>
              </w:rPr>
              <w:t>-3911.51</w:t>
            </w:r>
          </w:p>
        </w:tc>
      </w:tr>
      <w:tr w:rsidR="003E4721" w:rsidRPr="003E4721" w14:paraId="5C852969" w14:textId="77777777" w:rsidTr="001C4A67">
        <w:trPr>
          <w:trHeight w:val="245"/>
          <w:jc w:val="center"/>
        </w:trPr>
        <w:tc>
          <w:tcPr>
            <w:cnfStyle w:val="001000000000" w:firstRow="0" w:lastRow="0" w:firstColumn="1" w:lastColumn="0" w:oddVBand="0" w:evenVBand="0" w:oddHBand="0" w:evenHBand="0" w:firstRowFirstColumn="0" w:firstRowLastColumn="0" w:lastRowFirstColumn="0" w:lastRowLastColumn="0"/>
            <w:tcW w:w="3552" w:type="dxa"/>
            <w:noWrap/>
            <w:vAlign w:val="center"/>
            <w:hideMark/>
          </w:tcPr>
          <w:p w14:paraId="705BD835" w14:textId="77777777" w:rsidR="0013449F" w:rsidRPr="0013449F" w:rsidRDefault="0013449F" w:rsidP="003E4721">
            <w:pPr>
              <w:jc w:val="center"/>
              <w:rPr>
                <w:rFonts w:ascii="Times New Roman" w:eastAsia="Times New Roman" w:hAnsi="Times New Roman" w:cs="Times New Roman"/>
                <w:color w:val="000000"/>
                <w:sz w:val="20"/>
                <w:szCs w:val="20"/>
                <w:lang w:eastAsia="fr-FR"/>
              </w:rPr>
            </w:pPr>
          </w:p>
        </w:tc>
        <w:tc>
          <w:tcPr>
            <w:tcW w:w="1906" w:type="dxa"/>
            <w:noWrap/>
            <w:vAlign w:val="center"/>
            <w:hideMark/>
          </w:tcPr>
          <w:p w14:paraId="0E824CE9" w14:textId="77777777" w:rsidR="0013449F" w:rsidRPr="0013449F" w:rsidRDefault="0013449F" w:rsidP="003E47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fr-FR"/>
              </w:rPr>
            </w:pPr>
          </w:p>
        </w:tc>
        <w:tc>
          <w:tcPr>
            <w:tcW w:w="1906" w:type="dxa"/>
            <w:noWrap/>
            <w:vAlign w:val="center"/>
            <w:hideMark/>
          </w:tcPr>
          <w:p w14:paraId="37CD5099" w14:textId="77777777" w:rsidR="0013449F" w:rsidRPr="0013449F" w:rsidRDefault="0013449F" w:rsidP="003E47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fr-FR"/>
              </w:rPr>
            </w:pPr>
          </w:p>
        </w:tc>
        <w:tc>
          <w:tcPr>
            <w:tcW w:w="1916" w:type="dxa"/>
            <w:noWrap/>
            <w:vAlign w:val="center"/>
            <w:hideMark/>
          </w:tcPr>
          <w:p w14:paraId="5A99E222" w14:textId="77777777" w:rsidR="0013449F" w:rsidRPr="0013449F" w:rsidRDefault="0013449F" w:rsidP="003E47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fr-FR"/>
              </w:rPr>
            </w:pPr>
          </w:p>
        </w:tc>
      </w:tr>
      <w:tr w:rsidR="003E4721" w:rsidRPr="003E4721" w14:paraId="2DDA91EC" w14:textId="77777777" w:rsidTr="001C4A67">
        <w:trPr>
          <w:cnfStyle w:val="000000100000" w:firstRow="0" w:lastRow="0" w:firstColumn="0" w:lastColumn="0" w:oddVBand="0" w:evenVBand="0" w:oddHBand="1"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3552" w:type="dxa"/>
            <w:noWrap/>
            <w:vAlign w:val="center"/>
            <w:hideMark/>
          </w:tcPr>
          <w:p w14:paraId="7B929308" w14:textId="4A50492D" w:rsidR="0013449F" w:rsidRPr="0013449F" w:rsidRDefault="003E4721" w:rsidP="003E4721">
            <w:pPr>
              <w:jc w:val="center"/>
              <w:rPr>
                <w:rFonts w:ascii="Times New Roman" w:eastAsia="Times New Roman" w:hAnsi="Times New Roman" w:cs="Times New Roman"/>
                <w:color w:val="000000"/>
                <w:sz w:val="20"/>
                <w:szCs w:val="20"/>
                <w:lang w:eastAsia="fr-FR"/>
              </w:rPr>
            </w:pPr>
            <w:r w:rsidRPr="0013449F">
              <w:rPr>
                <w:rFonts w:ascii="Times New Roman" w:eastAsia="Times New Roman" w:hAnsi="Times New Roman" w:cs="Times New Roman"/>
                <w:color w:val="000000"/>
                <w:sz w:val="20"/>
                <w:szCs w:val="20"/>
                <w:lang w:eastAsia="fr-FR"/>
              </w:rPr>
              <w:t>min.</w:t>
            </w:r>
            <w:r>
              <w:rPr>
                <w:rFonts w:ascii="Times New Roman" w:eastAsia="Times New Roman" w:hAnsi="Times New Roman" w:cs="Times New Roman"/>
                <w:color w:val="000000"/>
                <w:sz w:val="20"/>
                <w:szCs w:val="20"/>
                <w:lang w:eastAsia="fr-FR"/>
              </w:rPr>
              <w:t xml:space="preserve"> </w:t>
            </w:r>
            <w:r w:rsidRPr="0013449F">
              <w:rPr>
                <w:rFonts w:ascii="Times New Roman" w:eastAsia="Times New Roman" w:hAnsi="Times New Roman" w:cs="Times New Roman"/>
                <w:color w:val="000000"/>
                <w:sz w:val="20"/>
                <w:szCs w:val="20"/>
                <w:lang w:eastAsia="fr-FR"/>
              </w:rPr>
              <w:t>Stat</w:t>
            </w:r>
            <w:r w:rsidRPr="003E4721">
              <w:rPr>
                <w:rFonts w:ascii="Times New Roman" w:eastAsia="Times New Roman" w:hAnsi="Times New Roman" w:cs="Times New Roman"/>
                <w:color w:val="000000"/>
                <w:sz w:val="20"/>
                <w:szCs w:val="20"/>
                <w:lang w:eastAsia="fr-FR"/>
              </w:rPr>
              <w:t xml:space="preserve"> : </w:t>
            </w:r>
            <w:r w:rsidRPr="0013449F">
              <w:rPr>
                <w:rFonts w:ascii="Times New Roman" w:eastAsia="Times New Roman" w:hAnsi="Times New Roman" w:cs="Times New Roman"/>
                <w:color w:val="000000"/>
                <w:sz w:val="20"/>
                <w:szCs w:val="20"/>
                <w:lang w:eastAsia="fr-FR"/>
              </w:rPr>
              <w:t>-3966.2</w:t>
            </w:r>
          </w:p>
        </w:tc>
        <w:tc>
          <w:tcPr>
            <w:tcW w:w="1906" w:type="dxa"/>
            <w:noWrap/>
            <w:vAlign w:val="center"/>
            <w:hideMark/>
          </w:tcPr>
          <w:p w14:paraId="411F9DB5" w14:textId="77777777" w:rsidR="0013449F" w:rsidRPr="0013449F" w:rsidRDefault="0013449F" w:rsidP="003E47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p>
        </w:tc>
        <w:tc>
          <w:tcPr>
            <w:tcW w:w="1906" w:type="dxa"/>
            <w:noWrap/>
            <w:vAlign w:val="center"/>
            <w:hideMark/>
          </w:tcPr>
          <w:p w14:paraId="74F1EFB5" w14:textId="77777777" w:rsidR="0013449F" w:rsidRPr="0013449F" w:rsidRDefault="0013449F" w:rsidP="003E47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fr-FR"/>
              </w:rPr>
            </w:pPr>
          </w:p>
        </w:tc>
        <w:tc>
          <w:tcPr>
            <w:tcW w:w="1916" w:type="dxa"/>
            <w:noWrap/>
            <w:vAlign w:val="center"/>
            <w:hideMark/>
          </w:tcPr>
          <w:p w14:paraId="0085F37C" w14:textId="77777777" w:rsidR="0013449F" w:rsidRPr="0013449F" w:rsidRDefault="0013449F" w:rsidP="003E47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fr-FR"/>
              </w:rPr>
            </w:pPr>
          </w:p>
        </w:tc>
      </w:tr>
      <w:tr w:rsidR="003E4721" w:rsidRPr="003E4721" w14:paraId="2C37B04E" w14:textId="77777777" w:rsidTr="001C4A67">
        <w:trPr>
          <w:trHeight w:val="245"/>
          <w:jc w:val="center"/>
        </w:trPr>
        <w:tc>
          <w:tcPr>
            <w:cnfStyle w:val="001000000000" w:firstRow="0" w:lastRow="0" w:firstColumn="1" w:lastColumn="0" w:oddVBand="0" w:evenVBand="0" w:oddHBand="0" w:evenHBand="0" w:firstRowFirstColumn="0" w:firstRowLastColumn="0" w:lastRowFirstColumn="0" w:lastRowLastColumn="0"/>
            <w:tcW w:w="3552" w:type="dxa"/>
            <w:noWrap/>
            <w:vAlign w:val="center"/>
            <w:hideMark/>
          </w:tcPr>
          <w:p w14:paraId="351CD537" w14:textId="77777777" w:rsidR="0013449F" w:rsidRPr="0013449F" w:rsidRDefault="003E4721" w:rsidP="003E4721">
            <w:pPr>
              <w:jc w:val="center"/>
              <w:rPr>
                <w:rFonts w:ascii="Times New Roman" w:eastAsia="Times New Roman" w:hAnsi="Times New Roman" w:cs="Times New Roman"/>
                <w:color w:val="000000"/>
                <w:sz w:val="20"/>
                <w:szCs w:val="20"/>
                <w:lang w:eastAsia="fr-FR"/>
              </w:rPr>
            </w:pPr>
            <w:r w:rsidRPr="003E4721">
              <w:rPr>
                <w:rFonts w:ascii="Times New Roman" w:eastAsia="Times New Roman" w:hAnsi="Times New Roman" w:cs="Times New Roman"/>
                <w:color w:val="000000"/>
                <w:sz w:val="20"/>
                <w:szCs w:val="20"/>
                <w:lang w:eastAsia="fr-FR"/>
              </w:rPr>
              <w:t>p=1 q=2</w:t>
            </w:r>
          </w:p>
        </w:tc>
        <w:tc>
          <w:tcPr>
            <w:tcW w:w="1906" w:type="dxa"/>
            <w:noWrap/>
            <w:vAlign w:val="center"/>
            <w:hideMark/>
          </w:tcPr>
          <w:p w14:paraId="2E2C7317" w14:textId="77777777" w:rsidR="0013449F" w:rsidRPr="0013449F" w:rsidRDefault="0013449F" w:rsidP="003E47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p>
        </w:tc>
        <w:tc>
          <w:tcPr>
            <w:tcW w:w="1906" w:type="dxa"/>
            <w:noWrap/>
            <w:vAlign w:val="center"/>
            <w:hideMark/>
          </w:tcPr>
          <w:p w14:paraId="7A47FBDA" w14:textId="77777777" w:rsidR="0013449F" w:rsidRPr="0013449F" w:rsidRDefault="0013449F" w:rsidP="003E47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fr-FR"/>
              </w:rPr>
            </w:pPr>
          </w:p>
        </w:tc>
        <w:tc>
          <w:tcPr>
            <w:tcW w:w="1916" w:type="dxa"/>
            <w:noWrap/>
            <w:vAlign w:val="center"/>
            <w:hideMark/>
          </w:tcPr>
          <w:p w14:paraId="3695CF1F" w14:textId="77777777" w:rsidR="0013449F" w:rsidRPr="0013449F" w:rsidRDefault="0013449F" w:rsidP="003E47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fr-FR"/>
              </w:rPr>
            </w:pPr>
          </w:p>
        </w:tc>
      </w:tr>
    </w:tbl>
    <w:p w14:paraId="6F736438" w14:textId="424940C0" w:rsidR="00187AE0" w:rsidRDefault="00D318B0" w:rsidP="00E45A8F">
      <w:pPr>
        <w:jc w:val="both"/>
        <w:rPr>
          <w:rFonts w:ascii="Times New Roman" w:hAnsi="Times New Roman" w:cs="Times New Roman"/>
          <w:sz w:val="24"/>
        </w:rPr>
      </w:pPr>
      <w:r>
        <w:rPr>
          <w:rFonts w:ascii="Times New Roman" w:hAnsi="Times New Roman" w:cs="Times New Roman"/>
          <w:sz w:val="24"/>
        </w:rPr>
        <w:t xml:space="preserve"> </w:t>
      </w:r>
      <w:r w:rsidR="004352B7">
        <w:rPr>
          <w:rFonts w:ascii="Times New Roman" w:hAnsi="Times New Roman" w:cs="Times New Roman"/>
          <w:sz w:val="24"/>
        </w:rPr>
        <w:t xml:space="preserve">Source : </w:t>
      </w:r>
      <w:r w:rsidR="00DE6D6E" w:rsidRPr="00317520">
        <w:rPr>
          <w:rFonts w:ascii="Times New Roman" w:eastAsia="Times New Roman" w:hAnsi="Times New Roman" w:cs="Times New Roman"/>
          <w:b/>
          <w:bCs/>
          <w:color w:val="000000"/>
          <w:sz w:val="20"/>
          <w:szCs w:val="20"/>
          <w:lang w:eastAsia="fr-FR"/>
        </w:rPr>
        <w:t xml:space="preserve">Compte déplacements des voyageurs en Île-de-France (Île de France Mobilités) et Île-de-France Mobilités, d'après RATP, </w:t>
      </w:r>
      <w:proofErr w:type="spellStart"/>
      <w:r w:rsidR="00DE6D6E" w:rsidRPr="00317520">
        <w:rPr>
          <w:rFonts w:ascii="Times New Roman" w:eastAsia="Times New Roman" w:hAnsi="Times New Roman" w:cs="Times New Roman"/>
          <w:b/>
          <w:bCs/>
          <w:color w:val="000000"/>
          <w:sz w:val="20"/>
          <w:szCs w:val="20"/>
          <w:lang w:eastAsia="fr-FR"/>
        </w:rPr>
        <w:t>Optile</w:t>
      </w:r>
      <w:proofErr w:type="spellEnd"/>
      <w:r w:rsidR="00DE6D6E" w:rsidRPr="00317520">
        <w:rPr>
          <w:rFonts w:ascii="Times New Roman" w:eastAsia="Times New Roman" w:hAnsi="Times New Roman" w:cs="Times New Roman"/>
          <w:b/>
          <w:bCs/>
          <w:color w:val="000000"/>
          <w:sz w:val="20"/>
          <w:szCs w:val="20"/>
          <w:lang w:eastAsia="fr-FR"/>
        </w:rPr>
        <w:t xml:space="preserve"> et SNCF</w:t>
      </w:r>
      <w:r w:rsidR="00DE6D6E" w:rsidRPr="00317520">
        <w:rPr>
          <w:rFonts w:ascii="Times New Roman" w:hAnsi="Times New Roman" w:cs="Times New Roman"/>
          <w:b/>
          <w:bCs/>
          <w:sz w:val="20"/>
        </w:rPr>
        <w:tab/>
      </w:r>
    </w:p>
    <w:p w14:paraId="38D8A7EA" w14:textId="1E9356E5" w:rsidR="00955DEE" w:rsidRDefault="00955DEE" w:rsidP="00E45A8F">
      <w:pPr>
        <w:jc w:val="both"/>
        <w:rPr>
          <w:rFonts w:ascii="Times New Roman" w:hAnsi="Times New Roman" w:cs="Times New Roman"/>
          <w:sz w:val="24"/>
        </w:rPr>
      </w:pPr>
      <w:r>
        <w:rPr>
          <w:rFonts w:ascii="Times New Roman" w:hAnsi="Times New Roman" w:cs="Times New Roman"/>
          <w:sz w:val="24"/>
        </w:rPr>
        <w:t xml:space="preserve">Une fois le retard optimal </w:t>
      </w:r>
      <w:r w:rsidR="000A480C">
        <w:rPr>
          <w:rFonts w:ascii="Times New Roman" w:hAnsi="Times New Roman" w:cs="Times New Roman"/>
          <w:sz w:val="24"/>
        </w:rPr>
        <w:t>déterminé</w:t>
      </w:r>
      <w:r>
        <w:rPr>
          <w:rFonts w:ascii="Times New Roman" w:hAnsi="Times New Roman" w:cs="Times New Roman"/>
          <w:sz w:val="24"/>
        </w:rPr>
        <w:t xml:space="preserve"> pour </w:t>
      </w:r>
      <w:r w:rsidR="000A480C">
        <w:rPr>
          <w:rFonts w:ascii="Times New Roman" w:hAnsi="Times New Roman" w:cs="Times New Roman"/>
          <w:sz w:val="24"/>
        </w:rPr>
        <w:t>les variables dépendante et indépendante</w:t>
      </w:r>
      <w:r>
        <w:rPr>
          <w:rFonts w:ascii="Times New Roman" w:hAnsi="Times New Roman" w:cs="Times New Roman"/>
          <w:sz w:val="24"/>
        </w:rPr>
        <w:t xml:space="preserve">, nous pouvons passer à la </w:t>
      </w:r>
      <w:r w:rsidR="000A480C">
        <w:rPr>
          <w:rFonts w:ascii="Times New Roman" w:hAnsi="Times New Roman" w:cs="Times New Roman"/>
          <w:sz w:val="24"/>
        </w:rPr>
        <w:t>procédure</w:t>
      </w:r>
      <w:r>
        <w:rPr>
          <w:rFonts w:ascii="Times New Roman" w:hAnsi="Times New Roman" w:cs="Times New Roman"/>
          <w:sz w:val="24"/>
        </w:rPr>
        <w:t xml:space="preserve"> du Bound test. </w:t>
      </w:r>
      <w:r w:rsidR="00291C75">
        <w:rPr>
          <w:rFonts w:ascii="Times New Roman" w:hAnsi="Times New Roman" w:cs="Times New Roman"/>
          <w:sz w:val="24"/>
        </w:rPr>
        <w:t>Cette fois nous nous servons de la fonction « </w:t>
      </w:r>
      <w:proofErr w:type="spellStart"/>
      <w:r w:rsidR="00291C75">
        <w:rPr>
          <w:rFonts w:ascii="Times New Roman" w:hAnsi="Times New Roman" w:cs="Times New Roman"/>
          <w:sz w:val="24"/>
        </w:rPr>
        <w:t>ardlbound</w:t>
      </w:r>
      <w:proofErr w:type="spellEnd"/>
      <w:r w:rsidR="00291C75">
        <w:rPr>
          <w:rFonts w:ascii="Times New Roman" w:hAnsi="Times New Roman" w:cs="Times New Roman"/>
          <w:sz w:val="24"/>
        </w:rPr>
        <w:t> »</w:t>
      </w:r>
      <w:r w:rsidR="00642441">
        <w:rPr>
          <w:rFonts w:ascii="Times New Roman" w:hAnsi="Times New Roman" w:cs="Times New Roman"/>
          <w:sz w:val="24"/>
        </w:rPr>
        <w:t xml:space="preserve">. </w:t>
      </w:r>
      <w:r w:rsidR="000F708D">
        <w:rPr>
          <w:rFonts w:ascii="Times New Roman" w:hAnsi="Times New Roman" w:cs="Times New Roman"/>
          <w:sz w:val="24"/>
        </w:rPr>
        <w:t xml:space="preserve">Celle-ci nous donne la statistique de </w:t>
      </w:r>
      <w:r w:rsidR="004352B7">
        <w:rPr>
          <w:rFonts w:ascii="Times New Roman" w:hAnsi="Times New Roman" w:cs="Times New Roman"/>
          <w:sz w:val="24"/>
        </w:rPr>
        <w:t>Fisher</w:t>
      </w:r>
      <w:r w:rsidR="000F708D">
        <w:rPr>
          <w:rFonts w:ascii="Times New Roman" w:hAnsi="Times New Roman" w:cs="Times New Roman"/>
          <w:sz w:val="24"/>
        </w:rPr>
        <w:t xml:space="preserve"> (F) que nous devons comparer avec les valeurs </w:t>
      </w:r>
      <w:r w:rsidR="00BE0C16">
        <w:rPr>
          <w:rFonts w:ascii="Times New Roman" w:hAnsi="Times New Roman" w:cs="Times New Roman"/>
          <w:sz w:val="24"/>
        </w:rPr>
        <w:t>d</w:t>
      </w:r>
      <w:r w:rsidR="000F708D">
        <w:rPr>
          <w:rFonts w:ascii="Times New Roman" w:hAnsi="Times New Roman" w:cs="Times New Roman"/>
          <w:sz w:val="24"/>
        </w:rPr>
        <w:t>es bornes inf</w:t>
      </w:r>
      <w:r w:rsidR="00CB548F">
        <w:rPr>
          <w:rFonts w:ascii="Times New Roman" w:hAnsi="Times New Roman" w:cs="Times New Roman"/>
          <w:sz w:val="24"/>
        </w:rPr>
        <w:t>é</w:t>
      </w:r>
      <w:r w:rsidR="000F708D">
        <w:rPr>
          <w:rFonts w:ascii="Times New Roman" w:hAnsi="Times New Roman" w:cs="Times New Roman"/>
          <w:sz w:val="24"/>
        </w:rPr>
        <w:t xml:space="preserve">rieure de l’intervalle de confiance I(0) et supérieure I(1). La </w:t>
      </w:r>
      <w:r w:rsidR="000A480C">
        <w:rPr>
          <w:rFonts w:ascii="Times New Roman" w:hAnsi="Times New Roman" w:cs="Times New Roman"/>
          <w:sz w:val="24"/>
        </w:rPr>
        <w:t>décision</w:t>
      </w:r>
      <w:r w:rsidR="000F708D">
        <w:rPr>
          <w:rFonts w:ascii="Times New Roman" w:hAnsi="Times New Roman" w:cs="Times New Roman"/>
          <w:sz w:val="24"/>
        </w:rPr>
        <w:t xml:space="preserve"> de </w:t>
      </w:r>
      <w:r w:rsidR="00CB548F">
        <w:rPr>
          <w:rFonts w:ascii="Times New Roman" w:hAnsi="Times New Roman" w:cs="Times New Roman"/>
          <w:sz w:val="24"/>
        </w:rPr>
        <w:t>Cointégration</w:t>
      </w:r>
      <w:r w:rsidR="000F708D">
        <w:rPr>
          <w:rFonts w:ascii="Times New Roman" w:hAnsi="Times New Roman" w:cs="Times New Roman"/>
          <w:sz w:val="24"/>
        </w:rPr>
        <w:t xml:space="preserve"> se fait selon la </w:t>
      </w:r>
      <w:r w:rsidR="000A480C">
        <w:rPr>
          <w:rFonts w:ascii="Times New Roman" w:hAnsi="Times New Roman" w:cs="Times New Roman"/>
          <w:sz w:val="24"/>
        </w:rPr>
        <w:t>règle</w:t>
      </w:r>
      <w:r w:rsidR="000F708D">
        <w:rPr>
          <w:rFonts w:ascii="Times New Roman" w:hAnsi="Times New Roman" w:cs="Times New Roman"/>
          <w:sz w:val="24"/>
        </w:rPr>
        <w:t xml:space="preserve"> suivante : </w:t>
      </w:r>
    </w:p>
    <w:p w14:paraId="6AAE8150" w14:textId="6AED0315" w:rsidR="000F708D" w:rsidRPr="004E4639" w:rsidRDefault="000F708D" w:rsidP="000F708D">
      <w:pPr>
        <w:pStyle w:val="Paragraphedeliste"/>
        <w:numPr>
          <w:ilvl w:val="0"/>
          <w:numId w:val="8"/>
        </w:numPr>
        <w:autoSpaceDE w:val="0"/>
        <w:autoSpaceDN w:val="0"/>
        <w:adjustRightInd w:val="0"/>
        <w:spacing w:after="0" w:line="360" w:lineRule="auto"/>
        <w:ind w:firstLine="0"/>
        <w:jc w:val="both"/>
        <w:rPr>
          <w:rFonts w:ascii="Times New Roman" w:hAnsi="Times New Roman" w:cs="Times New Roman"/>
          <w:sz w:val="24"/>
          <w:szCs w:val="24"/>
          <w:lang w:val="fr-CA"/>
        </w:rPr>
      </w:pPr>
      <w:r w:rsidRPr="004E4639">
        <w:rPr>
          <w:rFonts w:ascii="Times New Roman" w:hAnsi="Times New Roman" w:cs="Times New Roman"/>
          <w:sz w:val="24"/>
          <w:szCs w:val="24"/>
          <w:lang w:val="fr-CA"/>
        </w:rPr>
        <w:t xml:space="preserve">Si </w:t>
      </w:r>
      <m:oMath>
        <m:r>
          <w:rPr>
            <w:rFonts w:ascii="Cambria Math" w:hAnsi="Cambria Math" w:cs="Times New Roman"/>
            <w:sz w:val="24"/>
            <w:szCs w:val="24"/>
            <w:lang w:val="fr-CA"/>
          </w:rPr>
          <m:t>Ϝ</m:t>
        </m:r>
      </m:oMath>
      <w:r w:rsidRPr="004E4639">
        <w:rPr>
          <w:rFonts w:ascii="Times New Roman" w:hAnsi="Times New Roman" w:cs="Times New Roman"/>
          <w:sz w:val="24"/>
          <w:szCs w:val="24"/>
          <w:lang w:val="fr-CA"/>
        </w:rPr>
        <w:t xml:space="preserve">  est supérieure à la borne supérieure alors il existe une relation de </w:t>
      </w:r>
      <w:r w:rsidR="00CB548F" w:rsidRPr="004E4639">
        <w:rPr>
          <w:rFonts w:ascii="Times New Roman" w:hAnsi="Times New Roman" w:cs="Times New Roman"/>
          <w:sz w:val="24"/>
          <w:szCs w:val="24"/>
          <w:lang w:val="fr-CA"/>
        </w:rPr>
        <w:t>Co</w:t>
      </w:r>
      <w:r w:rsidR="00CB548F">
        <w:rPr>
          <w:rFonts w:ascii="Times New Roman" w:hAnsi="Times New Roman" w:cs="Times New Roman"/>
          <w:sz w:val="24"/>
          <w:szCs w:val="24"/>
          <w:lang w:val="fr-CA"/>
        </w:rPr>
        <w:t>i</w:t>
      </w:r>
      <w:r w:rsidR="00CB548F" w:rsidRPr="004E4639">
        <w:rPr>
          <w:rFonts w:ascii="Times New Roman" w:hAnsi="Times New Roman" w:cs="Times New Roman"/>
          <w:sz w:val="24"/>
          <w:szCs w:val="24"/>
          <w:lang w:val="fr-CA"/>
        </w:rPr>
        <w:t>ntégration</w:t>
      </w:r>
      <w:r w:rsidRPr="004E4639">
        <w:rPr>
          <w:rFonts w:ascii="Times New Roman" w:hAnsi="Times New Roman" w:cs="Times New Roman"/>
          <w:sz w:val="24"/>
          <w:szCs w:val="24"/>
          <w:lang w:val="fr-CA"/>
        </w:rPr>
        <w:t xml:space="preserve"> </w:t>
      </w:r>
    </w:p>
    <w:p w14:paraId="43A3DAF0" w14:textId="77777777" w:rsidR="000F708D" w:rsidRPr="004E4639" w:rsidRDefault="000F708D" w:rsidP="000F708D">
      <w:pPr>
        <w:pStyle w:val="Paragraphedeliste"/>
        <w:numPr>
          <w:ilvl w:val="0"/>
          <w:numId w:val="8"/>
        </w:numPr>
        <w:autoSpaceDE w:val="0"/>
        <w:autoSpaceDN w:val="0"/>
        <w:adjustRightInd w:val="0"/>
        <w:spacing w:after="0" w:line="360" w:lineRule="auto"/>
        <w:ind w:firstLine="0"/>
        <w:jc w:val="both"/>
        <w:rPr>
          <w:rFonts w:ascii="Times New Roman" w:hAnsi="Times New Roman" w:cs="Times New Roman"/>
          <w:sz w:val="24"/>
          <w:szCs w:val="24"/>
          <w:lang w:val="fr-CA"/>
        </w:rPr>
      </w:pPr>
      <w:r w:rsidRPr="004E4639">
        <w:rPr>
          <w:rFonts w:ascii="Times New Roman" w:hAnsi="Times New Roman" w:cs="Times New Roman"/>
          <w:sz w:val="24"/>
          <w:szCs w:val="24"/>
          <w:lang w:val="fr-CA"/>
        </w:rPr>
        <w:t xml:space="preserve">Si </w:t>
      </w:r>
      <m:oMath>
        <m:r>
          <w:rPr>
            <w:rFonts w:ascii="Cambria Math" w:hAnsi="Cambria Math" w:cs="Times New Roman"/>
            <w:sz w:val="24"/>
            <w:szCs w:val="24"/>
            <w:lang w:val="fr-CA"/>
          </w:rPr>
          <m:t>Ϝ</m:t>
        </m:r>
      </m:oMath>
      <w:r w:rsidRPr="004E4639">
        <w:rPr>
          <w:rFonts w:ascii="Times New Roman" w:hAnsi="Times New Roman" w:cs="Times New Roman"/>
          <w:sz w:val="24"/>
          <w:szCs w:val="24"/>
          <w:lang w:val="fr-CA"/>
        </w:rPr>
        <w:t xml:space="preserve"> est inférieur à la borne inférieure alors il n’existe pas de Co</w:t>
      </w:r>
      <w:r>
        <w:rPr>
          <w:rFonts w:ascii="Times New Roman" w:hAnsi="Times New Roman" w:cs="Times New Roman"/>
          <w:sz w:val="24"/>
          <w:szCs w:val="24"/>
          <w:lang w:val="fr-CA"/>
        </w:rPr>
        <w:t xml:space="preserve"> </w:t>
      </w:r>
      <w:r w:rsidRPr="004E4639">
        <w:rPr>
          <w:rFonts w:ascii="Times New Roman" w:hAnsi="Times New Roman" w:cs="Times New Roman"/>
          <w:sz w:val="24"/>
          <w:szCs w:val="24"/>
          <w:lang w:val="fr-CA"/>
        </w:rPr>
        <w:t xml:space="preserve">intégration </w:t>
      </w:r>
    </w:p>
    <w:p w14:paraId="3179ABA4" w14:textId="1FF90AE0" w:rsidR="00AC6CB8" w:rsidRPr="00F32AD3" w:rsidRDefault="000F708D" w:rsidP="003412AD">
      <w:pPr>
        <w:pStyle w:val="Paragraphedeliste"/>
        <w:numPr>
          <w:ilvl w:val="0"/>
          <w:numId w:val="8"/>
        </w:numPr>
        <w:autoSpaceDE w:val="0"/>
        <w:autoSpaceDN w:val="0"/>
        <w:adjustRightInd w:val="0"/>
        <w:spacing w:after="0" w:line="360" w:lineRule="auto"/>
        <w:ind w:firstLine="0"/>
        <w:jc w:val="both"/>
        <w:rPr>
          <w:rFonts w:ascii="Times New Roman" w:hAnsi="Times New Roman" w:cs="Times New Roman"/>
          <w:sz w:val="24"/>
          <w:szCs w:val="24"/>
          <w:lang w:val="fr-CA"/>
        </w:rPr>
      </w:pPr>
      <w:r w:rsidRPr="004E4639">
        <w:rPr>
          <w:rFonts w:ascii="Times New Roman" w:hAnsi="Times New Roman" w:cs="Times New Roman"/>
          <w:sz w:val="24"/>
          <w:szCs w:val="24"/>
          <w:lang w:val="fr-CA"/>
        </w:rPr>
        <w:t xml:space="preserve">Si borne inférieure &lt; Fisher &lt; borne supérieure : Pas de conclusion </w:t>
      </w:r>
    </w:p>
    <w:p w14:paraId="47842CB7" w14:textId="77777777" w:rsidR="00AC6CB8" w:rsidRDefault="00AC6CB8" w:rsidP="003412AD">
      <w:pPr>
        <w:autoSpaceDE w:val="0"/>
        <w:autoSpaceDN w:val="0"/>
        <w:adjustRightInd w:val="0"/>
        <w:spacing w:after="0" w:line="360" w:lineRule="auto"/>
        <w:jc w:val="both"/>
        <w:rPr>
          <w:rFonts w:ascii="Times New Roman" w:eastAsia="Times New Roman" w:hAnsi="Times New Roman" w:cs="Times New Roman"/>
          <w:b/>
          <w:color w:val="000000"/>
          <w:sz w:val="24"/>
          <w:lang w:eastAsia="fr-FR"/>
        </w:rPr>
      </w:pPr>
    </w:p>
    <w:p w14:paraId="07E60B58" w14:textId="5E946789" w:rsidR="003412AD" w:rsidRPr="003412AD" w:rsidRDefault="003412AD" w:rsidP="003412AD">
      <w:pPr>
        <w:autoSpaceDE w:val="0"/>
        <w:autoSpaceDN w:val="0"/>
        <w:adjustRightInd w:val="0"/>
        <w:spacing w:after="0" w:line="360" w:lineRule="auto"/>
        <w:jc w:val="both"/>
        <w:rPr>
          <w:rFonts w:ascii="Times New Roman" w:hAnsi="Times New Roman" w:cs="Times New Roman"/>
          <w:sz w:val="24"/>
          <w:szCs w:val="24"/>
          <w:lang w:val="fr-CA"/>
        </w:rPr>
      </w:pPr>
      <w:r w:rsidRPr="003412AD">
        <w:rPr>
          <w:rFonts w:ascii="Times New Roman" w:eastAsia="Times New Roman" w:hAnsi="Times New Roman" w:cs="Times New Roman"/>
          <w:b/>
          <w:color w:val="000000"/>
          <w:sz w:val="24"/>
          <w:lang w:eastAsia="fr-FR"/>
        </w:rPr>
        <w:lastRenderedPageBreak/>
        <w:t>Tableau 9. Résultats des tests de Cointégration</w:t>
      </w:r>
    </w:p>
    <w:tbl>
      <w:tblPr>
        <w:tblStyle w:val="Tableausimple2"/>
        <w:tblpPr w:leftFromText="141" w:rightFromText="141" w:vertAnchor="text" w:horzAnchor="page" w:tblpX="961" w:tblpY="116"/>
        <w:tblW w:w="9446" w:type="dxa"/>
        <w:tblLook w:val="04A0" w:firstRow="1" w:lastRow="0" w:firstColumn="1" w:lastColumn="0" w:noHBand="0" w:noVBand="1"/>
      </w:tblPr>
      <w:tblGrid>
        <w:gridCol w:w="3148"/>
        <w:gridCol w:w="442"/>
        <w:gridCol w:w="1325"/>
        <w:gridCol w:w="1381"/>
        <w:gridCol w:w="3150"/>
      </w:tblGrid>
      <w:tr w:rsidR="003412AD" w:rsidRPr="00DD1CCB" w14:paraId="10E8FFD5" w14:textId="77777777" w:rsidTr="003412AD">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3148" w:type="dxa"/>
            <w:noWrap/>
            <w:vAlign w:val="center"/>
          </w:tcPr>
          <w:p w14:paraId="16DE2D92" w14:textId="77777777" w:rsidR="003412AD" w:rsidRPr="00BE0C16" w:rsidRDefault="003412AD" w:rsidP="003412AD">
            <w:pPr>
              <w:jc w:val="center"/>
              <w:rPr>
                <w:rFonts w:ascii="Times New Roman" w:eastAsia="Times New Roman" w:hAnsi="Times New Roman" w:cs="Times New Roman"/>
                <w:color w:val="000000"/>
                <w:sz w:val="20"/>
                <w:szCs w:val="20"/>
                <w:lang w:eastAsia="fr-FR"/>
              </w:rPr>
            </w:pPr>
            <w:r w:rsidRPr="00BE0C16">
              <w:rPr>
                <w:rFonts w:ascii="Times New Roman" w:eastAsia="Times New Roman" w:hAnsi="Times New Roman" w:cs="Times New Roman"/>
                <w:color w:val="000000"/>
                <w:sz w:val="20"/>
                <w:szCs w:val="20"/>
                <w:lang w:eastAsia="fr-FR"/>
              </w:rPr>
              <w:t>Observation : 239</w:t>
            </w:r>
          </w:p>
        </w:tc>
        <w:tc>
          <w:tcPr>
            <w:tcW w:w="3148" w:type="dxa"/>
            <w:gridSpan w:val="3"/>
            <w:vAlign w:val="center"/>
          </w:tcPr>
          <w:p w14:paraId="6486F169" w14:textId="77777777" w:rsidR="003412AD" w:rsidRPr="00BE0C16" w:rsidRDefault="003412AD" w:rsidP="003412A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proofErr w:type="spellStart"/>
            <w:r w:rsidRPr="00BE0C16">
              <w:rPr>
                <w:rFonts w:ascii="Times New Roman" w:eastAsia="Times New Roman" w:hAnsi="Times New Roman" w:cs="Times New Roman"/>
                <w:color w:val="000000"/>
                <w:sz w:val="20"/>
                <w:szCs w:val="20"/>
                <w:lang w:eastAsia="fr-FR"/>
              </w:rPr>
              <w:t>Régresseurs</w:t>
            </w:r>
            <w:proofErr w:type="spellEnd"/>
            <w:r w:rsidRPr="00BE0C16">
              <w:rPr>
                <w:rFonts w:ascii="Times New Roman" w:eastAsia="Times New Roman" w:hAnsi="Times New Roman" w:cs="Times New Roman"/>
                <w:color w:val="000000"/>
                <w:sz w:val="20"/>
                <w:szCs w:val="20"/>
                <w:lang w:eastAsia="fr-FR"/>
              </w:rPr>
              <w:t> :3</w:t>
            </w:r>
          </w:p>
        </w:tc>
        <w:tc>
          <w:tcPr>
            <w:tcW w:w="3150" w:type="dxa"/>
            <w:vAlign w:val="center"/>
          </w:tcPr>
          <w:p w14:paraId="27E82BE7" w14:textId="77777777" w:rsidR="003412AD" w:rsidRPr="00DD1CCB" w:rsidRDefault="003412AD" w:rsidP="003412A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DD1CCB">
              <w:rPr>
                <w:rFonts w:ascii="Times New Roman" w:eastAsia="Times New Roman" w:hAnsi="Times New Roman" w:cs="Times New Roman"/>
                <w:color w:val="000000"/>
                <w:sz w:val="20"/>
                <w:szCs w:val="20"/>
                <w:lang w:eastAsia="fr-FR"/>
              </w:rPr>
              <w:t>Cas :1</w:t>
            </w:r>
          </w:p>
        </w:tc>
      </w:tr>
      <w:tr w:rsidR="003412AD" w:rsidRPr="00DD1CCB" w14:paraId="273812A7" w14:textId="77777777" w:rsidTr="003412AD">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9446" w:type="dxa"/>
            <w:gridSpan w:val="5"/>
            <w:noWrap/>
            <w:vAlign w:val="center"/>
          </w:tcPr>
          <w:p w14:paraId="55AB49B9" w14:textId="77777777" w:rsidR="003412AD" w:rsidRPr="00DD1CCB" w:rsidRDefault="003412AD" w:rsidP="003412AD">
            <w:pPr>
              <w:jc w:val="center"/>
              <w:rPr>
                <w:rFonts w:ascii="Times New Roman" w:eastAsia="Times New Roman" w:hAnsi="Times New Roman" w:cs="Times New Roman"/>
                <w:color w:val="000000"/>
                <w:sz w:val="20"/>
                <w:szCs w:val="20"/>
                <w:lang w:eastAsia="fr-FR"/>
              </w:rPr>
            </w:pPr>
            <w:r w:rsidRPr="00DD1CCB">
              <w:rPr>
                <w:rFonts w:ascii="Times New Roman" w:eastAsia="Times New Roman" w:hAnsi="Times New Roman" w:cs="Times New Roman"/>
                <w:color w:val="000000"/>
                <w:sz w:val="20"/>
                <w:szCs w:val="20"/>
                <w:lang w:eastAsia="fr-FR"/>
              </w:rPr>
              <w:t>F-Test</w:t>
            </w:r>
          </w:p>
        </w:tc>
      </w:tr>
      <w:tr w:rsidR="003412AD" w:rsidRPr="00DD1CCB" w14:paraId="011031EE" w14:textId="77777777" w:rsidTr="003412AD">
        <w:trPr>
          <w:trHeight w:val="389"/>
        </w:trPr>
        <w:tc>
          <w:tcPr>
            <w:cnfStyle w:val="001000000000" w:firstRow="0" w:lastRow="0" w:firstColumn="1" w:lastColumn="0" w:oddVBand="0" w:evenVBand="0" w:oddHBand="0" w:evenHBand="0" w:firstRowFirstColumn="0" w:firstRowLastColumn="0" w:lastRowFirstColumn="0" w:lastRowLastColumn="0"/>
            <w:tcW w:w="3590" w:type="dxa"/>
            <w:gridSpan w:val="2"/>
            <w:noWrap/>
            <w:vAlign w:val="center"/>
          </w:tcPr>
          <w:p w14:paraId="2D305F58" w14:textId="77777777" w:rsidR="003412AD" w:rsidRPr="00DD1CCB" w:rsidRDefault="003412AD" w:rsidP="003412AD">
            <w:pPr>
              <w:jc w:val="center"/>
              <w:rPr>
                <w:rFonts w:ascii="Times New Roman" w:eastAsia="Times New Roman" w:hAnsi="Times New Roman" w:cs="Times New Roman"/>
                <w:color w:val="000000"/>
                <w:sz w:val="20"/>
                <w:szCs w:val="20"/>
                <w:lang w:eastAsia="fr-FR"/>
              </w:rPr>
            </w:pPr>
          </w:p>
        </w:tc>
        <w:tc>
          <w:tcPr>
            <w:tcW w:w="1325" w:type="dxa"/>
            <w:noWrap/>
            <w:vAlign w:val="center"/>
          </w:tcPr>
          <w:p w14:paraId="33C6822B" w14:textId="77777777" w:rsidR="003412AD" w:rsidRPr="00DD1CCB" w:rsidRDefault="003412AD" w:rsidP="003412A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DD1CCB">
              <w:rPr>
                <w:rFonts w:ascii="Times New Roman" w:eastAsia="Times New Roman" w:hAnsi="Times New Roman" w:cs="Times New Roman"/>
                <w:color w:val="000000"/>
                <w:sz w:val="20"/>
                <w:szCs w:val="20"/>
                <w:lang w:eastAsia="fr-FR"/>
              </w:rPr>
              <w:t>I(0)</w:t>
            </w:r>
          </w:p>
        </w:tc>
        <w:tc>
          <w:tcPr>
            <w:tcW w:w="4531" w:type="dxa"/>
            <w:gridSpan w:val="2"/>
            <w:noWrap/>
            <w:vAlign w:val="center"/>
          </w:tcPr>
          <w:p w14:paraId="617C853C" w14:textId="77777777" w:rsidR="003412AD" w:rsidRPr="00DD1CCB" w:rsidRDefault="003412AD" w:rsidP="003412A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DD1CCB">
              <w:rPr>
                <w:rFonts w:ascii="Times New Roman" w:eastAsia="Times New Roman" w:hAnsi="Times New Roman" w:cs="Times New Roman"/>
                <w:color w:val="000000"/>
                <w:sz w:val="20"/>
                <w:szCs w:val="20"/>
                <w:lang w:eastAsia="fr-FR"/>
              </w:rPr>
              <w:t>I(1)</w:t>
            </w:r>
          </w:p>
        </w:tc>
      </w:tr>
      <w:tr w:rsidR="003412AD" w:rsidRPr="00DD1CCB" w14:paraId="645F2EBD" w14:textId="77777777" w:rsidTr="003412AD">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3590" w:type="dxa"/>
            <w:gridSpan w:val="2"/>
            <w:noWrap/>
            <w:vAlign w:val="center"/>
            <w:hideMark/>
          </w:tcPr>
          <w:p w14:paraId="655836D9" w14:textId="77777777" w:rsidR="003412AD" w:rsidRPr="00DD1CCB" w:rsidRDefault="003412AD" w:rsidP="003412AD">
            <w:pPr>
              <w:jc w:val="center"/>
              <w:rPr>
                <w:rFonts w:ascii="Times New Roman" w:eastAsia="Times New Roman" w:hAnsi="Times New Roman" w:cs="Times New Roman"/>
                <w:color w:val="000000"/>
                <w:sz w:val="20"/>
                <w:szCs w:val="20"/>
                <w:lang w:eastAsia="fr-FR"/>
              </w:rPr>
            </w:pPr>
            <w:r w:rsidRPr="00DD1CCB">
              <w:rPr>
                <w:rFonts w:ascii="Times New Roman" w:eastAsia="Times New Roman" w:hAnsi="Times New Roman" w:cs="Times New Roman"/>
                <w:color w:val="000000"/>
                <w:sz w:val="20"/>
                <w:szCs w:val="20"/>
                <w:lang w:eastAsia="fr-FR"/>
              </w:rPr>
              <w:t xml:space="preserve">10% </w:t>
            </w:r>
            <w:r>
              <w:rPr>
                <w:rFonts w:ascii="Times New Roman" w:eastAsia="Times New Roman" w:hAnsi="Times New Roman" w:cs="Times New Roman"/>
                <w:color w:val="000000"/>
                <w:sz w:val="20"/>
                <w:szCs w:val="20"/>
                <w:lang w:eastAsia="fr-FR"/>
              </w:rPr>
              <w:t>valeur critique</w:t>
            </w:r>
          </w:p>
        </w:tc>
        <w:tc>
          <w:tcPr>
            <w:tcW w:w="1325" w:type="dxa"/>
            <w:noWrap/>
            <w:vAlign w:val="center"/>
            <w:hideMark/>
          </w:tcPr>
          <w:p w14:paraId="043D164D" w14:textId="77777777" w:rsidR="003412AD" w:rsidRPr="00DD1CCB" w:rsidRDefault="003412AD" w:rsidP="003412A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DD1CCB">
              <w:rPr>
                <w:rFonts w:ascii="Times New Roman" w:eastAsia="Times New Roman" w:hAnsi="Times New Roman" w:cs="Times New Roman"/>
                <w:color w:val="000000"/>
                <w:sz w:val="20"/>
                <w:szCs w:val="20"/>
                <w:lang w:eastAsia="fr-FR"/>
              </w:rPr>
              <w:t>2.01</w:t>
            </w:r>
          </w:p>
        </w:tc>
        <w:tc>
          <w:tcPr>
            <w:tcW w:w="4531" w:type="dxa"/>
            <w:gridSpan w:val="2"/>
            <w:noWrap/>
            <w:vAlign w:val="center"/>
            <w:hideMark/>
          </w:tcPr>
          <w:p w14:paraId="368D4364" w14:textId="77777777" w:rsidR="003412AD" w:rsidRPr="00DD1CCB" w:rsidRDefault="003412AD" w:rsidP="003412A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DD1CCB">
              <w:rPr>
                <w:rFonts w:ascii="Times New Roman" w:eastAsia="Times New Roman" w:hAnsi="Times New Roman" w:cs="Times New Roman"/>
                <w:color w:val="000000"/>
                <w:sz w:val="20"/>
                <w:szCs w:val="20"/>
                <w:lang w:eastAsia="fr-FR"/>
              </w:rPr>
              <w:t>3.1</w:t>
            </w:r>
          </w:p>
        </w:tc>
      </w:tr>
      <w:tr w:rsidR="003412AD" w:rsidRPr="00DD1CCB" w14:paraId="2B4626A1" w14:textId="77777777" w:rsidTr="003412AD">
        <w:trPr>
          <w:trHeight w:val="389"/>
        </w:trPr>
        <w:tc>
          <w:tcPr>
            <w:cnfStyle w:val="001000000000" w:firstRow="0" w:lastRow="0" w:firstColumn="1" w:lastColumn="0" w:oddVBand="0" w:evenVBand="0" w:oddHBand="0" w:evenHBand="0" w:firstRowFirstColumn="0" w:firstRowLastColumn="0" w:lastRowFirstColumn="0" w:lastRowLastColumn="0"/>
            <w:tcW w:w="3590" w:type="dxa"/>
            <w:gridSpan w:val="2"/>
            <w:noWrap/>
            <w:vAlign w:val="center"/>
            <w:hideMark/>
          </w:tcPr>
          <w:p w14:paraId="3290F994" w14:textId="77777777" w:rsidR="003412AD" w:rsidRPr="00DD1CCB" w:rsidRDefault="003412AD" w:rsidP="003412AD">
            <w:pPr>
              <w:jc w:val="center"/>
              <w:rPr>
                <w:rFonts w:ascii="Times New Roman" w:eastAsia="Times New Roman" w:hAnsi="Times New Roman" w:cs="Times New Roman"/>
                <w:color w:val="000000"/>
                <w:sz w:val="20"/>
                <w:szCs w:val="20"/>
                <w:lang w:eastAsia="fr-FR"/>
              </w:rPr>
            </w:pPr>
            <w:r w:rsidRPr="00DD1CCB">
              <w:rPr>
                <w:rFonts w:ascii="Times New Roman" w:eastAsia="Times New Roman" w:hAnsi="Times New Roman" w:cs="Times New Roman"/>
                <w:color w:val="000000"/>
                <w:sz w:val="20"/>
                <w:szCs w:val="20"/>
                <w:lang w:eastAsia="fr-FR"/>
              </w:rPr>
              <w:t xml:space="preserve">5% </w:t>
            </w:r>
            <w:r>
              <w:rPr>
                <w:rFonts w:ascii="Times New Roman" w:eastAsia="Times New Roman" w:hAnsi="Times New Roman" w:cs="Times New Roman"/>
                <w:color w:val="000000"/>
                <w:sz w:val="20"/>
                <w:szCs w:val="20"/>
                <w:lang w:eastAsia="fr-FR"/>
              </w:rPr>
              <w:t xml:space="preserve"> valeur critique</w:t>
            </w:r>
          </w:p>
        </w:tc>
        <w:tc>
          <w:tcPr>
            <w:tcW w:w="1325" w:type="dxa"/>
            <w:noWrap/>
            <w:vAlign w:val="center"/>
            <w:hideMark/>
          </w:tcPr>
          <w:p w14:paraId="7EC37256" w14:textId="77777777" w:rsidR="003412AD" w:rsidRPr="00DD1CCB" w:rsidRDefault="003412AD" w:rsidP="003412A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DD1CCB">
              <w:rPr>
                <w:rFonts w:ascii="Times New Roman" w:eastAsia="Times New Roman" w:hAnsi="Times New Roman" w:cs="Times New Roman"/>
                <w:color w:val="000000"/>
                <w:sz w:val="20"/>
                <w:szCs w:val="20"/>
                <w:lang w:eastAsia="fr-FR"/>
              </w:rPr>
              <w:t>2.45</w:t>
            </w:r>
          </w:p>
        </w:tc>
        <w:tc>
          <w:tcPr>
            <w:tcW w:w="4531" w:type="dxa"/>
            <w:gridSpan w:val="2"/>
            <w:noWrap/>
            <w:vAlign w:val="center"/>
            <w:hideMark/>
          </w:tcPr>
          <w:p w14:paraId="2B0649B3" w14:textId="77777777" w:rsidR="003412AD" w:rsidRPr="00DD1CCB" w:rsidRDefault="003412AD" w:rsidP="003412A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DD1CCB">
              <w:rPr>
                <w:rFonts w:ascii="Times New Roman" w:eastAsia="Times New Roman" w:hAnsi="Times New Roman" w:cs="Times New Roman"/>
                <w:color w:val="000000"/>
                <w:sz w:val="20"/>
                <w:szCs w:val="20"/>
                <w:lang w:eastAsia="fr-FR"/>
              </w:rPr>
              <w:t>3.63</w:t>
            </w:r>
          </w:p>
        </w:tc>
      </w:tr>
      <w:tr w:rsidR="003412AD" w:rsidRPr="00DD1CCB" w14:paraId="4B352597" w14:textId="77777777" w:rsidTr="003412AD">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3590" w:type="dxa"/>
            <w:gridSpan w:val="2"/>
            <w:noWrap/>
            <w:vAlign w:val="center"/>
            <w:hideMark/>
          </w:tcPr>
          <w:p w14:paraId="3D44B6B8" w14:textId="77777777" w:rsidR="003412AD" w:rsidRPr="00DD1CCB" w:rsidRDefault="003412AD" w:rsidP="003412AD">
            <w:pPr>
              <w:jc w:val="center"/>
              <w:rPr>
                <w:rFonts w:ascii="Times New Roman" w:eastAsia="Times New Roman" w:hAnsi="Times New Roman" w:cs="Times New Roman"/>
                <w:color w:val="000000"/>
                <w:sz w:val="20"/>
                <w:szCs w:val="20"/>
                <w:lang w:eastAsia="fr-FR"/>
              </w:rPr>
            </w:pPr>
            <w:r w:rsidRPr="00DD1CCB">
              <w:rPr>
                <w:rFonts w:ascii="Times New Roman" w:eastAsia="Times New Roman" w:hAnsi="Times New Roman" w:cs="Times New Roman"/>
                <w:color w:val="000000"/>
                <w:sz w:val="20"/>
                <w:szCs w:val="20"/>
                <w:lang w:eastAsia="fr-FR"/>
              </w:rPr>
              <w:t xml:space="preserve">1% </w:t>
            </w:r>
            <w:r>
              <w:rPr>
                <w:rFonts w:ascii="Times New Roman" w:eastAsia="Times New Roman" w:hAnsi="Times New Roman" w:cs="Times New Roman"/>
                <w:color w:val="000000"/>
                <w:sz w:val="20"/>
                <w:szCs w:val="20"/>
                <w:lang w:eastAsia="fr-FR"/>
              </w:rPr>
              <w:t xml:space="preserve"> valeur critique</w:t>
            </w:r>
          </w:p>
        </w:tc>
        <w:tc>
          <w:tcPr>
            <w:tcW w:w="1325" w:type="dxa"/>
            <w:noWrap/>
            <w:vAlign w:val="center"/>
            <w:hideMark/>
          </w:tcPr>
          <w:p w14:paraId="10228E95" w14:textId="77777777" w:rsidR="003412AD" w:rsidRPr="00DD1CCB" w:rsidRDefault="003412AD" w:rsidP="003412A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DD1CCB">
              <w:rPr>
                <w:rFonts w:ascii="Times New Roman" w:eastAsia="Times New Roman" w:hAnsi="Times New Roman" w:cs="Times New Roman"/>
                <w:color w:val="000000"/>
                <w:sz w:val="20"/>
                <w:szCs w:val="20"/>
                <w:lang w:eastAsia="fr-FR"/>
              </w:rPr>
              <w:t>3.42</w:t>
            </w:r>
          </w:p>
        </w:tc>
        <w:tc>
          <w:tcPr>
            <w:tcW w:w="4531" w:type="dxa"/>
            <w:gridSpan w:val="2"/>
            <w:noWrap/>
            <w:vAlign w:val="center"/>
            <w:hideMark/>
          </w:tcPr>
          <w:p w14:paraId="18C4A686" w14:textId="77777777" w:rsidR="003412AD" w:rsidRPr="00DD1CCB" w:rsidRDefault="003412AD" w:rsidP="003412A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DD1CCB">
              <w:rPr>
                <w:rFonts w:ascii="Times New Roman" w:eastAsia="Times New Roman" w:hAnsi="Times New Roman" w:cs="Times New Roman"/>
                <w:color w:val="000000"/>
                <w:sz w:val="20"/>
                <w:szCs w:val="20"/>
                <w:lang w:eastAsia="fr-FR"/>
              </w:rPr>
              <w:t>4.84</w:t>
            </w:r>
          </w:p>
        </w:tc>
      </w:tr>
      <w:tr w:rsidR="003412AD" w:rsidRPr="00DD1CCB" w14:paraId="205FAFC2" w14:textId="77777777" w:rsidTr="003412AD">
        <w:trPr>
          <w:trHeight w:val="389"/>
        </w:trPr>
        <w:tc>
          <w:tcPr>
            <w:cnfStyle w:val="001000000000" w:firstRow="0" w:lastRow="0" w:firstColumn="1" w:lastColumn="0" w:oddVBand="0" w:evenVBand="0" w:oddHBand="0" w:evenHBand="0" w:firstRowFirstColumn="0" w:firstRowLastColumn="0" w:lastRowFirstColumn="0" w:lastRowLastColumn="0"/>
            <w:tcW w:w="9446" w:type="dxa"/>
            <w:gridSpan w:val="5"/>
            <w:noWrap/>
            <w:vAlign w:val="center"/>
          </w:tcPr>
          <w:p w14:paraId="50EFF390" w14:textId="77777777" w:rsidR="003412AD" w:rsidRPr="00DD1CCB" w:rsidRDefault="003412AD" w:rsidP="003412AD">
            <w:pPr>
              <w:jc w:val="center"/>
              <w:rPr>
                <w:rFonts w:ascii="Times New Roman" w:eastAsia="Times New Roman" w:hAnsi="Times New Roman" w:cs="Times New Roman"/>
                <w:color w:val="000000"/>
                <w:sz w:val="20"/>
                <w:szCs w:val="20"/>
                <w:lang w:eastAsia="fr-FR"/>
              </w:rPr>
            </w:pPr>
            <w:r w:rsidRPr="00DD1CCB">
              <w:rPr>
                <w:rFonts w:ascii="Times New Roman" w:eastAsia="Times New Roman" w:hAnsi="Times New Roman" w:cs="Times New Roman"/>
                <w:color w:val="000000"/>
                <w:sz w:val="20"/>
                <w:szCs w:val="20"/>
                <w:lang w:eastAsia="fr-FR"/>
              </w:rPr>
              <w:t>F=</w:t>
            </w:r>
            <w:r w:rsidRPr="00DD1CCB">
              <w:rPr>
                <w:rFonts w:ascii="Times New Roman" w:hAnsi="Times New Roman" w:cs="Times New Roman"/>
                <w:sz w:val="20"/>
                <w:szCs w:val="20"/>
              </w:rPr>
              <w:t xml:space="preserve"> </w:t>
            </w:r>
            <w:r w:rsidRPr="00DD1CCB">
              <w:rPr>
                <w:rFonts w:ascii="Times New Roman" w:eastAsia="Times New Roman" w:hAnsi="Times New Roman" w:cs="Times New Roman"/>
                <w:color w:val="000000"/>
                <w:sz w:val="20"/>
                <w:szCs w:val="20"/>
                <w:lang w:eastAsia="fr-FR"/>
              </w:rPr>
              <w:t>4.70658150221515</w:t>
            </w:r>
          </w:p>
        </w:tc>
      </w:tr>
    </w:tbl>
    <w:p w14:paraId="79B8C164" w14:textId="0782A251" w:rsidR="0068556C" w:rsidRPr="00DA1456" w:rsidRDefault="00DA1456" w:rsidP="00E45A8F">
      <w:pPr>
        <w:jc w:val="both"/>
        <w:rPr>
          <w:rFonts w:ascii="Times New Roman" w:hAnsi="Times New Roman" w:cs="Times New Roman"/>
          <w:sz w:val="20"/>
        </w:rPr>
      </w:pPr>
      <w:r w:rsidRPr="00BD061D">
        <w:rPr>
          <w:rFonts w:ascii="Times New Roman" w:hAnsi="Times New Roman" w:cs="Times New Roman"/>
          <w:b/>
          <w:bCs/>
          <w:sz w:val="20"/>
        </w:rPr>
        <w:t>Source :</w:t>
      </w:r>
      <w:r w:rsidR="00DE6D6E">
        <w:rPr>
          <w:rFonts w:ascii="Times New Roman" w:hAnsi="Times New Roman" w:cs="Times New Roman"/>
          <w:sz w:val="20"/>
        </w:rPr>
        <w:t xml:space="preserve"> </w:t>
      </w:r>
      <w:r w:rsidR="00DE6D6E" w:rsidRPr="00317520">
        <w:rPr>
          <w:rFonts w:ascii="Times New Roman" w:eastAsia="Times New Roman" w:hAnsi="Times New Roman" w:cs="Times New Roman"/>
          <w:b/>
          <w:bCs/>
          <w:color w:val="000000"/>
          <w:sz w:val="20"/>
          <w:szCs w:val="20"/>
          <w:lang w:eastAsia="fr-FR"/>
        </w:rPr>
        <w:t xml:space="preserve">Compte déplacements des voyageurs en Île-de-France (Île de France Mobilités) et Île-de-France Mobilités, d'après RATP, </w:t>
      </w:r>
      <w:proofErr w:type="spellStart"/>
      <w:r w:rsidR="00DE6D6E" w:rsidRPr="00317520">
        <w:rPr>
          <w:rFonts w:ascii="Times New Roman" w:eastAsia="Times New Roman" w:hAnsi="Times New Roman" w:cs="Times New Roman"/>
          <w:b/>
          <w:bCs/>
          <w:color w:val="000000"/>
          <w:sz w:val="20"/>
          <w:szCs w:val="20"/>
          <w:lang w:eastAsia="fr-FR"/>
        </w:rPr>
        <w:t>Optile</w:t>
      </w:r>
      <w:proofErr w:type="spellEnd"/>
      <w:r w:rsidR="00DE6D6E" w:rsidRPr="00317520">
        <w:rPr>
          <w:rFonts w:ascii="Times New Roman" w:eastAsia="Times New Roman" w:hAnsi="Times New Roman" w:cs="Times New Roman"/>
          <w:b/>
          <w:bCs/>
          <w:color w:val="000000"/>
          <w:sz w:val="20"/>
          <w:szCs w:val="20"/>
          <w:lang w:eastAsia="fr-FR"/>
        </w:rPr>
        <w:t xml:space="preserve"> et SNCF</w:t>
      </w:r>
      <w:r w:rsidR="00DE6D6E" w:rsidRPr="00317520">
        <w:rPr>
          <w:rFonts w:ascii="Times New Roman" w:hAnsi="Times New Roman" w:cs="Times New Roman"/>
          <w:b/>
          <w:bCs/>
          <w:sz w:val="20"/>
        </w:rPr>
        <w:tab/>
      </w:r>
    </w:p>
    <w:p w14:paraId="3FE00659" w14:textId="77777777" w:rsidR="000F708D" w:rsidRDefault="002811DA" w:rsidP="00E45A8F">
      <w:pPr>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      </w:t>
      </w:r>
    </w:p>
    <w:p w14:paraId="10606943" w14:textId="24C2A4B9" w:rsidR="00642441" w:rsidRDefault="000F708D" w:rsidP="00E45A8F">
      <w:pPr>
        <w:jc w:val="both"/>
        <w:rPr>
          <w:rFonts w:ascii="Times New Roman" w:hAnsi="Times New Roman" w:cs="Times New Roman"/>
          <w:sz w:val="24"/>
        </w:rPr>
      </w:pPr>
      <w:r>
        <w:rPr>
          <w:rFonts w:ascii="Times New Roman" w:hAnsi="Times New Roman" w:cs="Times New Roman"/>
          <w:sz w:val="24"/>
        </w:rPr>
        <w:t>L</w:t>
      </w:r>
      <w:r w:rsidR="00A33282">
        <w:rPr>
          <w:rFonts w:ascii="Times New Roman" w:hAnsi="Times New Roman" w:cs="Times New Roman"/>
          <w:sz w:val="24"/>
        </w:rPr>
        <w:t xml:space="preserve">a statistique </w:t>
      </w:r>
      <w:r>
        <w:rPr>
          <w:rFonts w:ascii="Times New Roman" w:hAnsi="Times New Roman" w:cs="Times New Roman"/>
          <w:sz w:val="24"/>
        </w:rPr>
        <w:t xml:space="preserve">F de </w:t>
      </w:r>
      <w:r w:rsidR="00A40C7C">
        <w:rPr>
          <w:rFonts w:ascii="Times New Roman" w:hAnsi="Times New Roman" w:cs="Times New Roman"/>
          <w:sz w:val="24"/>
        </w:rPr>
        <w:t>Fisher</w:t>
      </w:r>
      <w:r>
        <w:rPr>
          <w:rFonts w:ascii="Times New Roman" w:hAnsi="Times New Roman" w:cs="Times New Roman"/>
          <w:sz w:val="24"/>
        </w:rPr>
        <w:t xml:space="preserve"> est supérieur</w:t>
      </w:r>
      <w:r w:rsidR="00A33282">
        <w:rPr>
          <w:rFonts w:ascii="Times New Roman" w:hAnsi="Times New Roman" w:cs="Times New Roman"/>
          <w:sz w:val="24"/>
        </w:rPr>
        <w:t>e</w:t>
      </w:r>
      <w:r>
        <w:rPr>
          <w:rFonts w:ascii="Times New Roman" w:hAnsi="Times New Roman" w:cs="Times New Roman"/>
          <w:sz w:val="24"/>
        </w:rPr>
        <w:t xml:space="preserve"> à la borne </w:t>
      </w:r>
      <w:r w:rsidR="00B957DF">
        <w:rPr>
          <w:rFonts w:ascii="Times New Roman" w:hAnsi="Times New Roman" w:cs="Times New Roman"/>
          <w:sz w:val="24"/>
        </w:rPr>
        <w:t>supérieure</w:t>
      </w:r>
      <w:r>
        <w:rPr>
          <w:rFonts w:ascii="Times New Roman" w:hAnsi="Times New Roman" w:cs="Times New Roman"/>
          <w:sz w:val="24"/>
        </w:rPr>
        <w:t xml:space="preserve"> pour un niveau de confiance de 95%, soit une marge d’erreur de 5%. Nous pouvons donc conclure qu’</w:t>
      </w:r>
      <w:r w:rsidR="00B957DF">
        <w:rPr>
          <w:rFonts w:ascii="Times New Roman" w:hAnsi="Times New Roman" w:cs="Times New Roman"/>
          <w:sz w:val="24"/>
        </w:rPr>
        <w:t xml:space="preserve">il existe une relation de </w:t>
      </w:r>
      <w:r w:rsidR="00A33282">
        <w:rPr>
          <w:rFonts w:ascii="Times New Roman" w:hAnsi="Times New Roman" w:cs="Times New Roman"/>
          <w:sz w:val="24"/>
        </w:rPr>
        <w:t>c</w:t>
      </w:r>
      <w:r w:rsidR="00B957DF">
        <w:rPr>
          <w:rFonts w:ascii="Times New Roman" w:hAnsi="Times New Roman" w:cs="Times New Roman"/>
          <w:sz w:val="24"/>
        </w:rPr>
        <w:t>ointé</w:t>
      </w:r>
      <w:r>
        <w:rPr>
          <w:rFonts w:ascii="Times New Roman" w:hAnsi="Times New Roman" w:cs="Times New Roman"/>
          <w:sz w:val="24"/>
        </w:rPr>
        <w:t xml:space="preserve">gration entre les variables. </w:t>
      </w:r>
    </w:p>
    <w:p w14:paraId="5DB2FC84" w14:textId="6A26A1A8" w:rsidR="00C04C4E" w:rsidRDefault="001D758C" w:rsidP="00E45A8F">
      <w:pPr>
        <w:jc w:val="both"/>
        <w:rPr>
          <w:rFonts w:ascii="Times New Roman" w:hAnsi="Times New Roman" w:cs="Times New Roman"/>
          <w:sz w:val="24"/>
        </w:rPr>
      </w:pPr>
      <w:r>
        <w:rPr>
          <w:rFonts w:ascii="Times New Roman" w:hAnsi="Times New Roman" w:cs="Times New Roman"/>
          <w:sz w:val="24"/>
        </w:rPr>
        <w:t>Nous</w:t>
      </w:r>
      <w:r w:rsidR="000A18AA">
        <w:rPr>
          <w:rFonts w:ascii="Times New Roman" w:hAnsi="Times New Roman" w:cs="Times New Roman"/>
          <w:sz w:val="24"/>
        </w:rPr>
        <w:t xml:space="preserve"> </w:t>
      </w:r>
      <w:r w:rsidR="00D33D69">
        <w:rPr>
          <w:rFonts w:ascii="Times New Roman" w:hAnsi="Times New Roman" w:cs="Times New Roman"/>
          <w:sz w:val="24"/>
        </w:rPr>
        <w:t>devons donc à présent</w:t>
      </w:r>
      <w:r>
        <w:rPr>
          <w:rFonts w:ascii="Times New Roman" w:hAnsi="Times New Roman" w:cs="Times New Roman"/>
          <w:sz w:val="24"/>
        </w:rPr>
        <w:t xml:space="preserve"> </w:t>
      </w:r>
      <w:r w:rsidR="00B957DF">
        <w:rPr>
          <w:rFonts w:ascii="Times New Roman" w:hAnsi="Times New Roman" w:cs="Times New Roman"/>
          <w:sz w:val="24"/>
        </w:rPr>
        <w:t>vérifier</w:t>
      </w:r>
      <w:r>
        <w:rPr>
          <w:rFonts w:ascii="Times New Roman" w:hAnsi="Times New Roman" w:cs="Times New Roman"/>
          <w:sz w:val="24"/>
        </w:rPr>
        <w:t xml:space="preserve"> la </w:t>
      </w:r>
      <w:r w:rsidR="00B957DF">
        <w:rPr>
          <w:rFonts w:ascii="Times New Roman" w:hAnsi="Times New Roman" w:cs="Times New Roman"/>
          <w:sz w:val="24"/>
        </w:rPr>
        <w:t>validité</w:t>
      </w:r>
      <w:r>
        <w:rPr>
          <w:rFonts w:ascii="Times New Roman" w:hAnsi="Times New Roman" w:cs="Times New Roman"/>
          <w:sz w:val="24"/>
        </w:rPr>
        <w:t xml:space="preserve"> du test par des test</w:t>
      </w:r>
      <w:r w:rsidR="008B1328">
        <w:rPr>
          <w:rFonts w:ascii="Times New Roman" w:hAnsi="Times New Roman" w:cs="Times New Roman"/>
          <w:sz w:val="24"/>
        </w:rPr>
        <w:t>s</w:t>
      </w:r>
      <w:r>
        <w:rPr>
          <w:rFonts w:ascii="Times New Roman" w:hAnsi="Times New Roman" w:cs="Times New Roman"/>
          <w:sz w:val="24"/>
        </w:rPr>
        <w:t xml:space="preserve"> d’auto</w:t>
      </w:r>
      <w:r w:rsidR="00B957DF">
        <w:rPr>
          <w:rFonts w:ascii="Times New Roman" w:hAnsi="Times New Roman" w:cs="Times New Roman"/>
          <w:sz w:val="24"/>
        </w:rPr>
        <w:t>corrélation</w:t>
      </w:r>
      <w:r>
        <w:rPr>
          <w:rFonts w:ascii="Times New Roman" w:hAnsi="Times New Roman" w:cs="Times New Roman"/>
          <w:sz w:val="24"/>
        </w:rPr>
        <w:t xml:space="preserve"> des erreurs (</w:t>
      </w:r>
      <w:proofErr w:type="spellStart"/>
      <w:r w:rsidRPr="001D758C">
        <w:rPr>
          <w:rFonts w:ascii="Times New Roman" w:hAnsi="Times New Roman" w:cs="Times New Roman"/>
          <w:sz w:val="24"/>
        </w:rPr>
        <w:t>Breusch</w:t>
      </w:r>
      <w:proofErr w:type="spellEnd"/>
      <w:r w:rsidRPr="001D758C">
        <w:rPr>
          <w:rFonts w:ascii="Times New Roman" w:hAnsi="Times New Roman" w:cs="Times New Roman"/>
          <w:sz w:val="24"/>
        </w:rPr>
        <w:t>-Godfrey</w:t>
      </w:r>
      <w:r>
        <w:rPr>
          <w:rFonts w:ascii="Times New Roman" w:hAnsi="Times New Roman" w:cs="Times New Roman"/>
          <w:sz w:val="24"/>
        </w:rPr>
        <w:t>), d’</w:t>
      </w:r>
      <w:r w:rsidR="00A33282">
        <w:rPr>
          <w:rFonts w:ascii="Times New Roman" w:hAnsi="Times New Roman" w:cs="Times New Roman"/>
          <w:sz w:val="24"/>
        </w:rPr>
        <w:t>hétéroscédasticité</w:t>
      </w:r>
      <w:r>
        <w:rPr>
          <w:rFonts w:ascii="Times New Roman" w:hAnsi="Times New Roman" w:cs="Times New Roman"/>
          <w:sz w:val="24"/>
        </w:rPr>
        <w:t xml:space="preserve"> (</w:t>
      </w:r>
      <w:proofErr w:type="spellStart"/>
      <w:r w:rsidRPr="001D758C">
        <w:rPr>
          <w:rFonts w:ascii="Times New Roman" w:hAnsi="Times New Roman" w:cs="Times New Roman"/>
          <w:sz w:val="24"/>
        </w:rPr>
        <w:t>Breusch</w:t>
      </w:r>
      <w:proofErr w:type="spellEnd"/>
      <w:r w:rsidRPr="001D758C">
        <w:rPr>
          <w:rFonts w:ascii="Times New Roman" w:hAnsi="Times New Roman" w:cs="Times New Roman"/>
          <w:sz w:val="24"/>
        </w:rPr>
        <w:t>-Pagan</w:t>
      </w:r>
      <w:r>
        <w:rPr>
          <w:rFonts w:ascii="Times New Roman" w:hAnsi="Times New Roman" w:cs="Times New Roman"/>
          <w:sz w:val="24"/>
        </w:rPr>
        <w:t xml:space="preserve">) et de stabilité des coefficients (CUSUM, </w:t>
      </w:r>
      <w:proofErr w:type="spellStart"/>
      <w:r>
        <w:rPr>
          <w:rFonts w:ascii="Times New Roman" w:hAnsi="Times New Roman" w:cs="Times New Roman"/>
          <w:sz w:val="24"/>
        </w:rPr>
        <w:t>ect</w:t>
      </w:r>
      <w:proofErr w:type="spellEnd"/>
      <w:r>
        <w:rPr>
          <w:rFonts w:ascii="Times New Roman" w:hAnsi="Times New Roman" w:cs="Times New Roman"/>
          <w:sz w:val="24"/>
        </w:rPr>
        <w:t xml:space="preserve">.). </w:t>
      </w:r>
      <w:r w:rsidR="008B1328">
        <w:rPr>
          <w:rFonts w:ascii="Times New Roman" w:hAnsi="Times New Roman" w:cs="Times New Roman"/>
          <w:sz w:val="24"/>
        </w:rPr>
        <w:t>Pour les tests d’</w:t>
      </w:r>
      <w:r w:rsidR="00B957DF">
        <w:rPr>
          <w:rFonts w:ascii="Times New Roman" w:hAnsi="Times New Roman" w:cs="Times New Roman"/>
          <w:sz w:val="24"/>
        </w:rPr>
        <w:t>autocorrélation</w:t>
      </w:r>
      <w:r w:rsidR="008B1328">
        <w:rPr>
          <w:rFonts w:ascii="Times New Roman" w:hAnsi="Times New Roman" w:cs="Times New Roman"/>
          <w:sz w:val="24"/>
        </w:rPr>
        <w:t xml:space="preserve"> et </w:t>
      </w:r>
      <w:r w:rsidR="00B957DF">
        <w:rPr>
          <w:rFonts w:ascii="Times New Roman" w:hAnsi="Times New Roman" w:cs="Times New Roman"/>
          <w:sz w:val="24"/>
        </w:rPr>
        <w:t>d’</w:t>
      </w:r>
      <w:r w:rsidR="00A33282">
        <w:rPr>
          <w:rFonts w:ascii="Times New Roman" w:hAnsi="Times New Roman" w:cs="Times New Roman"/>
          <w:sz w:val="24"/>
        </w:rPr>
        <w:t>hétéroscédasticité</w:t>
      </w:r>
      <w:r w:rsidR="008B1328">
        <w:rPr>
          <w:rFonts w:ascii="Times New Roman" w:hAnsi="Times New Roman" w:cs="Times New Roman"/>
          <w:sz w:val="24"/>
        </w:rPr>
        <w:t xml:space="preserve">, la </w:t>
      </w:r>
      <w:r w:rsidR="00B957DF">
        <w:rPr>
          <w:rFonts w:ascii="Times New Roman" w:hAnsi="Times New Roman" w:cs="Times New Roman"/>
          <w:sz w:val="24"/>
        </w:rPr>
        <w:t>règle</w:t>
      </w:r>
      <w:r w:rsidR="008B1328">
        <w:rPr>
          <w:rFonts w:ascii="Times New Roman" w:hAnsi="Times New Roman" w:cs="Times New Roman"/>
          <w:sz w:val="24"/>
        </w:rPr>
        <w:t xml:space="preserve"> de </w:t>
      </w:r>
      <w:r w:rsidR="00B957DF">
        <w:rPr>
          <w:rFonts w:ascii="Times New Roman" w:hAnsi="Times New Roman" w:cs="Times New Roman"/>
          <w:sz w:val="24"/>
        </w:rPr>
        <w:t>décision</w:t>
      </w:r>
      <w:r w:rsidR="008B1328">
        <w:rPr>
          <w:rFonts w:ascii="Times New Roman" w:hAnsi="Times New Roman" w:cs="Times New Roman"/>
          <w:sz w:val="24"/>
        </w:rPr>
        <w:t xml:space="preserve"> consiste à ne pas rejeter l’</w:t>
      </w:r>
      <w:r w:rsidR="00B957DF">
        <w:rPr>
          <w:rFonts w:ascii="Times New Roman" w:hAnsi="Times New Roman" w:cs="Times New Roman"/>
          <w:sz w:val="24"/>
        </w:rPr>
        <w:t>hypothèse</w:t>
      </w:r>
      <w:r w:rsidR="008B1328">
        <w:rPr>
          <w:rFonts w:ascii="Times New Roman" w:hAnsi="Times New Roman" w:cs="Times New Roman"/>
          <w:sz w:val="24"/>
        </w:rPr>
        <w:t xml:space="preserve"> nulle à 5%, autrement dit, il faut que l</w:t>
      </w:r>
      <w:r w:rsidR="00F22F16">
        <w:rPr>
          <w:rFonts w:ascii="Times New Roman" w:hAnsi="Times New Roman" w:cs="Times New Roman"/>
          <w:sz w:val="24"/>
        </w:rPr>
        <w:t>a</w:t>
      </w:r>
      <w:r w:rsidR="008B1328">
        <w:rPr>
          <w:rFonts w:ascii="Times New Roman" w:hAnsi="Times New Roman" w:cs="Times New Roman"/>
          <w:sz w:val="24"/>
        </w:rPr>
        <w:t xml:space="preserve"> p-value soit supérieur</w:t>
      </w:r>
      <w:r w:rsidR="00F22F16">
        <w:rPr>
          <w:rFonts w:ascii="Times New Roman" w:hAnsi="Times New Roman" w:cs="Times New Roman"/>
          <w:sz w:val="24"/>
        </w:rPr>
        <w:t>e</w:t>
      </w:r>
      <w:r w:rsidR="008B1328">
        <w:rPr>
          <w:rFonts w:ascii="Times New Roman" w:hAnsi="Times New Roman" w:cs="Times New Roman"/>
          <w:sz w:val="24"/>
        </w:rPr>
        <w:t xml:space="preserve"> à 0.05. Pour les graphes de CUSUM, CUSUM CARRE</w:t>
      </w:r>
      <w:r w:rsidR="00A40C7C">
        <w:rPr>
          <w:rFonts w:ascii="Times New Roman" w:hAnsi="Times New Roman" w:cs="Times New Roman"/>
          <w:sz w:val="24"/>
        </w:rPr>
        <w:t xml:space="preserve"> et MOSUM, les fluctuations doivent</w:t>
      </w:r>
      <w:r w:rsidR="008B1328">
        <w:rPr>
          <w:rFonts w:ascii="Times New Roman" w:hAnsi="Times New Roman" w:cs="Times New Roman"/>
          <w:sz w:val="24"/>
        </w:rPr>
        <w:t xml:space="preserve"> se retrouver dans l’intervalle de confiance. </w:t>
      </w:r>
    </w:p>
    <w:p w14:paraId="331DFC3B" w14:textId="2062382E" w:rsidR="00630FD5" w:rsidRPr="00630FD5" w:rsidRDefault="00630FD5" w:rsidP="00E45A8F">
      <w:pPr>
        <w:jc w:val="both"/>
        <w:rPr>
          <w:rFonts w:ascii="Times New Roman" w:hAnsi="Times New Roman" w:cs="Times New Roman"/>
          <w:b/>
          <w:sz w:val="32"/>
        </w:rPr>
      </w:pPr>
      <w:r w:rsidRPr="00630FD5">
        <w:rPr>
          <w:rFonts w:ascii="Times New Roman" w:hAnsi="Times New Roman" w:cs="Times New Roman"/>
          <w:b/>
          <w:sz w:val="24"/>
          <w:szCs w:val="20"/>
        </w:rPr>
        <w:t>Tableau 10.  Résultats des tests diagnostiques du mod</w:t>
      </w:r>
      <w:r w:rsidRPr="00630FD5">
        <w:rPr>
          <w:rFonts w:ascii="Times New Roman" w:hAnsi="Times New Roman" w:cs="Times New Roman"/>
          <w:b/>
          <w:color w:val="000000"/>
          <w:sz w:val="24"/>
          <w:szCs w:val="20"/>
        </w:rPr>
        <w:t>èle ARDL-Bound</w:t>
      </w:r>
    </w:p>
    <w:tbl>
      <w:tblPr>
        <w:tblStyle w:val="Tableausimple2"/>
        <w:tblW w:w="9165" w:type="dxa"/>
        <w:jc w:val="center"/>
        <w:tblLook w:val="04A0" w:firstRow="1" w:lastRow="0" w:firstColumn="1" w:lastColumn="0" w:noHBand="0" w:noVBand="1"/>
      </w:tblPr>
      <w:tblGrid>
        <w:gridCol w:w="2935"/>
        <w:gridCol w:w="3238"/>
        <w:gridCol w:w="2992"/>
      </w:tblGrid>
      <w:tr w:rsidR="008B1328" w:rsidRPr="008B1328" w14:paraId="75F773A2" w14:textId="77777777" w:rsidTr="00630FD5">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935" w:type="dxa"/>
            <w:vAlign w:val="center"/>
          </w:tcPr>
          <w:p w14:paraId="1561673C" w14:textId="77777777" w:rsidR="008B1328" w:rsidRPr="008B1328" w:rsidRDefault="008B1328" w:rsidP="00C04C4E">
            <w:pPr>
              <w:autoSpaceDE w:val="0"/>
              <w:autoSpaceDN w:val="0"/>
              <w:adjustRightInd w:val="0"/>
              <w:spacing w:line="360" w:lineRule="auto"/>
              <w:jc w:val="center"/>
              <w:rPr>
                <w:rFonts w:ascii="Times New Roman" w:hAnsi="Times New Roman" w:cs="Times New Roman"/>
                <w:sz w:val="20"/>
                <w:szCs w:val="20"/>
              </w:rPr>
            </w:pPr>
            <w:r w:rsidRPr="008B1328">
              <w:rPr>
                <w:rFonts w:ascii="Times New Roman" w:hAnsi="Times New Roman" w:cs="Times New Roman"/>
                <w:sz w:val="20"/>
                <w:szCs w:val="20"/>
              </w:rPr>
              <w:t>Hypothèse du test</w:t>
            </w:r>
          </w:p>
        </w:tc>
        <w:tc>
          <w:tcPr>
            <w:tcW w:w="3238" w:type="dxa"/>
            <w:vAlign w:val="center"/>
          </w:tcPr>
          <w:p w14:paraId="54C221E4" w14:textId="77777777" w:rsidR="008B1328" w:rsidRPr="008B1328" w:rsidRDefault="008B1328" w:rsidP="00C04C4E">
            <w:pPr>
              <w:autoSpaceDE w:val="0"/>
              <w:autoSpaceDN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8B1328">
              <w:rPr>
                <w:rFonts w:ascii="Times New Roman" w:hAnsi="Times New Roman" w:cs="Times New Roman"/>
                <w:b w:val="0"/>
                <w:sz w:val="20"/>
                <w:szCs w:val="20"/>
              </w:rPr>
              <w:t>Tests</w:t>
            </w:r>
          </w:p>
        </w:tc>
        <w:tc>
          <w:tcPr>
            <w:tcW w:w="2992" w:type="dxa"/>
            <w:vAlign w:val="center"/>
          </w:tcPr>
          <w:p w14:paraId="369B1167" w14:textId="77777777" w:rsidR="008B1328" w:rsidRPr="008B1328" w:rsidRDefault="008B1328" w:rsidP="00C04C4E">
            <w:pPr>
              <w:autoSpaceDE w:val="0"/>
              <w:autoSpaceDN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8B1328">
              <w:rPr>
                <w:rFonts w:ascii="Times New Roman" w:hAnsi="Times New Roman" w:cs="Times New Roman"/>
                <w:b w:val="0"/>
                <w:sz w:val="20"/>
                <w:szCs w:val="20"/>
              </w:rPr>
              <w:t>Valeurs (probabilité)</w:t>
            </w:r>
          </w:p>
        </w:tc>
      </w:tr>
      <w:tr w:rsidR="008B1328" w:rsidRPr="008B1328" w14:paraId="1F79608F" w14:textId="77777777" w:rsidTr="00630FD5">
        <w:trPr>
          <w:cnfStyle w:val="000000100000" w:firstRow="0" w:lastRow="0" w:firstColumn="0" w:lastColumn="0" w:oddVBand="0" w:evenVBand="0" w:oddHBand="1" w:evenHBand="0" w:firstRowFirstColumn="0" w:firstRowLastColumn="0" w:lastRowFirstColumn="0" w:lastRowLastColumn="0"/>
          <w:trHeight w:val="324"/>
          <w:jc w:val="center"/>
        </w:trPr>
        <w:tc>
          <w:tcPr>
            <w:cnfStyle w:val="001000000000" w:firstRow="0" w:lastRow="0" w:firstColumn="1" w:lastColumn="0" w:oddVBand="0" w:evenVBand="0" w:oddHBand="0" w:evenHBand="0" w:firstRowFirstColumn="0" w:firstRowLastColumn="0" w:lastRowFirstColumn="0" w:lastRowLastColumn="0"/>
            <w:tcW w:w="2935" w:type="dxa"/>
            <w:vAlign w:val="center"/>
          </w:tcPr>
          <w:p w14:paraId="311BF82D" w14:textId="77777777" w:rsidR="008B1328" w:rsidRPr="008B1328" w:rsidRDefault="008B1328" w:rsidP="00C04C4E">
            <w:pPr>
              <w:autoSpaceDE w:val="0"/>
              <w:autoSpaceDN w:val="0"/>
              <w:adjustRightInd w:val="0"/>
              <w:spacing w:line="360" w:lineRule="auto"/>
              <w:jc w:val="center"/>
              <w:rPr>
                <w:rFonts w:ascii="Times New Roman" w:hAnsi="Times New Roman" w:cs="Times New Roman"/>
                <w:b w:val="0"/>
                <w:sz w:val="20"/>
                <w:szCs w:val="20"/>
              </w:rPr>
            </w:pPr>
            <w:r w:rsidRPr="008B1328">
              <w:rPr>
                <w:rFonts w:ascii="Times New Roman" w:hAnsi="Times New Roman" w:cs="Times New Roman"/>
                <w:b w:val="0"/>
                <w:sz w:val="20"/>
                <w:szCs w:val="20"/>
              </w:rPr>
              <w:t>Autocorrélation des erreurs</w:t>
            </w:r>
          </w:p>
        </w:tc>
        <w:tc>
          <w:tcPr>
            <w:tcW w:w="3238" w:type="dxa"/>
            <w:vAlign w:val="center"/>
          </w:tcPr>
          <w:p w14:paraId="190CA699" w14:textId="77777777" w:rsidR="008B1328" w:rsidRPr="008B1328" w:rsidRDefault="008B1328" w:rsidP="00C04C4E">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r w:rsidRPr="008B1328">
              <w:rPr>
                <w:rFonts w:ascii="Times New Roman" w:hAnsi="Times New Roman" w:cs="Times New Roman"/>
                <w:sz w:val="20"/>
                <w:szCs w:val="20"/>
              </w:rPr>
              <w:t>Breusch</w:t>
            </w:r>
            <w:proofErr w:type="spellEnd"/>
            <w:r w:rsidRPr="008B1328">
              <w:rPr>
                <w:rFonts w:ascii="Times New Roman" w:hAnsi="Times New Roman" w:cs="Times New Roman"/>
                <w:sz w:val="20"/>
                <w:szCs w:val="20"/>
              </w:rPr>
              <w:t>-Godfrey</w:t>
            </w:r>
          </w:p>
        </w:tc>
        <w:tc>
          <w:tcPr>
            <w:tcW w:w="2992" w:type="dxa"/>
            <w:vAlign w:val="center"/>
          </w:tcPr>
          <w:p w14:paraId="156003AA" w14:textId="77777777" w:rsidR="008B1328" w:rsidRPr="008B1328" w:rsidRDefault="008B1328" w:rsidP="00C04C4E">
            <w:pPr>
              <w:pStyle w:val="PrformatHTML"/>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B1328">
              <w:rPr>
                <w:rStyle w:val="gd15mcfceub"/>
                <w:rFonts w:ascii="Times New Roman" w:hAnsi="Times New Roman" w:cs="Times New Roman"/>
                <w:color w:val="000000"/>
                <w:bdr w:val="none" w:sz="0" w:space="0" w:color="auto" w:frame="1"/>
              </w:rPr>
              <w:t xml:space="preserve">0.00067803 </w:t>
            </w:r>
            <w:r w:rsidRPr="008B1328">
              <w:rPr>
                <w:rFonts w:ascii="Times New Roman" w:hAnsi="Times New Roman" w:cs="Times New Roman"/>
              </w:rPr>
              <w:t>(prob. 0.9792)*</w:t>
            </w:r>
          </w:p>
        </w:tc>
      </w:tr>
      <w:tr w:rsidR="008B1328" w:rsidRPr="008B1328" w14:paraId="2BC72950" w14:textId="77777777" w:rsidTr="00630FD5">
        <w:trPr>
          <w:trHeight w:val="260"/>
          <w:jc w:val="center"/>
        </w:trPr>
        <w:tc>
          <w:tcPr>
            <w:cnfStyle w:val="001000000000" w:firstRow="0" w:lastRow="0" w:firstColumn="1" w:lastColumn="0" w:oddVBand="0" w:evenVBand="0" w:oddHBand="0" w:evenHBand="0" w:firstRowFirstColumn="0" w:firstRowLastColumn="0" w:lastRowFirstColumn="0" w:lastRowLastColumn="0"/>
            <w:tcW w:w="2935" w:type="dxa"/>
            <w:vAlign w:val="center"/>
          </w:tcPr>
          <w:p w14:paraId="0E7A1296" w14:textId="77777777" w:rsidR="008B1328" w:rsidRPr="008B1328" w:rsidRDefault="008B1328" w:rsidP="00C04C4E">
            <w:pPr>
              <w:autoSpaceDE w:val="0"/>
              <w:autoSpaceDN w:val="0"/>
              <w:adjustRightInd w:val="0"/>
              <w:spacing w:line="360" w:lineRule="auto"/>
              <w:jc w:val="center"/>
              <w:rPr>
                <w:rFonts w:ascii="Times New Roman" w:hAnsi="Times New Roman" w:cs="Times New Roman"/>
                <w:b w:val="0"/>
                <w:sz w:val="20"/>
                <w:szCs w:val="20"/>
              </w:rPr>
            </w:pPr>
            <w:r w:rsidRPr="008B1328">
              <w:rPr>
                <w:rFonts w:ascii="Times New Roman" w:hAnsi="Times New Roman" w:cs="Times New Roman"/>
                <w:b w:val="0"/>
                <w:sz w:val="20"/>
                <w:szCs w:val="20"/>
              </w:rPr>
              <w:t>Hétéroscédasticité</w:t>
            </w:r>
          </w:p>
        </w:tc>
        <w:tc>
          <w:tcPr>
            <w:tcW w:w="3238" w:type="dxa"/>
            <w:vAlign w:val="center"/>
          </w:tcPr>
          <w:p w14:paraId="7C27C6A7" w14:textId="77777777" w:rsidR="008B1328" w:rsidRPr="008B1328" w:rsidRDefault="008B1328" w:rsidP="00C04C4E">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CA"/>
              </w:rPr>
            </w:pPr>
            <w:r w:rsidRPr="008B1328">
              <w:rPr>
                <w:rFonts w:ascii="Times New Roman" w:hAnsi="Times New Roman" w:cs="Times New Roman"/>
                <w:sz w:val="20"/>
                <w:szCs w:val="20"/>
                <w:lang w:val="en-CA"/>
              </w:rPr>
              <w:t>Breusch-Pagan-Godfrey</w:t>
            </w:r>
          </w:p>
        </w:tc>
        <w:tc>
          <w:tcPr>
            <w:tcW w:w="2992" w:type="dxa"/>
            <w:vAlign w:val="center"/>
          </w:tcPr>
          <w:p w14:paraId="1CFCDD6C" w14:textId="77777777" w:rsidR="008B1328" w:rsidRPr="008B1328" w:rsidRDefault="008B1328" w:rsidP="00C04C4E">
            <w:pPr>
              <w:pStyle w:val="PrformatHTML"/>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8B1328">
              <w:rPr>
                <w:rStyle w:val="gd15mcfceub"/>
                <w:rFonts w:ascii="Times New Roman" w:hAnsi="Times New Roman" w:cs="Times New Roman"/>
                <w:color w:val="000000"/>
                <w:bdr w:val="none" w:sz="0" w:space="0" w:color="auto" w:frame="1"/>
              </w:rPr>
              <w:t xml:space="preserve">5.0983 </w:t>
            </w:r>
            <w:r w:rsidRPr="008B1328">
              <w:rPr>
                <w:rFonts w:ascii="Times New Roman" w:hAnsi="Times New Roman" w:cs="Times New Roman"/>
                <w:lang w:val="fr-CA"/>
              </w:rPr>
              <w:t>(prob. 0.8845)*</w:t>
            </w:r>
          </w:p>
        </w:tc>
      </w:tr>
    </w:tbl>
    <w:p w14:paraId="2063D042" w14:textId="01263C43" w:rsidR="00630FD5" w:rsidRPr="00630FD5" w:rsidRDefault="00630FD5" w:rsidP="00E45A8F">
      <w:pPr>
        <w:jc w:val="both"/>
        <w:rPr>
          <w:rFonts w:ascii="Times New Roman" w:hAnsi="Times New Roman" w:cs="Times New Roman"/>
          <w:sz w:val="20"/>
        </w:rPr>
      </w:pPr>
      <w:r w:rsidRPr="00630FD5">
        <w:rPr>
          <w:rFonts w:ascii="Times New Roman" w:hAnsi="Times New Roman" w:cs="Times New Roman"/>
          <w:sz w:val="20"/>
        </w:rPr>
        <w:t xml:space="preserve">Signification du code (*) : Test réussi à 5%. </w:t>
      </w:r>
    </w:p>
    <w:p w14:paraId="1288BAEE" w14:textId="30707173" w:rsidR="008B1328" w:rsidRDefault="00630FD5" w:rsidP="00E45A8F">
      <w:pPr>
        <w:jc w:val="both"/>
        <w:rPr>
          <w:rFonts w:ascii="Times New Roman" w:hAnsi="Times New Roman" w:cs="Times New Roman"/>
          <w:b/>
          <w:bCs/>
          <w:sz w:val="20"/>
        </w:rPr>
      </w:pPr>
      <w:r w:rsidRPr="00F26E46">
        <w:rPr>
          <w:rFonts w:ascii="Times New Roman" w:hAnsi="Times New Roman" w:cs="Times New Roman"/>
          <w:b/>
          <w:bCs/>
          <w:sz w:val="20"/>
        </w:rPr>
        <w:t>Source :</w:t>
      </w:r>
      <w:r w:rsidR="00F26E46">
        <w:rPr>
          <w:rFonts w:ascii="Times New Roman" w:hAnsi="Times New Roman" w:cs="Times New Roman"/>
          <w:sz w:val="20"/>
        </w:rPr>
        <w:t xml:space="preserve"> </w:t>
      </w:r>
      <w:r w:rsidR="00DE6D6E" w:rsidRPr="00317520">
        <w:rPr>
          <w:rFonts w:ascii="Times New Roman" w:eastAsia="Times New Roman" w:hAnsi="Times New Roman" w:cs="Times New Roman"/>
          <w:b/>
          <w:bCs/>
          <w:color w:val="000000"/>
          <w:sz w:val="20"/>
          <w:szCs w:val="20"/>
          <w:lang w:eastAsia="fr-FR"/>
        </w:rPr>
        <w:t xml:space="preserve">Compte déplacements des voyageurs en Île-de-France (Île de France Mobilités) et Île-de-France Mobilités, d'après RATP, </w:t>
      </w:r>
      <w:proofErr w:type="spellStart"/>
      <w:r w:rsidR="00DE6D6E" w:rsidRPr="00317520">
        <w:rPr>
          <w:rFonts w:ascii="Times New Roman" w:eastAsia="Times New Roman" w:hAnsi="Times New Roman" w:cs="Times New Roman"/>
          <w:b/>
          <w:bCs/>
          <w:color w:val="000000"/>
          <w:sz w:val="20"/>
          <w:szCs w:val="20"/>
          <w:lang w:eastAsia="fr-FR"/>
        </w:rPr>
        <w:t>Optile</w:t>
      </w:r>
      <w:proofErr w:type="spellEnd"/>
      <w:r w:rsidR="00DE6D6E" w:rsidRPr="00317520">
        <w:rPr>
          <w:rFonts w:ascii="Times New Roman" w:eastAsia="Times New Roman" w:hAnsi="Times New Roman" w:cs="Times New Roman"/>
          <w:b/>
          <w:bCs/>
          <w:color w:val="000000"/>
          <w:sz w:val="20"/>
          <w:szCs w:val="20"/>
          <w:lang w:eastAsia="fr-FR"/>
        </w:rPr>
        <w:t xml:space="preserve"> et SNCF</w:t>
      </w:r>
      <w:r w:rsidR="00DE6D6E" w:rsidRPr="00317520">
        <w:rPr>
          <w:rFonts w:ascii="Times New Roman" w:hAnsi="Times New Roman" w:cs="Times New Roman"/>
          <w:b/>
          <w:bCs/>
          <w:sz w:val="20"/>
        </w:rPr>
        <w:tab/>
      </w:r>
    </w:p>
    <w:p w14:paraId="21A5EFAA" w14:textId="77777777" w:rsidR="009C07D5" w:rsidRPr="00630FD5" w:rsidRDefault="009C07D5" w:rsidP="00E45A8F">
      <w:pPr>
        <w:jc w:val="both"/>
        <w:rPr>
          <w:rFonts w:ascii="Times New Roman" w:hAnsi="Times New Roman" w:cs="Times New Roman"/>
          <w:sz w:val="20"/>
        </w:rPr>
      </w:pPr>
    </w:p>
    <w:p w14:paraId="22780046" w14:textId="16A061B6" w:rsidR="00B35B6D" w:rsidRDefault="00B35B6D" w:rsidP="00E45A8F">
      <w:pPr>
        <w:jc w:val="both"/>
        <w:rPr>
          <w:rFonts w:ascii="Times New Roman" w:hAnsi="Times New Roman" w:cs="Times New Roman"/>
          <w:sz w:val="24"/>
        </w:rPr>
      </w:pPr>
      <w:r>
        <w:rPr>
          <w:rFonts w:ascii="Times New Roman" w:hAnsi="Times New Roman" w:cs="Times New Roman"/>
          <w:sz w:val="24"/>
        </w:rPr>
        <w:t>Les deux tests montrent qu’il n’existe pas d’Autocorrélation des erreurs et d’</w:t>
      </w:r>
      <w:r w:rsidR="00ED147A">
        <w:rPr>
          <w:rFonts w:ascii="Times New Roman" w:hAnsi="Times New Roman" w:cs="Times New Roman"/>
          <w:sz w:val="24"/>
        </w:rPr>
        <w:t>Hétéroscédasticité</w:t>
      </w:r>
      <w:r>
        <w:rPr>
          <w:rFonts w:ascii="Times New Roman" w:hAnsi="Times New Roman" w:cs="Times New Roman"/>
          <w:sz w:val="24"/>
        </w:rPr>
        <w:t xml:space="preserve">. Le graphe ci-dessous nous informe </w:t>
      </w:r>
      <w:r w:rsidR="00ED147A">
        <w:rPr>
          <w:rFonts w:ascii="Times New Roman" w:hAnsi="Times New Roman" w:cs="Times New Roman"/>
          <w:sz w:val="24"/>
        </w:rPr>
        <w:t>de</w:t>
      </w:r>
      <w:r>
        <w:rPr>
          <w:rFonts w:ascii="Times New Roman" w:hAnsi="Times New Roman" w:cs="Times New Roman"/>
          <w:sz w:val="24"/>
        </w:rPr>
        <w:t xml:space="preserve"> la stabilité des coefficients. En effet,  pour le CUSUM, le graphe est à l’</w:t>
      </w:r>
      <w:r w:rsidR="00110DCA">
        <w:rPr>
          <w:rFonts w:ascii="Times New Roman" w:hAnsi="Times New Roman" w:cs="Times New Roman"/>
          <w:sz w:val="24"/>
        </w:rPr>
        <w:t>intérieur</w:t>
      </w:r>
      <w:r>
        <w:rPr>
          <w:rFonts w:ascii="Times New Roman" w:hAnsi="Times New Roman" w:cs="Times New Roman"/>
          <w:sz w:val="24"/>
        </w:rPr>
        <w:t xml:space="preserve"> de l’intervalle de confiance sur toute la </w:t>
      </w:r>
      <w:r w:rsidR="00110DCA">
        <w:rPr>
          <w:rFonts w:ascii="Times New Roman" w:hAnsi="Times New Roman" w:cs="Times New Roman"/>
          <w:sz w:val="24"/>
        </w:rPr>
        <w:t>période</w:t>
      </w:r>
      <w:r>
        <w:rPr>
          <w:rFonts w:ascii="Times New Roman" w:hAnsi="Times New Roman" w:cs="Times New Roman"/>
          <w:sz w:val="24"/>
        </w:rPr>
        <w:t>. Le test</w:t>
      </w:r>
      <w:r w:rsidR="00ED147A">
        <w:rPr>
          <w:rFonts w:ascii="Times New Roman" w:hAnsi="Times New Roman" w:cs="Times New Roman"/>
          <w:sz w:val="24"/>
        </w:rPr>
        <w:t xml:space="preserve"> MOSUM</w:t>
      </w:r>
      <w:r>
        <w:rPr>
          <w:rFonts w:ascii="Times New Roman" w:hAnsi="Times New Roman" w:cs="Times New Roman"/>
          <w:sz w:val="24"/>
        </w:rPr>
        <w:t xml:space="preserve"> montre aussi une grande stabilité.</w:t>
      </w:r>
      <w:r w:rsidR="00ED147A">
        <w:rPr>
          <w:rFonts w:ascii="Times New Roman" w:hAnsi="Times New Roman" w:cs="Times New Roman"/>
          <w:sz w:val="24"/>
        </w:rPr>
        <w:t xml:space="preserve"> Et l</w:t>
      </w:r>
      <w:r w:rsidR="00110DCA">
        <w:rPr>
          <w:rFonts w:ascii="Times New Roman" w:hAnsi="Times New Roman" w:cs="Times New Roman"/>
          <w:sz w:val="24"/>
        </w:rPr>
        <w:t xml:space="preserve">e CUSUM des carrés </w:t>
      </w:r>
      <w:r w:rsidR="00ED147A">
        <w:rPr>
          <w:rFonts w:ascii="Times New Roman" w:hAnsi="Times New Roman" w:cs="Times New Roman"/>
          <w:sz w:val="24"/>
        </w:rPr>
        <w:t xml:space="preserve">affiche certes </w:t>
      </w:r>
      <w:r w:rsidR="00110DCA">
        <w:rPr>
          <w:rFonts w:ascii="Times New Roman" w:hAnsi="Times New Roman" w:cs="Times New Roman"/>
          <w:sz w:val="24"/>
        </w:rPr>
        <w:t xml:space="preserve">une stabilité moindre mais une grande partie reste à l’intérieur de l’intervalle. </w:t>
      </w:r>
    </w:p>
    <w:p w14:paraId="3F842258" w14:textId="21E433FC" w:rsidR="0058383F" w:rsidRPr="0058383F" w:rsidRDefault="0058383F" w:rsidP="0058383F">
      <w:pPr>
        <w:pStyle w:val="Lgende"/>
        <w:keepNext/>
        <w:jc w:val="center"/>
        <w:rPr>
          <w:rFonts w:ascii="Times New Roman" w:hAnsi="Times New Roman" w:cs="Times New Roman"/>
          <w:b/>
          <w:i w:val="0"/>
          <w:sz w:val="24"/>
        </w:rPr>
      </w:pPr>
      <w:r w:rsidRPr="0058383F">
        <w:rPr>
          <w:rFonts w:ascii="Times New Roman" w:hAnsi="Times New Roman" w:cs="Times New Roman"/>
          <w:b/>
          <w:i w:val="0"/>
          <w:sz w:val="24"/>
        </w:rPr>
        <w:lastRenderedPageBreak/>
        <w:t xml:space="preserve"> </w:t>
      </w:r>
      <w:r w:rsidRPr="00F22F16">
        <w:rPr>
          <w:rFonts w:ascii="Times New Roman" w:hAnsi="Times New Roman" w:cs="Times New Roman"/>
          <w:b/>
          <w:i w:val="0"/>
          <w:color w:val="auto"/>
          <w:sz w:val="24"/>
        </w:rPr>
        <w:t>Stabilité des coefficients dans le temps</w:t>
      </w:r>
    </w:p>
    <w:p w14:paraId="224BE28F" w14:textId="77777777" w:rsidR="0058383F" w:rsidRDefault="00B35B6D" w:rsidP="0058383F">
      <w:pPr>
        <w:keepNext/>
        <w:jc w:val="center"/>
      </w:pPr>
      <w:r w:rsidRPr="00B35B6D">
        <w:rPr>
          <w:rFonts w:ascii="Times New Roman" w:hAnsi="Times New Roman" w:cs="Times New Roman"/>
          <w:noProof/>
          <w:sz w:val="24"/>
          <w:lang w:eastAsia="fr-FR"/>
        </w:rPr>
        <w:drawing>
          <wp:inline distT="0" distB="0" distL="0" distR="0" wp14:anchorId="0501EEC3" wp14:editId="4DCE657A">
            <wp:extent cx="4097339" cy="3039533"/>
            <wp:effectExtent l="19050" t="19050" r="17780" b="27940"/>
            <wp:docPr id="8" name="Picture 8" descr="C:\Users\marosemond\Documents\formation personnelle marc\memoireEdnie\memoireEdnie\CUS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rosemond\Documents\formation personnelle marc\memoireEdnie\memoireEdnie\CUSUM.png"/>
                    <pic:cNvPicPr>
                      <a:picLocks noChangeAspect="1" noChangeArrowheads="1"/>
                    </pic:cNvPicPr>
                  </pic:nvPicPr>
                  <pic:blipFill rotWithShape="1">
                    <a:blip r:embed="rId19">
                      <a:extLst>
                        <a:ext uri="{28A0092B-C50C-407E-A947-70E740481C1C}">
                          <a14:useLocalDpi xmlns:a14="http://schemas.microsoft.com/office/drawing/2010/main" val="0"/>
                        </a:ext>
                      </a:extLst>
                    </a:blip>
                    <a:srcRect r="1614" b="13759"/>
                    <a:stretch/>
                  </pic:blipFill>
                  <pic:spPr bwMode="auto">
                    <a:xfrm>
                      <a:off x="0" y="0"/>
                      <a:ext cx="4149998" cy="3078597"/>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p>
    <w:p w14:paraId="0217C5D4" w14:textId="5774338C" w:rsidR="0058383F" w:rsidRDefault="0058383F" w:rsidP="0058383F">
      <w:pPr>
        <w:keepNext/>
        <w:rPr>
          <w:rFonts w:ascii="Times New Roman" w:hAnsi="Times New Roman" w:cs="Times New Roman"/>
          <w:b/>
          <w:bCs/>
          <w:sz w:val="20"/>
        </w:rPr>
      </w:pPr>
      <w:r w:rsidRPr="00DE6D6E">
        <w:rPr>
          <w:rFonts w:ascii="Times New Roman" w:hAnsi="Times New Roman" w:cs="Times New Roman"/>
          <w:b/>
          <w:bCs/>
          <w:sz w:val="20"/>
        </w:rPr>
        <w:t>Source :</w:t>
      </w:r>
      <w:r w:rsidR="00DE6D6E" w:rsidRPr="00DE6D6E">
        <w:rPr>
          <w:rFonts w:ascii="Times New Roman" w:hAnsi="Times New Roman" w:cs="Times New Roman"/>
          <w:b/>
          <w:bCs/>
          <w:sz w:val="20"/>
        </w:rPr>
        <w:t xml:space="preserve"> </w:t>
      </w:r>
      <w:r w:rsidR="00DE6D6E" w:rsidRPr="00DE6D6E">
        <w:rPr>
          <w:rFonts w:ascii="Times New Roman" w:eastAsia="Times New Roman" w:hAnsi="Times New Roman" w:cs="Times New Roman"/>
          <w:b/>
          <w:bCs/>
          <w:color w:val="000000"/>
          <w:sz w:val="20"/>
          <w:szCs w:val="20"/>
          <w:lang w:eastAsia="fr-FR"/>
        </w:rPr>
        <w:t xml:space="preserve">Compte déplacements des voyageurs en Île-de-France (Île de France Mobilités) et Île-de-France Mobilités, d'après RATP, </w:t>
      </w:r>
      <w:proofErr w:type="spellStart"/>
      <w:r w:rsidR="00DE6D6E" w:rsidRPr="00DE6D6E">
        <w:rPr>
          <w:rFonts w:ascii="Times New Roman" w:eastAsia="Times New Roman" w:hAnsi="Times New Roman" w:cs="Times New Roman"/>
          <w:b/>
          <w:bCs/>
          <w:color w:val="000000"/>
          <w:sz w:val="20"/>
          <w:szCs w:val="20"/>
          <w:lang w:eastAsia="fr-FR"/>
        </w:rPr>
        <w:t>Optile</w:t>
      </w:r>
      <w:proofErr w:type="spellEnd"/>
      <w:r w:rsidR="00DE6D6E" w:rsidRPr="00DE6D6E">
        <w:rPr>
          <w:rFonts w:ascii="Times New Roman" w:eastAsia="Times New Roman" w:hAnsi="Times New Roman" w:cs="Times New Roman"/>
          <w:b/>
          <w:bCs/>
          <w:color w:val="000000"/>
          <w:sz w:val="20"/>
          <w:szCs w:val="20"/>
          <w:lang w:eastAsia="fr-FR"/>
        </w:rPr>
        <w:t xml:space="preserve"> et SNCF</w:t>
      </w:r>
      <w:r w:rsidR="00DE6D6E" w:rsidRPr="00DE6D6E">
        <w:rPr>
          <w:rFonts w:ascii="Times New Roman" w:hAnsi="Times New Roman" w:cs="Times New Roman"/>
          <w:b/>
          <w:bCs/>
          <w:sz w:val="20"/>
        </w:rPr>
        <w:tab/>
      </w:r>
    </w:p>
    <w:p w14:paraId="1FEA745A" w14:textId="77777777" w:rsidR="00CB3830" w:rsidRDefault="00CB3830" w:rsidP="0058383F">
      <w:pPr>
        <w:keepNext/>
        <w:rPr>
          <w:rFonts w:ascii="Times New Roman" w:hAnsi="Times New Roman" w:cs="Times New Roman"/>
          <w:b/>
          <w:bCs/>
          <w:sz w:val="20"/>
        </w:rPr>
      </w:pPr>
    </w:p>
    <w:p w14:paraId="0E2A4C7B" w14:textId="37884284" w:rsidR="00D47724" w:rsidRPr="00080B5A" w:rsidRDefault="00D47724" w:rsidP="00F61F98">
      <w:pPr>
        <w:pStyle w:val="Titre3"/>
        <w:numPr>
          <w:ilvl w:val="0"/>
          <w:numId w:val="15"/>
        </w:numPr>
        <w:rPr>
          <w:rFonts w:ascii="Times New Roman" w:hAnsi="Times New Roman" w:cs="Times New Roman"/>
          <w:b/>
          <w:bCs/>
        </w:rPr>
      </w:pPr>
      <w:bookmarkStart w:id="43" w:name="_Toc70937422"/>
      <w:r w:rsidRPr="00080B5A">
        <w:rPr>
          <w:rFonts w:ascii="Times New Roman" w:hAnsi="Times New Roman" w:cs="Times New Roman"/>
          <w:b/>
          <w:bCs/>
        </w:rPr>
        <w:t>Estimation de court et de long terme</w:t>
      </w:r>
      <w:bookmarkEnd w:id="43"/>
    </w:p>
    <w:p w14:paraId="07C4B792" w14:textId="63FD211D" w:rsidR="00D47724" w:rsidRPr="00632CE4" w:rsidRDefault="00D17F39" w:rsidP="00D17F39">
      <w:pPr>
        <w:jc w:val="both"/>
        <w:rPr>
          <w:rFonts w:ascii="Times New Roman" w:hAnsi="Times New Roman" w:cs="Times New Roman"/>
          <w:sz w:val="24"/>
        </w:rPr>
      </w:pPr>
      <w:r w:rsidRPr="00632CE4">
        <w:rPr>
          <w:rFonts w:ascii="Times New Roman" w:hAnsi="Times New Roman" w:cs="Times New Roman"/>
          <w:sz w:val="24"/>
        </w:rPr>
        <w:t xml:space="preserve">Le test de </w:t>
      </w:r>
      <w:r w:rsidR="009B1A5B">
        <w:rPr>
          <w:rFonts w:ascii="Times New Roman" w:hAnsi="Times New Roman" w:cs="Times New Roman"/>
          <w:sz w:val="24"/>
        </w:rPr>
        <w:t>C</w:t>
      </w:r>
      <w:r w:rsidRPr="00632CE4">
        <w:rPr>
          <w:rFonts w:ascii="Times New Roman" w:hAnsi="Times New Roman" w:cs="Times New Roman"/>
          <w:sz w:val="24"/>
        </w:rPr>
        <w:t xml:space="preserve">ointégration montre qu’il existe une relation de long terme différente de la dynamique de court terme. Il y a ainsi des coefficients de court terme et de long terme dont il faut analyser l’impact. </w:t>
      </w:r>
    </w:p>
    <w:p w14:paraId="20C307F3" w14:textId="77777777" w:rsidR="00D17F39" w:rsidRPr="00071463" w:rsidRDefault="00D17F39" w:rsidP="00D17F39">
      <w:pPr>
        <w:pStyle w:val="Paragraphedeliste"/>
        <w:numPr>
          <w:ilvl w:val="0"/>
          <w:numId w:val="4"/>
        </w:numPr>
        <w:jc w:val="both"/>
        <w:rPr>
          <w:rFonts w:ascii="Times New Roman" w:hAnsi="Times New Roman" w:cs="Times New Roman"/>
          <w:b/>
          <w:sz w:val="24"/>
          <w:szCs w:val="28"/>
        </w:rPr>
      </w:pPr>
      <w:r w:rsidRPr="00071463">
        <w:rPr>
          <w:rFonts w:ascii="Times New Roman" w:hAnsi="Times New Roman" w:cs="Times New Roman"/>
          <w:b/>
          <w:sz w:val="24"/>
          <w:szCs w:val="28"/>
        </w:rPr>
        <w:t xml:space="preserve">Relation de court terme </w:t>
      </w:r>
    </w:p>
    <w:p w14:paraId="7514B9AF" w14:textId="7FBFB53F" w:rsidR="00E370AB" w:rsidRPr="00632CE4" w:rsidRDefault="00D17F39" w:rsidP="00D17F39">
      <w:pPr>
        <w:jc w:val="both"/>
        <w:rPr>
          <w:rFonts w:ascii="Times New Roman" w:hAnsi="Times New Roman" w:cs="Times New Roman"/>
          <w:sz w:val="24"/>
        </w:rPr>
      </w:pPr>
      <w:r w:rsidRPr="00632CE4">
        <w:rPr>
          <w:rFonts w:ascii="Times New Roman" w:hAnsi="Times New Roman" w:cs="Times New Roman"/>
          <w:sz w:val="24"/>
        </w:rPr>
        <w:t xml:space="preserve"> Les résultats montrent une dynamique de court terme assez similaire à l’estimation du </w:t>
      </w:r>
      <w:r w:rsidR="00E370AB" w:rsidRPr="00632CE4">
        <w:rPr>
          <w:rFonts w:ascii="Times New Roman" w:hAnsi="Times New Roman" w:cs="Times New Roman"/>
          <w:sz w:val="24"/>
        </w:rPr>
        <w:t>modèle</w:t>
      </w:r>
      <w:r w:rsidRPr="00632CE4">
        <w:rPr>
          <w:rFonts w:ascii="Times New Roman" w:hAnsi="Times New Roman" w:cs="Times New Roman"/>
          <w:sz w:val="24"/>
        </w:rPr>
        <w:t xml:space="preserve"> ARDL. En fait, </w:t>
      </w:r>
      <w:r w:rsidR="00E370AB" w:rsidRPr="00632CE4">
        <w:rPr>
          <w:rFonts w:ascii="Times New Roman" w:hAnsi="Times New Roman" w:cs="Times New Roman"/>
          <w:sz w:val="24"/>
        </w:rPr>
        <w:t>la force de rappel (</w:t>
      </w:r>
      <w:proofErr w:type="spellStart"/>
      <w:r w:rsidR="00E370AB" w:rsidRPr="00632CE4">
        <w:rPr>
          <w:rFonts w:ascii="Times New Roman" w:hAnsi="Times New Roman" w:cs="Times New Roman"/>
          <w:sz w:val="24"/>
        </w:rPr>
        <w:t>ecm</w:t>
      </w:r>
      <w:proofErr w:type="spellEnd"/>
      <w:r w:rsidR="00E370AB" w:rsidRPr="00632CE4">
        <w:rPr>
          <w:rFonts w:ascii="Times New Roman" w:hAnsi="Times New Roman" w:cs="Times New Roman"/>
          <w:sz w:val="24"/>
        </w:rPr>
        <w:t>) est négative et compris entre zéro et un en valeur absolu</w:t>
      </w:r>
      <w:r w:rsidR="009B1A5B">
        <w:rPr>
          <w:rFonts w:ascii="Times New Roman" w:hAnsi="Times New Roman" w:cs="Times New Roman"/>
          <w:sz w:val="24"/>
        </w:rPr>
        <w:t>e</w:t>
      </w:r>
      <w:r w:rsidR="00E370AB" w:rsidRPr="00632CE4">
        <w:rPr>
          <w:rFonts w:ascii="Times New Roman" w:hAnsi="Times New Roman" w:cs="Times New Roman"/>
          <w:sz w:val="24"/>
        </w:rPr>
        <w:t xml:space="preserve"> et significati</w:t>
      </w:r>
      <w:r w:rsidR="009B1A5B">
        <w:rPr>
          <w:rFonts w:ascii="Times New Roman" w:hAnsi="Times New Roman" w:cs="Times New Roman"/>
          <w:sz w:val="24"/>
        </w:rPr>
        <w:t>ve</w:t>
      </w:r>
      <w:r w:rsidR="00E370AB" w:rsidRPr="00632CE4">
        <w:rPr>
          <w:rFonts w:ascii="Times New Roman" w:hAnsi="Times New Roman" w:cs="Times New Roman"/>
          <w:sz w:val="24"/>
        </w:rPr>
        <w:t xml:space="preserve">, ce qui nous rassure sur la </w:t>
      </w:r>
      <w:r w:rsidR="00632CE4" w:rsidRPr="00632CE4">
        <w:rPr>
          <w:rFonts w:ascii="Times New Roman" w:hAnsi="Times New Roman" w:cs="Times New Roman"/>
          <w:sz w:val="24"/>
        </w:rPr>
        <w:t>Co</w:t>
      </w:r>
      <w:r w:rsidR="00E370AB" w:rsidRPr="00632CE4">
        <w:rPr>
          <w:rFonts w:ascii="Times New Roman" w:hAnsi="Times New Roman" w:cs="Times New Roman"/>
          <w:sz w:val="24"/>
        </w:rPr>
        <w:t xml:space="preserve">intégration entre les variables. </w:t>
      </w:r>
    </w:p>
    <w:p w14:paraId="3724688F" w14:textId="1581FE91" w:rsidR="00E370AB" w:rsidRPr="00632CE4" w:rsidRDefault="003E23C8" w:rsidP="00D17F39">
      <w:pPr>
        <w:jc w:val="both"/>
        <w:rPr>
          <w:rFonts w:ascii="Times New Roman" w:eastAsia="Times New Roman" w:hAnsi="Times New Roman" w:cs="Times New Roman"/>
          <w:color w:val="000000"/>
          <w:sz w:val="24"/>
          <w:szCs w:val="24"/>
          <w:lang w:eastAsia="fr-FR"/>
        </w:rPr>
      </w:pPr>
      <w:r w:rsidRPr="00632CE4">
        <w:rPr>
          <w:rFonts w:ascii="Times New Roman" w:hAnsi="Times New Roman" w:cs="Times New Roman"/>
          <w:sz w:val="24"/>
          <w:szCs w:val="24"/>
        </w:rPr>
        <w:t xml:space="preserve"> </w:t>
      </w:r>
      <w:r w:rsidR="00E370AB" w:rsidRPr="00632CE4">
        <w:rPr>
          <w:rFonts w:ascii="Times New Roman" w:hAnsi="Times New Roman" w:cs="Times New Roman"/>
          <w:sz w:val="24"/>
          <w:szCs w:val="24"/>
        </w:rPr>
        <w:t xml:space="preserve">Les </w:t>
      </w:r>
      <w:r w:rsidR="00632CE4" w:rsidRPr="00632CE4">
        <w:rPr>
          <w:rFonts w:ascii="Times New Roman" w:hAnsi="Times New Roman" w:cs="Times New Roman"/>
          <w:sz w:val="24"/>
          <w:szCs w:val="24"/>
        </w:rPr>
        <w:t xml:space="preserve">investissements ont un impact négatif sur la rentabilité pour le mois engagé. Ainsi chaque </w:t>
      </w:r>
      <w:r w:rsidR="009B1A5B">
        <w:rPr>
          <w:rFonts w:ascii="Times New Roman" w:hAnsi="Times New Roman" w:cs="Times New Roman"/>
          <w:sz w:val="24"/>
          <w:szCs w:val="24"/>
        </w:rPr>
        <w:t xml:space="preserve">euro </w:t>
      </w:r>
      <w:r w:rsidR="00632CE4" w:rsidRPr="00632CE4">
        <w:rPr>
          <w:rFonts w:ascii="Times New Roman" w:hAnsi="Times New Roman" w:cs="Times New Roman"/>
          <w:sz w:val="24"/>
          <w:szCs w:val="24"/>
        </w:rPr>
        <w:t xml:space="preserve">investi dans le mois </w:t>
      </w:r>
      <w:r w:rsidR="009B1A5B">
        <w:rPr>
          <w:rFonts w:ascii="Times New Roman" w:hAnsi="Times New Roman" w:cs="Times New Roman"/>
          <w:sz w:val="24"/>
          <w:szCs w:val="24"/>
        </w:rPr>
        <w:t xml:space="preserve">fait baisser </w:t>
      </w:r>
      <w:r w:rsidR="00632CE4" w:rsidRPr="00632CE4">
        <w:rPr>
          <w:rFonts w:ascii="Times New Roman" w:hAnsi="Times New Roman" w:cs="Times New Roman"/>
          <w:sz w:val="24"/>
          <w:szCs w:val="24"/>
        </w:rPr>
        <w:t>la rentabilité d’une valeur de (</w:t>
      </w:r>
      <w:r w:rsidR="00632CE4" w:rsidRPr="00632CE4">
        <w:rPr>
          <w:rFonts w:ascii="Times New Roman" w:eastAsia="Times New Roman" w:hAnsi="Times New Roman" w:cs="Times New Roman"/>
          <w:color w:val="000000"/>
          <w:sz w:val="24"/>
          <w:szCs w:val="24"/>
          <w:lang w:eastAsia="fr-FR"/>
        </w:rPr>
        <w:t>2.41E-11). Cet effet négatif ne dure pas puisque le mois suivant l’impact de l’investissement dans la transition énergétique sera positif d’une valeur de (2.17E-11). Nous observons une diminution de l’impact négatif au mois suivant mais ce dernier ne sert pas à compenser la baisse observé</w:t>
      </w:r>
      <w:r w:rsidR="009B1A5B">
        <w:rPr>
          <w:rFonts w:ascii="Times New Roman" w:eastAsia="Times New Roman" w:hAnsi="Times New Roman" w:cs="Times New Roman"/>
          <w:color w:val="000000"/>
          <w:sz w:val="24"/>
          <w:szCs w:val="24"/>
          <w:lang w:eastAsia="fr-FR"/>
        </w:rPr>
        <w:t>e</w:t>
      </w:r>
      <w:r w:rsidR="00632CE4" w:rsidRPr="00632CE4">
        <w:rPr>
          <w:rFonts w:ascii="Times New Roman" w:eastAsia="Times New Roman" w:hAnsi="Times New Roman" w:cs="Times New Roman"/>
          <w:color w:val="000000"/>
          <w:sz w:val="24"/>
          <w:szCs w:val="24"/>
          <w:lang w:eastAsia="fr-FR"/>
        </w:rPr>
        <w:t xml:space="preserve"> le mois antérieur puisqu’en valeur absolu</w:t>
      </w:r>
      <w:r w:rsidR="009B1A5B">
        <w:rPr>
          <w:rFonts w:ascii="Times New Roman" w:eastAsia="Times New Roman" w:hAnsi="Times New Roman" w:cs="Times New Roman"/>
          <w:color w:val="000000"/>
          <w:sz w:val="24"/>
          <w:szCs w:val="24"/>
          <w:lang w:eastAsia="fr-FR"/>
        </w:rPr>
        <w:t>e,</w:t>
      </w:r>
      <w:r w:rsidR="00632CE4" w:rsidRPr="00632CE4">
        <w:rPr>
          <w:rFonts w:ascii="Times New Roman" w:eastAsia="Times New Roman" w:hAnsi="Times New Roman" w:cs="Times New Roman"/>
          <w:color w:val="000000"/>
          <w:sz w:val="24"/>
          <w:szCs w:val="24"/>
          <w:lang w:eastAsia="fr-FR"/>
        </w:rPr>
        <w:t xml:space="preserve"> l’impact est plus fort dans le mois où l’investissement est engagé. </w:t>
      </w:r>
      <w:r w:rsidR="009D2E90">
        <w:rPr>
          <w:rFonts w:ascii="Times New Roman" w:eastAsia="Times New Roman" w:hAnsi="Times New Roman" w:cs="Times New Roman"/>
          <w:color w:val="000000"/>
          <w:sz w:val="24"/>
          <w:szCs w:val="24"/>
          <w:lang w:eastAsia="fr-FR"/>
        </w:rPr>
        <w:t xml:space="preserve">Il faut donc </w:t>
      </w:r>
      <w:r w:rsidR="009B1A5B">
        <w:rPr>
          <w:rFonts w:ascii="Times New Roman" w:eastAsia="Times New Roman" w:hAnsi="Times New Roman" w:cs="Times New Roman"/>
          <w:color w:val="000000"/>
          <w:sz w:val="24"/>
          <w:szCs w:val="24"/>
          <w:lang w:eastAsia="fr-FR"/>
        </w:rPr>
        <w:t xml:space="preserve">attendre </w:t>
      </w:r>
      <w:r w:rsidR="009D2E90">
        <w:rPr>
          <w:rFonts w:ascii="Times New Roman" w:eastAsia="Times New Roman" w:hAnsi="Times New Roman" w:cs="Times New Roman"/>
          <w:color w:val="000000"/>
          <w:sz w:val="24"/>
          <w:szCs w:val="24"/>
          <w:lang w:eastAsia="fr-FR"/>
        </w:rPr>
        <w:t>un mois</w:t>
      </w:r>
      <w:r w:rsidR="009B1A5B">
        <w:rPr>
          <w:rFonts w:ascii="Times New Roman" w:eastAsia="Times New Roman" w:hAnsi="Times New Roman" w:cs="Times New Roman"/>
          <w:color w:val="000000"/>
          <w:sz w:val="24"/>
          <w:szCs w:val="24"/>
          <w:lang w:eastAsia="fr-FR"/>
        </w:rPr>
        <w:t xml:space="preserve"> après que</w:t>
      </w:r>
      <w:r w:rsidR="009D2E90">
        <w:rPr>
          <w:rFonts w:ascii="Times New Roman" w:eastAsia="Times New Roman" w:hAnsi="Times New Roman" w:cs="Times New Roman"/>
          <w:color w:val="000000"/>
          <w:sz w:val="24"/>
          <w:szCs w:val="24"/>
          <w:lang w:eastAsia="fr-FR"/>
        </w:rPr>
        <w:t xml:space="preserve"> </w:t>
      </w:r>
      <w:r w:rsidR="009B1A5B">
        <w:rPr>
          <w:rFonts w:ascii="Times New Roman" w:eastAsia="Times New Roman" w:hAnsi="Times New Roman" w:cs="Times New Roman"/>
          <w:color w:val="000000"/>
          <w:sz w:val="24"/>
          <w:szCs w:val="24"/>
          <w:lang w:eastAsia="fr-FR"/>
        </w:rPr>
        <w:t xml:space="preserve">les </w:t>
      </w:r>
      <w:r w:rsidR="009D2E90">
        <w:rPr>
          <w:rFonts w:ascii="Times New Roman" w:eastAsia="Times New Roman" w:hAnsi="Times New Roman" w:cs="Times New Roman"/>
          <w:color w:val="000000"/>
          <w:sz w:val="24"/>
          <w:szCs w:val="24"/>
          <w:lang w:eastAsia="fr-FR"/>
        </w:rPr>
        <w:t xml:space="preserve">investissements dans la transition énergétique </w:t>
      </w:r>
      <w:r w:rsidR="009B1A5B">
        <w:rPr>
          <w:rFonts w:ascii="Times New Roman" w:eastAsia="Times New Roman" w:hAnsi="Times New Roman" w:cs="Times New Roman"/>
          <w:color w:val="000000"/>
          <w:sz w:val="24"/>
          <w:szCs w:val="24"/>
          <w:lang w:eastAsia="fr-FR"/>
        </w:rPr>
        <w:t xml:space="preserve">aient été effectués </w:t>
      </w:r>
      <w:r w:rsidR="009D2E90">
        <w:rPr>
          <w:rFonts w:ascii="Times New Roman" w:eastAsia="Times New Roman" w:hAnsi="Times New Roman" w:cs="Times New Roman"/>
          <w:color w:val="000000"/>
          <w:sz w:val="24"/>
          <w:szCs w:val="24"/>
          <w:lang w:eastAsia="fr-FR"/>
        </w:rPr>
        <w:t xml:space="preserve">pour </w:t>
      </w:r>
      <w:r w:rsidR="009B1A5B">
        <w:rPr>
          <w:rFonts w:ascii="Times New Roman" w:eastAsia="Times New Roman" w:hAnsi="Times New Roman" w:cs="Times New Roman"/>
          <w:color w:val="000000"/>
          <w:sz w:val="24"/>
          <w:szCs w:val="24"/>
          <w:lang w:eastAsia="fr-FR"/>
        </w:rPr>
        <w:t>observer l’</w:t>
      </w:r>
      <w:r w:rsidR="009D2E90">
        <w:rPr>
          <w:rFonts w:ascii="Times New Roman" w:eastAsia="Times New Roman" w:hAnsi="Times New Roman" w:cs="Times New Roman"/>
          <w:color w:val="000000"/>
          <w:sz w:val="24"/>
          <w:szCs w:val="24"/>
          <w:lang w:eastAsia="fr-FR"/>
        </w:rPr>
        <w:t xml:space="preserve">impact positif sur la </w:t>
      </w:r>
      <w:r w:rsidR="00B25CEE">
        <w:rPr>
          <w:rFonts w:ascii="Times New Roman" w:eastAsia="Times New Roman" w:hAnsi="Times New Roman" w:cs="Times New Roman"/>
          <w:color w:val="000000"/>
          <w:sz w:val="24"/>
          <w:szCs w:val="24"/>
          <w:lang w:eastAsia="fr-FR"/>
        </w:rPr>
        <w:t>rentabilité</w:t>
      </w:r>
      <w:r w:rsidR="009D2E90">
        <w:rPr>
          <w:rFonts w:ascii="Times New Roman" w:eastAsia="Times New Roman" w:hAnsi="Times New Roman" w:cs="Times New Roman"/>
          <w:color w:val="000000"/>
          <w:sz w:val="24"/>
          <w:szCs w:val="24"/>
          <w:lang w:eastAsia="fr-FR"/>
        </w:rPr>
        <w:t xml:space="preserve">. </w:t>
      </w:r>
    </w:p>
    <w:p w14:paraId="74AC545F" w14:textId="30C28684" w:rsidR="003E23C8" w:rsidRDefault="00632CE4" w:rsidP="00D17F39">
      <w:pPr>
        <w:jc w:val="both"/>
        <w:rPr>
          <w:rFonts w:ascii="Times New Roman" w:hAnsi="Times New Roman" w:cs="Times New Roman"/>
          <w:sz w:val="24"/>
        </w:rPr>
      </w:pPr>
      <w:r>
        <w:rPr>
          <w:rFonts w:ascii="Times New Roman" w:hAnsi="Times New Roman" w:cs="Times New Roman"/>
          <w:sz w:val="24"/>
        </w:rPr>
        <w:t xml:space="preserve">Les concours publics ont un impact négatif sur </w:t>
      </w:r>
      <w:r w:rsidR="00C907F7">
        <w:rPr>
          <w:rFonts w:ascii="Times New Roman" w:hAnsi="Times New Roman" w:cs="Times New Roman"/>
          <w:sz w:val="24"/>
        </w:rPr>
        <w:t xml:space="preserve">la </w:t>
      </w:r>
      <w:r>
        <w:rPr>
          <w:rFonts w:ascii="Times New Roman" w:hAnsi="Times New Roman" w:cs="Times New Roman"/>
          <w:sz w:val="24"/>
        </w:rPr>
        <w:t xml:space="preserve">rentabilité mais l’offre commerciale </w:t>
      </w:r>
      <w:r w:rsidR="00C907F7">
        <w:rPr>
          <w:rFonts w:ascii="Times New Roman" w:hAnsi="Times New Roman" w:cs="Times New Roman"/>
          <w:sz w:val="24"/>
        </w:rPr>
        <w:t xml:space="preserve">réalisée l’augmente </w:t>
      </w:r>
      <w:r>
        <w:rPr>
          <w:rFonts w:ascii="Times New Roman" w:hAnsi="Times New Roman" w:cs="Times New Roman"/>
          <w:sz w:val="24"/>
        </w:rPr>
        <w:t xml:space="preserve">à court terme. Il faut aussi remarquer que la rentabilité obtenue dans le passé n’est pas </w:t>
      </w:r>
      <w:r>
        <w:rPr>
          <w:rFonts w:ascii="Times New Roman" w:hAnsi="Times New Roman" w:cs="Times New Roman"/>
          <w:sz w:val="24"/>
        </w:rPr>
        <w:lastRenderedPageBreak/>
        <w:t xml:space="preserve">sans conséquence sur la rentabilité présente. </w:t>
      </w:r>
      <w:r w:rsidR="00CB62EB">
        <w:rPr>
          <w:rFonts w:ascii="Times New Roman" w:hAnsi="Times New Roman" w:cs="Times New Roman"/>
          <w:sz w:val="24"/>
        </w:rPr>
        <w:t xml:space="preserve">En effet, la rentabilité du mois dernier a un impact positif sur les valeurs présentes tandis que celle de deux mois auparavant a un impact négatif. </w:t>
      </w:r>
    </w:p>
    <w:p w14:paraId="31AF5437" w14:textId="77777777" w:rsidR="00DE6D6E" w:rsidRDefault="00DE6D6E" w:rsidP="00D17F39">
      <w:pPr>
        <w:jc w:val="both"/>
        <w:rPr>
          <w:rFonts w:ascii="Times New Roman" w:hAnsi="Times New Roman" w:cs="Times New Roman"/>
          <w:sz w:val="24"/>
        </w:rPr>
      </w:pPr>
    </w:p>
    <w:p w14:paraId="414C6043" w14:textId="089199C8" w:rsidR="005D398C" w:rsidRPr="00845804" w:rsidRDefault="005D398C" w:rsidP="00D17F39">
      <w:pPr>
        <w:jc w:val="both"/>
        <w:rPr>
          <w:rFonts w:ascii="Times New Roman" w:hAnsi="Times New Roman" w:cs="Times New Roman"/>
          <w:sz w:val="24"/>
          <w:szCs w:val="24"/>
        </w:rPr>
      </w:pPr>
      <w:r w:rsidRPr="00845804">
        <w:rPr>
          <w:rFonts w:ascii="Times New Roman" w:eastAsia="Times New Roman" w:hAnsi="Times New Roman" w:cs="Times New Roman"/>
          <w:b/>
          <w:bCs/>
          <w:color w:val="000000"/>
          <w:sz w:val="24"/>
          <w:szCs w:val="24"/>
          <w:lang w:eastAsia="fr-FR"/>
        </w:rPr>
        <w:t>Tableau 11. Estimation des coefficients de court terme</w:t>
      </w:r>
      <w:r w:rsidR="009F759D">
        <w:rPr>
          <w:rFonts w:ascii="Times New Roman" w:eastAsia="Times New Roman" w:hAnsi="Times New Roman" w:cs="Times New Roman"/>
          <w:b/>
          <w:bCs/>
          <w:color w:val="000000"/>
          <w:sz w:val="24"/>
          <w:szCs w:val="24"/>
          <w:lang w:eastAsia="fr-FR"/>
        </w:rPr>
        <w:t xml:space="preserve"> (du modèle à correction d’erreur)</w:t>
      </w:r>
    </w:p>
    <w:tbl>
      <w:tblPr>
        <w:tblStyle w:val="Tableausimple2"/>
        <w:tblW w:w="9436" w:type="dxa"/>
        <w:tblLook w:val="04A0" w:firstRow="1" w:lastRow="0" w:firstColumn="1" w:lastColumn="0" w:noHBand="0" w:noVBand="1"/>
      </w:tblPr>
      <w:tblGrid>
        <w:gridCol w:w="3938"/>
        <w:gridCol w:w="1870"/>
        <w:gridCol w:w="1137"/>
        <w:gridCol w:w="1157"/>
        <w:gridCol w:w="1334"/>
      </w:tblGrid>
      <w:tr w:rsidR="00BB6C95" w:rsidRPr="008C51A0" w14:paraId="45CCDDBD" w14:textId="77777777" w:rsidTr="005D398C">
        <w:trPr>
          <w:cnfStyle w:val="100000000000" w:firstRow="1" w:lastRow="0" w:firstColumn="0" w:lastColumn="0" w:oddVBand="0" w:evenVBand="0" w:oddHBand="0" w:evenHBand="0" w:firstRowFirstColumn="0" w:firstRowLastColumn="0" w:lastRowFirstColumn="0" w:lastRowLastColumn="0"/>
          <w:trHeight w:val="183"/>
        </w:trPr>
        <w:tc>
          <w:tcPr>
            <w:cnfStyle w:val="001000000000" w:firstRow="0" w:lastRow="0" w:firstColumn="1" w:lastColumn="0" w:oddVBand="0" w:evenVBand="0" w:oddHBand="0" w:evenHBand="0" w:firstRowFirstColumn="0" w:firstRowLastColumn="0" w:lastRowFirstColumn="0" w:lastRowLastColumn="0"/>
            <w:tcW w:w="3938" w:type="dxa"/>
            <w:noWrap/>
            <w:hideMark/>
          </w:tcPr>
          <w:p w14:paraId="5F28BC96" w14:textId="77777777" w:rsidR="00BB6C95" w:rsidRPr="008C51A0" w:rsidRDefault="00BB6C95" w:rsidP="00BB6C95">
            <w:pPr>
              <w:rPr>
                <w:rFonts w:ascii="Times New Roman" w:eastAsia="Times New Roman" w:hAnsi="Times New Roman" w:cs="Times New Roman"/>
                <w:color w:val="000000"/>
                <w:sz w:val="20"/>
                <w:szCs w:val="20"/>
                <w:lang w:eastAsia="fr-FR"/>
              </w:rPr>
            </w:pPr>
            <w:r w:rsidRPr="008C51A0">
              <w:rPr>
                <w:rFonts w:ascii="Times New Roman" w:eastAsia="Times New Roman" w:hAnsi="Times New Roman" w:cs="Times New Roman"/>
                <w:color w:val="000000"/>
                <w:sz w:val="20"/>
                <w:szCs w:val="20"/>
                <w:lang w:eastAsia="fr-FR"/>
              </w:rPr>
              <w:t> </w:t>
            </w:r>
          </w:p>
        </w:tc>
        <w:tc>
          <w:tcPr>
            <w:tcW w:w="1870" w:type="dxa"/>
            <w:noWrap/>
            <w:hideMark/>
          </w:tcPr>
          <w:p w14:paraId="38D7AFB1" w14:textId="77777777" w:rsidR="00BB6C95" w:rsidRPr="008C51A0" w:rsidRDefault="00BB6C95" w:rsidP="00BB6C9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8C51A0">
              <w:rPr>
                <w:rFonts w:ascii="Times New Roman" w:eastAsia="Times New Roman" w:hAnsi="Times New Roman" w:cs="Times New Roman"/>
                <w:color w:val="000000"/>
                <w:sz w:val="20"/>
                <w:szCs w:val="20"/>
                <w:lang w:eastAsia="fr-FR"/>
              </w:rPr>
              <w:t>Estimateur</w:t>
            </w:r>
          </w:p>
        </w:tc>
        <w:tc>
          <w:tcPr>
            <w:tcW w:w="1137" w:type="dxa"/>
            <w:noWrap/>
            <w:hideMark/>
          </w:tcPr>
          <w:p w14:paraId="457BF40A" w14:textId="77777777" w:rsidR="00BB6C95" w:rsidRPr="008C51A0" w:rsidRDefault="00BB6C95" w:rsidP="00BB6C9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8C51A0">
              <w:rPr>
                <w:rFonts w:ascii="Times New Roman" w:eastAsia="Times New Roman" w:hAnsi="Times New Roman" w:cs="Times New Roman"/>
                <w:color w:val="000000"/>
                <w:sz w:val="20"/>
                <w:szCs w:val="20"/>
                <w:lang w:eastAsia="fr-FR"/>
              </w:rPr>
              <w:t>Std. Erreur</w:t>
            </w:r>
          </w:p>
        </w:tc>
        <w:tc>
          <w:tcPr>
            <w:tcW w:w="1157" w:type="dxa"/>
            <w:noWrap/>
            <w:hideMark/>
          </w:tcPr>
          <w:p w14:paraId="3F4DFC33" w14:textId="77777777" w:rsidR="00BB6C95" w:rsidRPr="008C51A0" w:rsidRDefault="00BB6C95" w:rsidP="00BB6C9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8C51A0">
              <w:rPr>
                <w:rFonts w:ascii="Times New Roman" w:eastAsia="Times New Roman" w:hAnsi="Times New Roman" w:cs="Times New Roman"/>
                <w:color w:val="000000"/>
                <w:sz w:val="20"/>
                <w:szCs w:val="20"/>
                <w:lang w:eastAsia="fr-FR"/>
              </w:rPr>
              <w:t>t value</w:t>
            </w:r>
          </w:p>
        </w:tc>
        <w:tc>
          <w:tcPr>
            <w:tcW w:w="1334" w:type="dxa"/>
            <w:noWrap/>
            <w:hideMark/>
          </w:tcPr>
          <w:p w14:paraId="2DD0FED4" w14:textId="77777777" w:rsidR="00BB6C95" w:rsidRPr="008C51A0" w:rsidRDefault="00BB6C95" w:rsidP="00BB6C9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8C51A0">
              <w:rPr>
                <w:rFonts w:ascii="Times New Roman" w:eastAsia="Times New Roman" w:hAnsi="Times New Roman" w:cs="Times New Roman"/>
                <w:color w:val="000000"/>
                <w:sz w:val="20"/>
                <w:szCs w:val="20"/>
                <w:lang w:eastAsia="fr-FR"/>
              </w:rPr>
              <w:t>Pr (&gt;|t|)</w:t>
            </w:r>
          </w:p>
        </w:tc>
      </w:tr>
      <w:tr w:rsidR="00BB6C95" w:rsidRPr="008C51A0" w14:paraId="37505B21" w14:textId="77777777" w:rsidTr="005D398C">
        <w:trPr>
          <w:cnfStyle w:val="000000100000" w:firstRow="0" w:lastRow="0" w:firstColumn="0" w:lastColumn="0" w:oddVBand="0" w:evenVBand="0" w:oddHBand="1" w:evenHBand="0" w:firstRowFirstColumn="0" w:firstRowLastColumn="0" w:lastRowFirstColumn="0" w:lastRowLastColumn="0"/>
          <w:trHeight w:val="183"/>
        </w:trPr>
        <w:tc>
          <w:tcPr>
            <w:cnfStyle w:val="001000000000" w:firstRow="0" w:lastRow="0" w:firstColumn="1" w:lastColumn="0" w:oddVBand="0" w:evenVBand="0" w:oddHBand="0" w:evenHBand="0" w:firstRowFirstColumn="0" w:firstRowLastColumn="0" w:lastRowFirstColumn="0" w:lastRowLastColumn="0"/>
            <w:tcW w:w="3938" w:type="dxa"/>
            <w:noWrap/>
            <w:hideMark/>
          </w:tcPr>
          <w:p w14:paraId="5F636384" w14:textId="77777777" w:rsidR="00BB6C95" w:rsidRPr="008C51A0" w:rsidRDefault="00BB6C95" w:rsidP="00BB6C95">
            <w:pPr>
              <w:jc w:val="center"/>
              <w:rPr>
                <w:rFonts w:ascii="Times New Roman" w:eastAsia="Times New Roman" w:hAnsi="Times New Roman" w:cs="Times New Roman"/>
                <w:color w:val="000000"/>
                <w:sz w:val="20"/>
                <w:szCs w:val="20"/>
                <w:lang w:eastAsia="fr-FR"/>
              </w:rPr>
            </w:pPr>
            <w:proofErr w:type="spellStart"/>
            <w:r w:rsidRPr="008C51A0">
              <w:rPr>
                <w:rFonts w:ascii="Times New Roman" w:eastAsia="Times New Roman" w:hAnsi="Times New Roman" w:cs="Times New Roman"/>
                <w:color w:val="000000"/>
                <w:sz w:val="20"/>
                <w:szCs w:val="20"/>
                <w:lang w:eastAsia="fr-FR"/>
              </w:rPr>
              <w:t>ecm</w:t>
            </w:r>
            <w:proofErr w:type="spellEnd"/>
            <w:r w:rsidRPr="008C51A0">
              <w:rPr>
                <w:rFonts w:ascii="Times New Roman" w:eastAsia="Times New Roman" w:hAnsi="Times New Roman" w:cs="Times New Roman"/>
                <w:color w:val="000000"/>
                <w:sz w:val="20"/>
                <w:szCs w:val="20"/>
                <w:lang w:eastAsia="fr-FR"/>
              </w:rPr>
              <w:t>(-1)</w:t>
            </w:r>
          </w:p>
        </w:tc>
        <w:tc>
          <w:tcPr>
            <w:tcW w:w="1870" w:type="dxa"/>
            <w:noWrap/>
            <w:hideMark/>
          </w:tcPr>
          <w:p w14:paraId="02EDA037" w14:textId="77777777" w:rsidR="00BB6C95" w:rsidRPr="008C51A0" w:rsidRDefault="00BB6C95" w:rsidP="00BB6C9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8C51A0">
              <w:rPr>
                <w:rFonts w:ascii="Times New Roman" w:eastAsia="Times New Roman" w:hAnsi="Times New Roman" w:cs="Times New Roman"/>
                <w:color w:val="000000"/>
                <w:sz w:val="20"/>
                <w:szCs w:val="20"/>
                <w:lang w:eastAsia="fr-FR"/>
              </w:rPr>
              <w:t>-6.07E-05</w:t>
            </w:r>
          </w:p>
        </w:tc>
        <w:tc>
          <w:tcPr>
            <w:tcW w:w="1137" w:type="dxa"/>
            <w:noWrap/>
            <w:hideMark/>
          </w:tcPr>
          <w:p w14:paraId="7128089D" w14:textId="77777777" w:rsidR="00BB6C95" w:rsidRPr="008C51A0" w:rsidRDefault="00BB6C95" w:rsidP="00BB6C9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8C51A0">
              <w:rPr>
                <w:rFonts w:ascii="Times New Roman" w:eastAsia="Times New Roman" w:hAnsi="Times New Roman" w:cs="Times New Roman"/>
                <w:color w:val="000000"/>
                <w:sz w:val="20"/>
                <w:szCs w:val="20"/>
                <w:lang w:eastAsia="fr-FR"/>
              </w:rPr>
              <w:t>1.39E-05</w:t>
            </w:r>
          </w:p>
        </w:tc>
        <w:tc>
          <w:tcPr>
            <w:tcW w:w="1157" w:type="dxa"/>
            <w:noWrap/>
            <w:hideMark/>
          </w:tcPr>
          <w:p w14:paraId="27DF5671" w14:textId="77777777" w:rsidR="00BB6C95" w:rsidRPr="008C51A0" w:rsidRDefault="00BB6C95" w:rsidP="00BB6C9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8C51A0">
              <w:rPr>
                <w:rFonts w:ascii="Times New Roman" w:eastAsia="Times New Roman" w:hAnsi="Times New Roman" w:cs="Times New Roman"/>
                <w:color w:val="000000"/>
                <w:sz w:val="20"/>
                <w:szCs w:val="20"/>
                <w:lang w:eastAsia="fr-FR"/>
              </w:rPr>
              <w:t>-4.368</w:t>
            </w:r>
          </w:p>
        </w:tc>
        <w:tc>
          <w:tcPr>
            <w:tcW w:w="1334" w:type="dxa"/>
            <w:noWrap/>
            <w:hideMark/>
          </w:tcPr>
          <w:p w14:paraId="3E03EAB8" w14:textId="77777777" w:rsidR="00BB6C95" w:rsidRPr="008C51A0" w:rsidRDefault="00BB6C95" w:rsidP="00BB6C9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8C51A0">
              <w:rPr>
                <w:rFonts w:ascii="Times New Roman" w:eastAsia="Times New Roman" w:hAnsi="Times New Roman" w:cs="Times New Roman"/>
                <w:color w:val="000000"/>
                <w:sz w:val="20"/>
                <w:szCs w:val="20"/>
                <w:lang w:eastAsia="fr-FR"/>
              </w:rPr>
              <w:t>1.90e-05 ***</w:t>
            </w:r>
          </w:p>
        </w:tc>
      </w:tr>
      <w:tr w:rsidR="00BB6C95" w:rsidRPr="008C51A0" w14:paraId="655F1F18" w14:textId="77777777" w:rsidTr="005D398C">
        <w:trPr>
          <w:trHeight w:val="183"/>
        </w:trPr>
        <w:tc>
          <w:tcPr>
            <w:cnfStyle w:val="001000000000" w:firstRow="0" w:lastRow="0" w:firstColumn="1" w:lastColumn="0" w:oddVBand="0" w:evenVBand="0" w:oddHBand="0" w:evenHBand="0" w:firstRowFirstColumn="0" w:firstRowLastColumn="0" w:lastRowFirstColumn="0" w:lastRowLastColumn="0"/>
            <w:tcW w:w="3938" w:type="dxa"/>
            <w:noWrap/>
            <w:hideMark/>
          </w:tcPr>
          <w:p w14:paraId="20C4C301" w14:textId="77777777" w:rsidR="00BB6C95" w:rsidRPr="008C51A0" w:rsidRDefault="00BB6C95" w:rsidP="00BB6C95">
            <w:pPr>
              <w:jc w:val="center"/>
              <w:rPr>
                <w:rFonts w:ascii="Times New Roman" w:eastAsia="Times New Roman" w:hAnsi="Times New Roman" w:cs="Times New Roman"/>
                <w:color w:val="000000"/>
                <w:sz w:val="20"/>
                <w:szCs w:val="20"/>
                <w:lang w:eastAsia="fr-FR"/>
              </w:rPr>
            </w:pPr>
            <w:r w:rsidRPr="008C51A0">
              <w:rPr>
                <w:rFonts w:ascii="Times New Roman" w:eastAsia="Times New Roman" w:hAnsi="Times New Roman" w:cs="Times New Roman"/>
                <w:color w:val="000000"/>
                <w:sz w:val="20"/>
                <w:szCs w:val="20"/>
                <w:lang w:eastAsia="fr-FR"/>
              </w:rPr>
              <w:t>d (Investissement).t</w:t>
            </w:r>
          </w:p>
        </w:tc>
        <w:tc>
          <w:tcPr>
            <w:tcW w:w="1870" w:type="dxa"/>
            <w:noWrap/>
            <w:hideMark/>
          </w:tcPr>
          <w:p w14:paraId="3779B1D0" w14:textId="77777777" w:rsidR="00BB6C95" w:rsidRPr="008C51A0" w:rsidRDefault="00BB6C95" w:rsidP="00BB6C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8C51A0">
              <w:rPr>
                <w:rFonts w:ascii="Times New Roman" w:eastAsia="Times New Roman" w:hAnsi="Times New Roman" w:cs="Times New Roman"/>
                <w:color w:val="000000"/>
                <w:sz w:val="20"/>
                <w:szCs w:val="20"/>
                <w:lang w:eastAsia="fr-FR"/>
              </w:rPr>
              <w:t>-2.41E-11</w:t>
            </w:r>
          </w:p>
        </w:tc>
        <w:tc>
          <w:tcPr>
            <w:tcW w:w="1137" w:type="dxa"/>
            <w:noWrap/>
            <w:hideMark/>
          </w:tcPr>
          <w:p w14:paraId="52A75818" w14:textId="77777777" w:rsidR="00BB6C95" w:rsidRPr="008C51A0" w:rsidRDefault="00BB6C95" w:rsidP="00BB6C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8C51A0">
              <w:rPr>
                <w:rFonts w:ascii="Times New Roman" w:eastAsia="Times New Roman" w:hAnsi="Times New Roman" w:cs="Times New Roman"/>
                <w:color w:val="000000"/>
                <w:sz w:val="20"/>
                <w:szCs w:val="20"/>
                <w:lang w:eastAsia="fr-FR"/>
              </w:rPr>
              <w:t>3.47E-12</w:t>
            </w:r>
          </w:p>
        </w:tc>
        <w:tc>
          <w:tcPr>
            <w:tcW w:w="1157" w:type="dxa"/>
            <w:noWrap/>
            <w:hideMark/>
          </w:tcPr>
          <w:p w14:paraId="78EB8142" w14:textId="77777777" w:rsidR="00BB6C95" w:rsidRPr="008C51A0" w:rsidRDefault="00BB6C95" w:rsidP="00BB6C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8C51A0">
              <w:rPr>
                <w:rFonts w:ascii="Times New Roman" w:eastAsia="Times New Roman" w:hAnsi="Times New Roman" w:cs="Times New Roman"/>
                <w:color w:val="000000"/>
                <w:sz w:val="20"/>
                <w:szCs w:val="20"/>
                <w:lang w:eastAsia="fr-FR"/>
              </w:rPr>
              <w:t>-6.947</w:t>
            </w:r>
          </w:p>
        </w:tc>
        <w:tc>
          <w:tcPr>
            <w:tcW w:w="1334" w:type="dxa"/>
            <w:noWrap/>
            <w:hideMark/>
          </w:tcPr>
          <w:p w14:paraId="7DCABA6F" w14:textId="77777777" w:rsidR="00BB6C95" w:rsidRPr="008C51A0" w:rsidRDefault="00BB6C95" w:rsidP="00BB6C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8C51A0">
              <w:rPr>
                <w:rFonts w:ascii="Times New Roman" w:eastAsia="Times New Roman" w:hAnsi="Times New Roman" w:cs="Times New Roman"/>
                <w:color w:val="000000"/>
                <w:sz w:val="20"/>
                <w:szCs w:val="20"/>
                <w:lang w:eastAsia="fr-FR"/>
              </w:rPr>
              <w:t>3.82e-11 ***</w:t>
            </w:r>
          </w:p>
        </w:tc>
      </w:tr>
      <w:tr w:rsidR="00BB6C95" w:rsidRPr="008C51A0" w14:paraId="1227702A" w14:textId="77777777" w:rsidTr="005D398C">
        <w:trPr>
          <w:cnfStyle w:val="000000100000" w:firstRow="0" w:lastRow="0" w:firstColumn="0" w:lastColumn="0" w:oddVBand="0" w:evenVBand="0" w:oddHBand="1" w:evenHBand="0" w:firstRowFirstColumn="0" w:firstRowLastColumn="0" w:lastRowFirstColumn="0" w:lastRowLastColumn="0"/>
          <w:trHeight w:val="183"/>
        </w:trPr>
        <w:tc>
          <w:tcPr>
            <w:cnfStyle w:val="001000000000" w:firstRow="0" w:lastRow="0" w:firstColumn="1" w:lastColumn="0" w:oddVBand="0" w:evenVBand="0" w:oddHBand="0" w:evenHBand="0" w:firstRowFirstColumn="0" w:firstRowLastColumn="0" w:lastRowFirstColumn="0" w:lastRowLastColumn="0"/>
            <w:tcW w:w="3938" w:type="dxa"/>
            <w:noWrap/>
            <w:hideMark/>
          </w:tcPr>
          <w:p w14:paraId="0D38D5C8" w14:textId="77777777" w:rsidR="00BB6C95" w:rsidRPr="008C51A0" w:rsidRDefault="00BB6C95" w:rsidP="00BB6C95">
            <w:pPr>
              <w:jc w:val="center"/>
              <w:rPr>
                <w:rFonts w:ascii="Times New Roman" w:eastAsia="Times New Roman" w:hAnsi="Times New Roman" w:cs="Times New Roman"/>
                <w:color w:val="000000"/>
                <w:sz w:val="20"/>
                <w:szCs w:val="20"/>
                <w:lang w:eastAsia="fr-FR"/>
              </w:rPr>
            </w:pPr>
            <w:r w:rsidRPr="008C51A0">
              <w:rPr>
                <w:rFonts w:ascii="Times New Roman" w:eastAsia="Times New Roman" w:hAnsi="Times New Roman" w:cs="Times New Roman"/>
                <w:color w:val="000000"/>
                <w:sz w:val="20"/>
                <w:szCs w:val="20"/>
                <w:lang w:eastAsia="fr-FR"/>
              </w:rPr>
              <w:t>d (Investissement) (-1)</w:t>
            </w:r>
          </w:p>
        </w:tc>
        <w:tc>
          <w:tcPr>
            <w:tcW w:w="1870" w:type="dxa"/>
            <w:noWrap/>
            <w:hideMark/>
          </w:tcPr>
          <w:p w14:paraId="586E0903" w14:textId="77777777" w:rsidR="00BB6C95" w:rsidRPr="008C51A0" w:rsidRDefault="00BB6C95" w:rsidP="00BB6C9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8C51A0">
              <w:rPr>
                <w:rFonts w:ascii="Times New Roman" w:eastAsia="Times New Roman" w:hAnsi="Times New Roman" w:cs="Times New Roman"/>
                <w:color w:val="000000"/>
                <w:sz w:val="20"/>
                <w:szCs w:val="20"/>
                <w:lang w:eastAsia="fr-FR"/>
              </w:rPr>
              <w:t>2.17E-11</w:t>
            </w:r>
          </w:p>
        </w:tc>
        <w:tc>
          <w:tcPr>
            <w:tcW w:w="1137" w:type="dxa"/>
            <w:noWrap/>
            <w:hideMark/>
          </w:tcPr>
          <w:p w14:paraId="105C8A24" w14:textId="77777777" w:rsidR="00BB6C95" w:rsidRPr="008C51A0" w:rsidRDefault="00BB6C95" w:rsidP="00BB6C9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8C51A0">
              <w:rPr>
                <w:rFonts w:ascii="Times New Roman" w:eastAsia="Times New Roman" w:hAnsi="Times New Roman" w:cs="Times New Roman"/>
                <w:color w:val="000000"/>
                <w:sz w:val="20"/>
                <w:szCs w:val="20"/>
                <w:lang w:eastAsia="fr-FR"/>
              </w:rPr>
              <w:t>3.54E-12</w:t>
            </w:r>
          </w:p>
        </w:tc>
        <w:tc>
          <w:tcPr>
            <w:tcW w:w="1157" w:type="dxa"/>
            <w:noWrap/>
            <w:hideMark/>
          </w:tcPr>
          <w:p w14:paraId="492C3695" w14:textId="77777777" w:rsidR="00BB6C95" w:rsidRPr="008C51A0" w:rsidRDefault="00BB6C95" w:rsidP="00BB6C9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8C51A0">
              <w:rPr>
                <w:rFonts w:ascii="Times New Roman" w:eastAsia="Times New Roman" w:hAnsi="Times New Roman" w:cs="Times New Roman"/>
                <w:color w:val="000000"/>
                <w:sz w:val="20"/>
                <w:szCs w:val="20"/>
                <w:lang w:eastAsia="fr-FR"/>
              </w:rPr>
              <w:t>6.121</w:t>
            </w:r>
          </w:p>
        </w:tc>
        <w:tc>
          <w:tcPr>
            <w:tcW w:w="1334" w:type="dxa"/>
            <w:noWrap/>
            <w:hideMark/>
          </w:tcPr>
          <w:p w14:paraId="4036D21D" w14:textId="77777777" w:rsidR="00BB6C95" w:rsidRPr="008C51A0" w:rsidRDefault="00BB6C95" w:rsidP="00BB6C9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8C51A0">
              <w:rPr>
                <w:rFonts w:ascii="Times New Roman" w:eastAsia="Times New Roman" w:hAnsi="Times New Roman" w:cs="Times New Roman"/>
                <w:color w:val="000000"/>
                <w:sz w:val="20"/>
                <w:szCs w:val="20"/>
                <w:lang w:eastAsia="fr-FR"/>
              </w:rPr>
              <w:t>4.01e-09 ***</w:t>
            </w:r>
          </w:p>
        </w:tc>
      </w:tr>
      <w:tr w:rsidR="00BB6C95" w:rsidRPr="008C51A0" w14:paraId="4665D472" w14:textId="77777777" w:rsidTr="005D398C">
        <w:trPr>
          <w:trHeight w:val="183"/>
        </w:trPr>
        <w:tc>
          <w:tcPr>
            <w:cnfStyle w:val="001000000000" w:firstRow="0" w:lastRow="0" w:firstColumn="1" w:lastColumn="0" w:oddVBand="0" w:evenVBand="0" w:oddHBand="0" w:evenHBand="0" w:firstRowFirstColumn="0" w:firstRowLastColumn="0" w:lastRowFirstColumn="0" w:lastRowLastColumn="0"/>
            <w:tcW w:w="3938" w:type="dxa"/>
            <w:noWrap/>
            <w:hideMark/>
          </w:tcPr>
          <w:p w14:paraId="0E06B5A1" w14:textId="77777777" w:rsidR="00BB6C95" w:rsidRPr="008C51A0" w:rsidRDefault="00BB6C95" w:rsidP="00BB6C95">
            <w:pPr>
              <w:jc w:val="center"/>
              <w:rPr>
                <w:rFonts w:ascii="Times New Roman" w:eastAsia="Times New Roman" w:hAnsi="Times New Roman" w:cs="Times New Roman"/>
                <w:color w:val="000000"/>
                <w:sz w:val="20"/>
                <w:szCs w:val="20"/>
                <w:lang w:eastAsia="fr-FR"/>
              </w:rPr>
            </w:pPr>
            <w:r w:rsidRPr="008C51A0">
              <w:rPr>
                <w:rFonts w:ascii="Times New Roman" w:eastAsia="Times New Roman" w:hAnsi="Times New Roman" w:cs="Times New Roman"/>
                <w:color w:val="000000"/>
                <w:sz w:val="20"/>
                <w:szCs w:val="20"/>
                <w:lang w:eastAsia="fr-FR"/>
              </w:rPr>
              <w:t>d (Concours Publics).t</w:t>
            </w:r>
          </w:p>
        </w:tc>
        <w:tc>
          <w:tcPr>
            <w:tcW w:w="1870" w:type="dxa"/>
            <w:noWrap/>
            <w:hideMark/>
          </w:tcPr>
          <w:p w14:paraId="3272A812" w14:textId="77777777" w:rsidR="00BB6C95" w:rsidRPr="008C51A0" w:rsidRDefault="00BB6C95" w:rsidP="00BB6C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8C51A0">
              <w:rPr>
                <w:rFonts w:ascii="Times New Roman" w:eastAsia="Times New Roman" w:hAnsi="Times New Roman" w:cs="Times New Roman"/>
                <w:color w:val="000000"/>
                <w:sz w:val="20"/>
                <w:szCs w:val="20"/>
                <w:lang w:eastAsia="fr-FR"/>
              </w:rPr>
              <w:t>-8.10E-12</w:t>
            </w:r>
          </w:p>
        </w:tc>
        <w:tc>
          <w:tcPr>
            <w:tcW w:w="1137" w:type="dxa"/>
            <w:noWrap/>
            <w:hideMark/>
          </w:tcPr>
          <w:p w14:paraId="73A6986C" w14:textId="77777777" w:rsidR="00BB6C95" w:rsidRPr="008C51A0" w:rsidRDefault="00BB6C95" w:rsidP="00BB6C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8C51A0">
              <w:rPr>
                <w:rFonts w:ascii="Times New Roman" w:eastAsia="Times New Roman" w:hAnsi="Times New Roman" w:cs="Times New Roman"/>
                <w:color w:val="000000"/>
                <w:sz w:val="20"/>
                <w:szCs w:val="20"/>
                <w:lang w:eastAsia="fr-FR"/>
              </w:rPr>
              <w:t>2.70E-12</w:t>
            </w:r>
          </w:p>
        </w:tc>
        <w:tc>
          <w:tcPr>
            <w:tcW w:w="1157" w:type="dxa"/>
            <w:noWrap/>
            <w:hideMark/>
          </w:tcPr>
          <w:p w14:paraId="593257ED" w14:textId="77777777" w:rsidR="00BB6C95" w:rsidRPr="008C51A0" w:rsidRDefault="00BB6C95" w:rsidP="00BB6C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8C51A0">
              <w:rPr>
                <w:rFonts w:ascii="Times New Roman" w:eastAsia="Times New Roman" w:hAnsi="Times New Roman" w:cs="Times New Roman"/>
                <w:color w:val="000000"/>
                <w:sz w:val="20"/>
                <w:szCs w:val="20"/>
                <w:lang w:eastAsia="fr-FR"/>
              </w:rPr>
              <w:t>-3.004</w:t>
            </w:r>
          </w:p>
        </w:tc>
        <w:tc>
          <w:tcPr>
            <w:tcW w:w="1334" w:type="dxa"/>
            <w:noWrap/>
            <w:hideMark/>
          </w:tcPr>
          <w:p w14:paraId="7B640020" w14:textId="77777777" w:rsidR="00BB6C95" w:rsidRPr="008C51A0" w:rsidRDefault="00BB6C95" w:rsidP="00BB6C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8C51A0">
              <w:rPr>
                <w:rFonts w:ascii="Times New Roman" w:eastAsia="Times New Roman" w:hAnsi="Times New Roman" w:cs="Times New Roman"/>
                <w:color w:val="000000"/>
                <w:sz w:val="20"/>
                <w:szCs w:val="20"/>
                <w:lang w:eastAsia="fr-FR"/>
              </w:rPr>
              <w:t>0.00296 **</w:t>
            </w:r>
          </w:p>
        </w:tc>
      </w:tr>
      <w:tr w:rsidR="00BB6C95" w:rsidRPr="008C51A0" w14:paraId="71A30785" w14:textId="77777777" w:rsidTr="005D398C">
        <w:trPr>
          <w:cnfStyle w:val="000000100000" w:firstRow="0" w:lastRow="0" w:firstColumn="0" w:lastColumn="0" w:oddVBand="0" w:evenVBand="0" w:oddHBand="1" w:evenHBand="0" w:firstRowFirstColumn="0" w:firstRowLastColumn="0" w:lastRowFirstColumn="0" w:lastRowLastColumn="0"/>
          <w:trHeight w:val="183"/>
        </w:trPr>
        <w:tc>
          <w:tcPr>
            <w:cnfStyle w:val="001000000000" w:firstRow="0" w:lastRow="0" w:firstColumn="1" w:lastColumn="0" w:oddVBand="0" w:evenVBand="0" w:oddHBand="0" w:evenHBand="0" w:firstRowFirstColumn="0" w:firstRowLastColumn="0" w:lastRowFirstColumn="0" w:lastRowLastColumn="0"/>
            <w:tcW w:w="3938" w:type="dxa"/>
            <w:noWrap/>
            <w:hideMark/>
          </w:tcPr>
          <w:p w14:paraId="4B93E6F7" w14:textId="77777777" w:rsidR="00BB6C95" w:rsidRPr="008C51A0" w:rsidRDefault="00BB6C95" w:rsidP="00BB6C95">
            <w:pPr>
              <w:jc w:val="center"/>
              <w:rPr>
                <w:rFonts w:ascii="Times New Roman" w:eastAsia="Times New Roman" w:hAnsi="Times New Roman" w:cs="Times New Roman"/>
                <w:color w:val="000000"/>
                <w:sz w:val="20"/>
                <w:szCs w:val="20"/>
                <w:lang w:eastAsia="fr-FR"/>
              </w:rPr>
            </w:pPr>
            <w:r w:rsidRPr="008C51A0">
              <w:rPr>
                <w:rFonts w:ascii="Times New Roman" w:eastAsia="Times New Roman" w:hAnsi="Times New Roman" w:cs="Times New Roman"/>
                <w:color w:val="000000"/>
                <w:sz w:val="20"/>
                <w:szCs w:val="20"/>
                <w:lang w:eastAsia="fr-FR"/>
              </w:rPr>
              <w:t>d (Offre commerciale).t</w:t>
            </w:r>
          </w:p>
        </w:tc>
        <w:tc>
          <w:tcPr>
            <w:tcW w:w="1870" w:type="dxa"/>
            <w:noWrap/>
            <w:hideMark/>
          </w:tcPr>
          <w:p w14:paraId="04106B80" w14:textId="77777777" w:rsidR="00BB6C95" w:rsidRPr="008C51A0" w:rsidRDefault="00BB6C95" w:rsidP="00BB6C9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8C51A0">
              <w:rPr>
                <w:rFonts w:ascii="Times New Roman" w:eastAsia="Times New Roman" w:hAnsi="Times New Roman" w:cs="Times New Roman"/>
                <w:color w:val="000000"/>
                <w:sz w:val="20"/>
                <w:szCs w:val="20"/>
                <w:lang w:eastAsia="fr-FR"/>
              </w:rPr>
              <w:t>2.68E-09</w:t>
            </w:r>
          </w:p>
        </w:tc>
        <w:tc>
          <w:tcPr>
            <w:tcW w:w="1137" w:type="dxa"/>
            <w:noWrap/>
            <w:hideMark/>
          </w:tcPr>
          <w:p w14:paraId="04F8B1D8" w14:textId="77777777" w:rsidR="00BB6C95" w:rsidRPr="008C51A0" w:rsidRDefault="00BB6C95" w:rsidP="00BB6C9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8C51A0">
              <w:rPr>
                <w:rFonts w:ascii="Times New Roman" w:eastAsia="Times New Roman" w:hAnsi="Times New Roman" w:cs="Times New Roman"/>
                <w:color w:val="000000"/>
                <w:sz w:val="20"/>
                <w:szCs w:val="20"/>
                <w:lang w:eastAsia="fr-FR"/>
              </w:rPr>
              <w:t>1.58E-10</w:t>
            </w:r>
          </w:p>
        </w:tc>
        <w:tc>
          <w:tcPr>
            <w:tcW w:w="1157" w:type="dxa"/>
            <w:noWrap/>
            <w:hideMark/>
          </w:tcPr>
          <w:p w14:paraId="53CB629D" w14:textId="77777777" w:rsidR="00BB6C95" w:rsidRPr="008C51A0" w:rsidRDefault="00BB6C95" w:rsidP="00BB6C9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8C51A0">
              <w:rPr>
                <w:rFonts w:ascii="Times New Roman" w:eastAsia="Times New Roman" w:hAnsi="Times New Roman" w:cs="Times New Roman"/>
                <w:color w:val="000000"/>
                <w:sz w:val="20"/>
                <w:szCs w:val="20"/>
                <w:lang w:eastAsia="fr-FR"/>
              </w:rPr>
              <w:t>17.018</w:t>
            </w:r>
          </w:p>
        </w:tc>
        <w:tc>
          <w:tcPr>
            <w:tcW w:w="1334" w:type="dxa"/>
            <w:noWrap/>
            <w:hideMark/>
          </w:tcPr>
          <w:p w14:paraId="3C931540" w14:textId="77777777" w:rsidR="00BB6C95" w:rsidRPr="008C51A0" w:rsidRDefault="00BB6C95" w:rsidP="00BB6C9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8C51A0">
              <w:rPr>
                <w:rFonts w:ascii="Times New Roman" w:eastAsia="Times New Roman" w:hAnsi="Times New Roman" w:cs="Times New Roman"/>
                <w:color w:val="000000"/>
                <w:sz w:val="20"/>
                <w:szCs w:val="20"/>
                <w:lang w:eastAsia="fr-FR"/>
              </w:rPr>
              <w:t>&lt; 2e-16 ***</w:t>
            </w:r>
          </w:p>
        </w:tc>
      </w:tr>
      <w:tr w:rsidR="00BB6C95" w:rsidRPr="008C51A0" w14:paraId="39987E15" w14:textId="77777777" w:rsidTr="005D398C">
        <w:trPr>
          <w:trHeight w:val="183"/>
        </w:trPr>
        <w:tc>
          <w:tcPr>
            <w:cnfStyle w:val="001000000000" w:firstRow="0" w:lastRow="0" w:firstColumn="1" w:lastColumn="0" w:oddVBand="0" w:evenVBand="0" w:oddHBand="0" w:evenHBand="0" w:firstRowFirstColumn="0" w:firstRowLastColumn="0" w:lastRowFirstColumn="0" w:lastRowLastColumn="0"/>
            <w:tcW w:w="3938" w:type="dxa"/>
            <w:noWrap/>
            <w:hideMark/>
          </w:tcPr>
          <w:p w14:paraId="16648044" w14:textId="77777777" w:rsidR="00BB6C95" w:rsidRPr="008C51A0" w:rsidRDefault="00BB6C95" w:rsidP="00BB6C95">
            <w:pPr>
              <w:jc w:val="center"/>
              <w:rPr>
                <w:rFonts w:ascii="Times New Roman" w:eastAsia="Times New Roman" w:hAnsi="Times New Roman" w:cs="Times New Roman"/>
                <w:color w:val="000000"/>
                <w:sz w:val="20"/>
                <w:szCs w:val="20"/>
                <w:lang w:eastAsia="fr-FR"/>
              </w:rPr>
            </w:pPr>
            <w:r w:rsidRPr="008C51A0">
              <w:rPr>
                <w:rFonts w:ascii="Times New Roman" w:eastAsia="Times New Roman" w:hAnsi="Times New Roman" w:cs="Times New Roman"/>
                <w:color w:val="000000"/>
                <w:sz w:val="20"/>
                <w:szCs w:val="20"/>
                <w:lang w:eastAsia="fr-FR"/>
              </w:rPr>
              <w:t>d (Offre commerciale) (-1)</w:t>
            </w:r>
          </w:p>
        </w:tc>
        <w:tc>
          <w:tcPr>
            <w:tcW w:w="1870" w:type="dxa"/>
            <w:noWrap/>
            <w:hideMark/>
          </w:tcPr>
          <w:p w14:paraId="2899696D" w14:textId="77777777" w:rsidR="00BB6C95" w:rsidRPr="008C51A0" w:rsidRDefault="00BB6C95" w:rsidP="00BB6C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8C51A0">
              <w:rPr>
                <w:rFonts w:ascii="Times New Roman" w:eastAsia="Times New Roman" w:hAnsi="Times New Roman" w:cs="Times New Roman"/>
                <w:color w:val="000000"/>
                <w:sz w:val="20"/>
                <w:szCs w:val="20"/>
                <w:lang w:eastAsia="fr-FR"/>
              </w:rPr>
              <w:t>-2.31E-09</w:t>
            </w:r>
          </w:p>
        </w:tc>
        <w:tc>
          <w:tcPr>
            <w:tcW w:w="1137" w:type="dxa"/>
            <w:noWrap/>
            <w:hideMark/>
          </w:tcPr>
          <w:p w14:paraId="206E4155" w14:textId="77777777" w:rsidR="00BB6C95" w:rsidRPr="008C51A0" w:rsidRDefault="00BB6C95" w:rsidP="00BB6C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8C51A0">
              <w:rPr>
                <w:rFonts w:ascii="Times New Roman" w:eastAsia="Times New Roman" w:hAnsi="Times New Roman" w:cs="Times New Roman"/>
                <w:color w:val="000000"/>
                <w:sz w:val="20"/>
                <w:szCs w:val="20"/>
                <w:lang w:eastAsia="fr-FR"/>
              </w:rPr>
              <w:t>1.76E-10</w:t>
            </w:r>
          </w:p>
        </w:tc>
        <w:tc>
          <w:tcPr>
            <w:tcW w:w="1157" w:type="dxa"/>
            <w:noWrap/>
            <w:hideMark/>
          </w:tcPr>
          <w:p w14:paraId="40CD1F56" w14:textId="77777777" w:rsidR="00BB6C95" w:rsidRPr="008C51A0" w:rsidRDefault="00BB6C95" w:rsidP="00BB6C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8C51A0">
              <w:rPr>
                <w:rFonts w:ascii="Times New Roman" w:eastAsia="Times New Roman" w:hAnsi="Times New Roman" w:cs="Times New Roman"/>
                <w:color w:val="000000"/>
                <w:sz w:val="20"/>
                <w:szCs w:val="20"/>
                <w:lang w:eastAsia="fr-FR"/>
              </w:rPr>
              <w:t>-13.138</w:t>
            </w:r>
          </w:p>
        </w:tc>
        <w:tc>
          <w:tcPr>
            <w:tcW w:w="1334" w:type="dxa"/>
            <w:noWrap/>
            <w:hideMark/>
          </w:tcPr>
          <w:p w14:paraId="18380EB2" w14:textId="77777777" w:rsidR="00BB6C95" w:rsidRPr="008C51A0" w:rsidRDefault="00BB6C95" w:rsidP="00BB6C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8C51A0">
              <w:rPr>
                <w:rFonts w:ascii="Times New Roman" w:eastAsia="Times New Roman" w:hAnsi="Times New Roman" w:cs="Times New Roman"/>
                <w:color w:val="000000"/>
                <w:sz w:val="20"/>
                <w:szCs w:val="20"/>
                <w:lang w:eastAsia="fr-FR"/>
              </w:rPr>
              <w:t>&lt; 2e-16 ***</w:t>
            </w:r>
          </w:p>
        </w:tc>
      </w:tr>
      <w:tr w:rsidR="00BB6C95" w:rsidRPr="008C51A0" w14:paraId="33024215" w14:textId="77777777" w:rsidTr="005D398C">
        <w:trPr>
          <w:cnfStyle w:val="000000100000" w:firstRow="0" w:lastRow="0" w:firstColumn="0" w:lastColumn="0" w:oddVBand="0" w:evenVBand="0" w:oddHBand="1" w:evenHBand="0" w:firstRowFirstColumn="0" w:firstRowLastColumn="0" w:lastRowFirstColumn="0" w:lastRowLastColumn="0"/>
          <w:trHeight w:val="183"/>
        </w:trPr>
        <w:tc>
          <w:tcPr>
            <w:cnfStyle w:val="001000000000" w:firstRow="0" w:lastRow="0" w:firstColumn="1" w:lastColumn="0" w:oddVBand="0" w:evenVBand="0" w:oddHBand="0" w:evenHBand="0" w:firstRowFirstColumn="0" w:firstRowLastColumn="0" w:lastRowFirstColumn="0" w:lastRowLastColumn="0"/>
            <w:tcW w:w="3938" w:type="dxa"/>
            <w:noWrap/>
            <w:hideMark/>
          </w:tcPr>
          <w:p w14:paraId="2A29C70B" w14:textId="77777777" w:rsidR="00BB6C95" w:rsidRPr="008C51A0" w:rsidRDefault="00BB6C95" w:rsidP="00BB6C95">
            <w:pPr>
              <w:jc w:val="center"/>
              <w:rPr>
                <w:rFonts w:ascii="Times New Roman" w:eastAsia="Times New Roman" w:hAnsi="Times New Roman" w:cs="Times New Roman"/>
                <w:color w:val="000000"/>
                <w:sz w:val="20"/>
                <w:szCs w:val="20"/>
                <w:lang w:eastAsia="fr-FR"/>
              </w:rPr>
            </w:pPr>
            <w:r w:rsidRPr="008C51A0">
              <w:rPr>
                <w:rFonts w:ascii="Times New Roman" w:eastAsia="Times New Roman" w:hAnsi="Times New Roman" w:cs="Times New Roman"/>
                <w:color w:val="000000"/>
                <w:sz w:val="20"/>
                <w:szCs w:val="20"/>
                <w:lang w:eastAsia="fr-FR"/>
              </w:rPr>
              <w:t>d (rentabilité) (-1)</w:t>
            </w:r>
          </w:p>
        </w:tc>
        <w:tc>
          <w:tcPr>
            <w:tcW w:w="1870" w:type="dxa"/>
            <w:noWrap/>
            <w:hideMark/>
          </w:tcPr>
          <w:p w14:paraId="1FC5BB8D" w14:textId="77777777" w:rsidR="00BB6C95" w:rsidRPr="008C51A0" w:rsidRDefault="00BB6C95" w:rsidP="00BB6C9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8C51A0">
              <w:rPr>
                <w:rFonts w:ascii="Times New Roman" w:eastAsia="Times New Roman" w:hAnsi="Times New Roman" w:cs="Times New Roman"/>
                <w:color w:val="000000"/>
                <w:sz w:val="20"/>
                <w:szCs w:val="20"/>
                <w:lang w:eastAsia="fr-FR"/>
              </w:rPr>
              <w:t>1.82E+00</w:t>
            </w:r>
          </w:p>
        </w:tc>
        <w:tc>
          <w:tcPr>
            <w:tcW w:w="1137" w:type="dxa"/>
            <w:noWrap/>
            <w:hideMark/>
          </w:tcPr>
          <w:p w14:paraId="7FB8DFCB" w14:textId="77777777" w:rsidR="00BB6C95" w:rsidRPr="008C51A0" w:rsidRDefault="00BB6C95" w:rsidP="00BB6C9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8C51A0">
              <w:rPr>
                <w:rFonts w:ascii="Times New Roman" w:eastAsia="Times New Roman" w:hAnsi="Times New Roman" w:cs="Times New Roman"/>
                <w:color w:val="000000"/>
                <w:sz w:val="20"/>
                <w:szCs w:val="20"/>
                <w:lang w:eastAsia="fr-FR"/>
              </w:rPr>
              <w:t>3.21E-02</w:t>
            </w:r>
          </w:p>
        </w:tc>
        <w:tc>
          <w:tcPr>
            <w:tcW w:w="1157" w:type="dxa"/>
            <w:noWrap/>
            <w:hideMark/>
          </w:tcPr>
          <w:p w14:paraId="726E6B33" w14:textId="77777777" w:rsidR="00BB6C95" w:rsidRPr="008C51A0" w:rsidRDefault="00BB6C95" w:rsidP="00BB6C9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8C51A0">
              <w:rPr>
                <w:rFonts w:ascii="Times New Roman" w:eastAsia="Times New Roman" w:hAnsi="Times New Roman" w:cs="Times New Roman"/>
                <w:color w:val="000000"/>
                <w:sz w:val="20"/>
                <w:szCs w:val="20"/>
                <w:lang w:eastAsia="fr-FR"/>
              </w:rPr>
              <w:t>56.851</w:t>
            </w:r>
          </w:p>
        </w:tc>
        <w:tc>
          <w:tcPr>
            <w:tcW w:w="1334" w:type="dxa"/>
            <w:noWrap/>
            <w:hideMark/>
          </w:tcPr>
          <w:p w14:paraId="1113787E" w14:textId="77777777" w:rsidR="00BB6C95" w:rsidRPr="008C51A0" w:rsidRDefault="00BB6C95" w:rsidP="00BB6C9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8C51A0">
              <w:rPr>
                <w:rFonts w:ascii="Times New Roman" w:eastAsia="Times New Roman" w:hAnsi="Times New Roman" w:cs="Times New Roman"/>
                <w:color w:val="000000"/>
                <w:sz w:val="20"/>
                <w:szCs w:val="20"/>
                <w:lang w:eastAsia="fr-FR"/>
              </w:rPr>
              <w:t>&lt; 2e-16 ***</w:t>
            </w:r>
          </w:p>
        </w:tc>
      </w:tr>
      <w:tr w:rsidR="00BB6C95" w:rsidRPr="008C51A0" w14:paraId="19E26EA4" w14:textId="77777777" w:rsidTr="005D398C">
        <w:trPr>
          <w:trHeight w:val="183"/>
        </w:trPr>
        <w:tc>
          <w:tcPr>
            <w:cnfStyle w:val="001000000000" w:firstRow="0" w:lastRow="0" w:firstColumn="1" w:lastColumn="0" w:oddVBand="0" w:evenVBand="0" w:oddHBand="0" w:evenHBand="0" w:firstRowFirstColumn="0" w:firstRowLastColumn="0" w:lastRowFirstColumn="0" w:lastRowLastColumn="0"/>
            <w:tcW w:w="3938" w:type="dxa"/>
            <w:noWrap/>
            <w:hideMark/>
          </w:tcPr>
          <w:p w14:paraId="78ADDDF7" w14:textId="77777777" w:rsidR="00BB6C95" w:rsidRPr="008C51A0" w:rsidRDefault="00BB6C95" w:rsidP="00BB6C95">
            <w:pPr>
              <w:jc w:val="center"/>
              <w:rPr>
                <w:rFonts w:ascii="Times New Roman" w:eastAsia="Times New Roman" w:hAnsi="Times New Roman" w:cs="Times New Roman"/>
                <w:color w:val="000000"/>
                <w:sz w:val="20"/>
                <w:szCs w:val="20"/>
                <w:lang w:eastAsia="fr-FR"/>
              </w:rPr>
            </w:pPr>
            <w:r w:rsidRPr="008C51A0">
              <w:rPr>
                <w:rFonts w:ascii="Times New Roman" w:eastAsia="Times New Roman" w:hAnsi="Times New Roman" w:cs="Times New Roman"/>
                <w:color w:val="000000"/>
                <w:sz w:val="20"/>
                <w:szCs w:val="20"/>
                <w:lang w:eastAsia="fr-FR"/>
              </w:rPr>
              <w:t>d (rentabilité) (-2)</w:t>
            </w:r>
          </w:p>
        </w:tc>
        <w:tc>
          <w:tcPr>
            <w:tcW w:w="1870" w:type="dxa"/>
            <w:noWrap/>
            <w:hideMark/>
          </w:tcPr>
          <w:p w14:paraId="412951BA" w14:textId="77777777" w:rsidR="00BB6C95" w:rsidRPr="008C51A0" w:rsidRDefault="00BB6C95" w:rsidP="00BB6C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8C51A0">
              <w:rPr>
                <w:rFonts w:ascii="Times New Roman" w:eastAsia="Times New Roman" w:hAnsi="Times New Roman" w:cs="Times New Roman"/>
                <w:color w:val="000000"/>
                <w:sz w:val="20"/>
                <w:szCs w:val="20"/>
                <w:lang w:eastAsia="fr-FR"/>
              </w:rPr>
              <w:t>-8.47E-01</w:t>
            </w:r>
          </w:p>
        </w:tc>
        <w:tc>
          <w:tcPr>
            <w:tcW w:w="1137" w:type="dxa"/>
            <w:noWrap/>
            <w:hideMark/>
          </w:tcPr>
          <w:p w14:paraId="6931364B" w14:textId="77777777" w:rsidR="00BB6C95" w:rsidRPr="008C51A0" w:rsidRDefault="00BB6C95" w:rsidP="00BB6C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8C51A0">
              <w:rPr>
                <w:rFonts w:ascii="Times New Roman" w:eastAsia="Times New Roman" w:hAnsi="Times New Roman" w:cs="Times New Roman"/>
                <w:color w:val="000000"/>
                <w:sz w:val="20"/>
                <w:szCs w:val="20"/>
                <w:lang w:eastAsia="fr-FR"/>
              </w:rPr>
              <w:t>3.22E-02</w:t>
            </w:r>
          </w:p>
        </w:tc>
        <w:tc>
          <w:tcPr>
            <w:tcW w:w="1157" w:type="dxa"/>
            <w:noWrap/>
            <w:hideMark/>
          </w:tcPr>
          <w:p w14:paraId="1FFCC067" w14:textId="77777777" w:rsidR="00BB6C95" w:rsidRPr="008C51A0" w:rsidRDefault="00BB6C95" w:rsidP="00BB6C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8C51A0">
              <w:rPr>
                <w:rFonts w:ascii="Times New Roman" w:eastAsia="Times New Roman" w:hAnsi="Times New Roman" w:cs="Times New Roman"/>
                <w:color w:val="000000"/>
                <w:sz w:val="20"/>
                <w:szCs w:val="20"/>
                <w:lang w:eastAsia="fr-FR"/>
              </w:rPr>
              <w:t>-26.308</w:t>
            </w:r>
          </w:p>
        </w:tc>
        <w:tc>
          <w:tcPr>
            <w:tcW w:w="1334" w:type="dxa"/>
            <w:noWrap/>
            <w:hideMark/>
          </w:tcPr>
          <w:p w14:paraId="3E6DEB23" w14:textId="77777777" w:rsidR="00BB6C95" w:rsidRPr="008C51A0" w:rsidRDefault="00BB6C95" w:rsidP="00BB6C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8C51A0">
              <w:rPr>
                <w:rFonts w:ascii="Times New Roman" w:eastAsia="Times New Roman" w:hAnsi="Times New Roman" w:cs="Times New Roman"/>
                <w:color w:val="000000"/>
                <w:sz w:val="20"/>
                <w:szCs w:val="20"/>
                <w:lang w:eastAsia="fr-FR"/>
              </w:rPr>
              <w:t>&lt; 2e-16 ***</w:t>
            </w:r>
          </w:p>
        </w:tc>
      </w:tr>
      <w:tr w:rsidR="00BB6C95" w:rsidRPr="008C51A0" w14:paraId="4234C2BC" w14:textId="77777777" w:rsidTr="005D398C">
        <w:trPr>
          <w:cnfStyle w:val="000000100000" w:firstRow="0" w:lastRow="0" w:firstColumn="0" w:lastColumn="0" w:oddVBand="0" w:evenVBand="0" w:oddHBand="1" w:evenHBand="0" w:firstRowFirstColumn="0" w:firstRowLastColumn="0" w:lastRowFirstColumn="0" w:lastRowLastColumn="0"/>
          <w:trHeight w:val="183"/>
        </w:trPr>
        <w:tc>
          <w:tcPr>
            <w:cnfStyle w:val="001000000000" w:firstRow="0" w:lastRow="0" w:firstColumn="1" w:lastColumn="0" w:oddVBand="0" w:evenVBand="0" w:oddHBand="0" w:evenHBand="0" w:firstRowFirstColumn="0" w:firstRowLastColumn="0" w:lastRowFirstColumn="0" w:lastRowLastColumn="0"/>
            <w:tcW w:w="3938" w:type="dxa"/>
            <w:noWrap/>
            <w:hideMark/>
          </w:tcPr>
          <w:p w14:paraId="1EBB43A6" w14:textId="77777777" w:rsidR="00BB6C95" w:rsidRPr="008C51A0" w:rsidRDefault="00BB6C95" w:rsidP="00BB6C95">
            <w:pPr>
              <w:jc w:val="center"/>
              <w:rPr>
                <w:rFonts w:ascii="Times New Roman" w:eastAsia="Times New Roman" w:hAnsi="Times New Roman" w:cs="Times New Roman"/>
                <w:color w:val="000000"/>
                <w:sz w:val="20"/>
                <w:szCs w:val="20"/>
                <w:lang w:eastAsia="fr-FR"/>
              </w:rPr>
            </w:pPr>
          </w:p>
        </w:tc>
        <w:tc>
          <w:tcPr>
            <w:tcW w:w="1870" w:type="dxa"/>
            <w:noWrap/>
            <w:hideMark/>
          </w:tcPr>
          <w:p w14:paraId="111F0861" w14:textId="77777777" w:rsidR="00BB6C95" w:rsidRPr="008C51A0" w:rsidRDefault="00BB6C95" w:rsidP="00BB6C9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fr-FR"/>
              </w:rPr>
            </w:pPr>
          </w:p>
        </w:tc>
        <w:tc>
          <w:tcPr>
            <w:tcW w:w="1137" w:type="dxa"/>
            <w:noWrap/>
            <w:hideMark/>
          </w:tcPr>
          <w:p w14:paraId="6E91393E" w14:textId="77777777" w:rsidR="00BB6C95" w:rsidRPr="008C51A0" w:rsidRDefault="00BB6C95" w:rsidP="00BB6C9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fr-FR"/>
              </w:rPr>
            </w:pPr>
          </w:p>
        </w:tc>
        <w:tc>
          <w:tcPr>
            <w:tcW w:w="1157" w:type="dxa"/>
            <w:noWrap/>
            <w:hideMark/>
          </w:tcPr>
          <w:p w14:paraId="544DEEB7" w14:textId="77777777" w:rsidR="00BB6C95" w:rsidRPr="008C51A0" w:rsidRDefault="00BB6C95" w:rsidP="00BB6C9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fr-FR"/>
              </w:rPr>
            </w:pPr>
          </w:p>
        </w:tc>
        <w:tc>
          <w:tcPr>
            <w:tcW w:w="1334" w:type="dxa"/>
            <w:noWrap/>
            <w:hideMark/>
          </w:tcPr>
          <w:p w14:paraId="4CCBD199" w14:textId="77777777" w:rsidR="00BB6C95" w:rsidRPr="008C51A0" w:rsidRDefault="00BB6C95" w:rsidP="00BB6C9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fr-FR"/>
              </w:rPr>
            </w:pPr>
          </w:p>
        </w:tc>
      </w:tr>
      <w:tr w:rsidR="00BB6C95" w:rsidRPr="008C51A0" w14:paraId="1627C44C" w14:textId="77777777" w:rsidTr="005D398C">
        <w:trPr>
          <w:trHeight w:val="183"/>
        </w:trPr>
        <w:tc>
          <w:tcPr>
            <w:cnfStyle w:val="001000000000" w:firstRow="0" w:lastRow="0" w:firstColumn="1" w:lastColumn="0" w:oddVBand="0" w:evenVBand="0" w:oddHBand="0" w:evenHBand="0" w:firstRowFirstColumn="0" w:firstRowLastColumn="0" w:lastRowFirstColumn="0" w:lastRowLastColumn="0"/>
            <w:tcW w:w="3938" w:type="dxa"/>
            <w:noWrap/>
            <w:hideMark/>
          </w:tcPr>
          <w:p w14:paraId="7D1F6C34" w14:textId="77777777" w:rsidR="00BB6C95" w:rsidRPr="008C51A0" w:rsidRDefault="00BB6C95" w:rsidP="00BB6C95">
            <w:pPr>
              <w:jc w:val="center"/>
              <w:rPr>
                <w:rFonts w:ascii="Times New Roman" w:eastAsia="Times New Roman" w:hAnsi="Times New Roman" w:cs="Times New Roman"/>
                <w:color w:val="000000"/>
                <w:sz w:val="20"/>
                <w:szCs w:val="20"/>
                <w:lang w:eastAsia="fr-FR"/>
              </w:rPr>
            </w:pPr>
            <w:r w:rsidRPr="008C51A0">
              <w:rPr>
                <w:rFonts w:ascii="Times New Roman" w:eastAsia="Times New Roman" w:hAnsi="Times New Roman" w:cs="Times New Roman"/>
                <w:color w:val="000000"/>
                <w:sz w:val="20"/>
                <w:szCs w:val="20"/>
                <w:lang w:eastAsia="fr-FR"/>
              </w:rPr>
              <w:t>Multiple R-carré: 0.9969</w:t>
            </w:r>
          </w:p>
        </w:tc>
        <w:tc>
          <w:tcPr>
            <w:tcW w:w="1870" w:type="dxa"/>
            <w:noWrap/>
            <w:hideMark/>
          </w:tcPr>
          <w:p w14:paraId="3986F2CA" w14:textId="77777777" w:rsidR="00BB6C95" w:rsidRPr="008C51A0" w:rsidRDefault="00BB6C95" w:rsidP="00BB6C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8C51A0">
              <w:rPr>
                <w:rFonts w:ascii="Times New Roman" w:eastAsia="Times New Roman" w:hAnsi="Times New Roman" w:cs="Times New Roman"/>
                <w:color w:val="000000"/>
                <w:sz w:val="20"/>
                <w:szCs w:val="20"/>
                <w:lang w:eastAsia="fr-FR"/>
              </w:rPr>
              <w:t> </w:t>
            </w:r>
          </w:p>
        </w:tc>
        <w:tc>
          <w:tcPr>
            <w:tcW w:w="1137" w:type="dxa"/>
            <w:noWrap/>
            <w:hideMark/>
          </w:tcPr>
          <w:p w14:paraId="091CF871" w14:textId="77777777" w:rsidR="00BB6C95" w:rsidRPr="008C51A0" w:rsidRDefault="00BB6C95" w:rsidP="00BB6C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8C51A0">
              <w:rPr>
                <w:rFonts w:ascii="Times New Roman" w:eastAsia="Times New Roman" w:hAnsi="Times New Roman" w:cs="Times New Roman"/>
                <w:color w:val="000000"/>
                <w:sz w:val="20"/>
                <w:szCs w:val="20"/>
                <w:lang w:eastAsia="fr-FR"/>
              </w:rPr>
              <w:t> </w:t>
            </w:r>
          </w:p>
        </w:tc>
        <w:tc>
          <w:tcPr>
            <w:tcW w:w="1157" w:type="dxa"/>
            <w:noWrap/>
            <w:hideMark/>
          </w:tcPr>
          <w:p w14:paraId="3773BE59" w14:textId="77777777" w:rsidR="00BB6C95" w:rsidRPr="008C51A0" w:rsidRDefault="00BB6C95" w:rsidP="00BB6C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8C51A0">
              <w:rPr>
                <w:rFonts w:ascii="Times New Roman" w:eastAsia="Times New Roman" w:hAnsi="Times New Roman" w:cs="Times New Roman"/>
                <w:color w:val="000000"/>
                <w:sz w:val="20"/>
                <w:szCs w:val="20"/>
                <w:lang w:eastAsia="fr-FR"/>
              </w:rPr>
              <w:t> </w:t>
            </w:r>
          </w:p>
        </w:tc>
        <w:tc>
          <w:tcPr>
            <w:tcW w:w="1334" w:type="dxa"/>
            <w:noWrap/>
            <w:hideMark/>
          </w:tcPr>
          <w:p w14:paraId="6E5A381E" w14:textId="77777777" w:rsidR="00BB6C95" w:rsidRPr="008C51A0" w:rsidRDefault="00BB6C95" w:rsidP="00BB6C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8C51A0">
              <w:rPr>
                <w:rFonts w:ascii="Times New Roman" w:eastAsia="Times New Roman" w:hAnsi="Times New Roman" w:cs="Times New Roman"/>
                <w:color w:val="000000"/>
                <w:sz w:val="20"/>
                <w:szCs w:val="20"/>
                <w:lang w:eastAsia="fr-FR"/>
              </w:rPr>
              <w:t> </w:t>
            </w:r>
          </w:p>
        </w:tc>
      </w:tr>
      <w:tr w:rsidR="00BB6C95" w:rsidRPr="008C51A0" w14:paraId="7FA5C303" w14:textId="77777777" w:rsidTr="005D398C">
        <w:trPr>
          <w:cnfStyle w:val="000000100000" w:firstRow="0" w:lastRow="0" w:firstColumn="0" w:lastColumn="0" w:oddVBand="0" w:evenVBand="0" w:oddHBand="1" w:evenHBand="0" w:firstRowFirstColumn="0" w:firstRowLastColumn="0" w:lastRowFirstColumn="0" w:lastRowLastColumn="0"/>
          <w:trHeight w:val="183"/>
        </w:trPr>
        <w:tc>
          <w:tcPr>
            <w:cnfStyle w:val="001000000000" w:firstRow="0" w:lastRow="0" w:firstColumn="1" w:lastColumn="0" w:oddVBand="0" w:evenVBand="0" w:oddHBand="0" w:evenHBand="0" w:firstRowFirstColumn="0" w:firstRowLastColumn="0" w:lastRowFirstColumn="0" w:lastRowLastColumn="0"/>
            <w:tcW w:w="3938" w:type="dxa"/>
            <w:noWrap/>
            <w:hideMark/>
          </w:tcPr>
          <w:p w14:paraId="0EA25295" w14:textId="77777777" w:rsidR="00BB6C95" w:rsidRPr="008C51A0" w:rsidRDefault="00BB6C95" w:rsidP="00BB6C95">
            <w:pPr>
              <w:jc w:val="center"/>
              <w:rPr>
                <w:rFonts w:ascii="Times New Roman" w:eastAsia="Times New Roman" w:hAnsi="Times New Roman" w:cs="Times New Roman"/>
                <w:color w:val="000000"/>
                <w:sz w:val="20"/>
                <w:szCs w:val="20"/>
                <w:lang w:eastAsia="fr-FR"/>
              </w:rPr>
            </w:pPr>
            <w:r w:rsidRPr="008C51A0">
              <w:rPr>
                <w:rFonts w:ascii="Times New Roman" w:eastAsia="Times New Roman" w:hAnsi="Times New Roman" w:cs="Times New Roman"/>
                <w:color w:val="000000"/>
                <w:sz w:val="20"/>
                <w:szCs w:val="20"/>
                <w:lang w:eastAsia="fr-FR"/>
              </w:rPr>
              <w:t xml:space="preserve"> R-carré Ajusté: 0.9968</w:t>
            </w:r>
          </w:p>
        </w:tc>
        <w:tc>
          <w:tcPr>
            <w:tcW w:w="1870" w:type="dxa"/>
            <w:noWrap/>
            <w:hideMark/>
          </w:tcPr>
          <w:p w14:paraId="0446CFBC" w14:textId="77777777" w:rsidR="00BB6C95" w:rsidRPr="008C51A0" w:rsidRDefault="00BB6C95" w:rsidP="00BB6C9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0"/>
                <w:szCs w:val="20"/>
                <w:lang w:eastAsia="fr-FR"/>
              </w:rPr>
            </w:pPr>
          </w:p>
        </w:tc>
        <w:tc>
          <w:tcPr>
            <w:tcW w:w="1137" w:type="dxa"/>
            <w:noWrap/>
            <w:hideMark/>
          </w:tcPr>
          <w:p w14:paraId="2B9C1C37" w14:textId="77777777" w:rsidR="00BB6C95" w:rsidRPr="008C51A0" w:rsidRDefault="00BB6C95" w:rsidP="00BB6C9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fr-FR"/>
              </w:rPr>
            </w:pPr>
          </w:p>
        </w:tc>
        <w:tc>
          <w:tcPr>
            <w:tcW w:w="1157" w:type="dxa"/>
            <w:noWrap/>
            <w:hideMark/>
          </w:tcPr>
          <w:p w14:paraId="1EF3374F" w14:textId="77777777" w:rsidR="00BB6C95" w:rsidRPr="008C51A0" w:rsidRDefault="00BB6C95" w:rsidP="00BB6C9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fr-FR"/>
              </w:rPr>
            </w:pPr>
          </w:p>
        </w:tc>
        <w:tc>
          <w:tcPr>
            <w:tcW w:w="1334" w:type="dxa"/>
            <w:noWrap/>
            <w:hideMark/>
          </w:tcPr>
          <w:p w14:paraId="739D968E" w14:textId="77777777" w:rsidR="00BB6C95" w:rsidRPr="008C51A0" w:rsidRDefault="00BB6C95" w:rsidP="00BB6C9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fr-FR"/>
              </w:rPr>
            </w:pPr>
          </w:p>
        </w:tc>
      </w:tr>
      <w:tr w:rsidR="00BB6C95" w:rsidRPr="008C51A0" w14:paraId="5B171070" w14:textId="77777777" w:rsidTr="005D398C">
        <w:trPr>
          <w:trHeight w:val="183"/>
        </w:trPr>
        <w:tc>
          <w:tcPr>
            <w:cnfStyle w:val="001000000000" w:firstRow="0" w:lastRow="0" w:firstColumn="1" w:lastColumn="0" w:oddVBand="0" w:evenVBand="0" w:oddHBand="0" w:evenHBand="0" w:firstRowFirstColumn="0" w:firstRowLastColumn="0" w:lastRowFirstColumn="0" w:lastRowLastColumn="0"/>
            <w:tcW w:w="3938" w:type="dxa"/>
            <w:noWrap/>
            <w:hideMark/>
          </w:tcPr>
          <w:p w14:paraId="15374CFE" w14:textId="3869605F" w:rsidR="00BB6C95" w:rsidRPr="008C51A0" w:rsidRDefault="00BB6C95" w:rsidP="00BB6C95">
            <w:pPr>
              <w:jc w:val="center"/>
              <w:rPr>
                <w:rFonts w:ascii="Times New Roman" w:eastAsia="Times New Roman" w:hAnsi="Times New Roman" w:cs="Times New Roman"/>
                <w:color w:val="000000"/>
                <w:sz w:val="20"/>
                <w:szCs w:val="20"/>
                <w:lang w:eastAsia="fr-FR"/>
              </w:rPr>
            </w:pPr>
            <w:r w:rsidRPr="008C51A0">
              <w:rPr>
                <w:rFonts w:ascii="Times New Roman" w:eastAsia="Times New Roman" w:hAnsi="Times New Roman" w:cs="Times New Roman"/>
                <w:b w:val="0"/>
                <w:bCs w:val="0"/>
                <w:color w:val="000000"/>
                <w:sz w:val="20"/>
                <w:szCs w:val="20"/>
                <w:lang w:eastAsia="fr-FR"/>
              </w:rPr>
              <w:t>Fisher (F)</w:t>
            </w:r>
            <w:r w:rsidRPr="008C51A0">
              <w:rPr>
                <w:rFonts w:ascii="Times New Roman" w:eastAsia="Times New Roman" w:hAnsi="Times New Roman" w:cs="Times New Roman"/>
                <w:color w:val="000000"/>
                <w:sz w:val="20"/>
                <w:szCs w:val="20"/>
                <w:lang w:eastAsia="fr-FR"/>
              </w:rPr>
              <w:t>: 9215</w:t>
            </w:r>
          </w:p>
        </w:tc>
        <w:tc>
          <w:tcPr>
            <w:tcW w:w="1870" w:type="dxa"/>
            <w:noWrap/>
            <w:hideMark/>
          </w:tcPr>
          <w:p w14:paraId="05916C57" w14:textId="77777777" w:rsidR="00BB6C95" w:rsidRPr="008C51A0" w:rsidRDefault="00BB6C95" w:rsidP="00BB6C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0"/>
                <w:szCs w:val="20"/>
                <w:lang w:eastAsia="fr-FR"/>
              </w:rPr>
            </w:pPr>
            <w:r w:rsidRPr="008C51A0">
              <w:rPr>
                <w:rFonts w:ascii="Times New Roman" w:eastAsia="Times New Roman" w:hAnsi="Times New Roman" w:cs="Times New Roman"/>
                <w:b/>
                <w:color w:val="000000"/>
                <w:sz w:val="20"/>
                <w:szCs w:val="20"/>
                <w:lang w:eastAsia="fr-FR"/>
              </w:rPr>
              <w:t>p-value: &lt; 2.2e-16</w:t>
            </w:r>
          </w:p>
        </w:tc>
        <w:tc>
          <w:tcPr>
            <w:tcW w:w="1137" w:type="dxa"/>
            <w:noWrap/>
            <w:hideMark/>
          </w:tcPr>
          <w:p w14:paraId="36F604B2" w14:textId="77777777" w:rsidR="00BB6C95" w:rsidRPr="008C51A0" w:rsidRDefault="00BB6C95" w:rsidP="00BB6C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8C51A0">
              <w:rPr>
                <w:rFonts w:ascii="Times New Roman" w:eastAsia="Times New Roman" w:hAnsi="Times New Roman" w:cs="Times New Roman"/>
                <w:color w:val="000000"/>
                <w:sz w:val="20"/>
                <w:szCs w:val="20"/>
                <w:lang w:eastAsia="fr-FR"/>
              </w:rPr>
              <w:t> </w:t>
            </w:r>
          </w:p>
        </w:tc>
        <w:tc>
          <w:tcPr>
            <w:tcW w:w="1157" w:type="dxa"/>
            <w:noWrap/>
            <w:hideMark/>
          </w:tcPr>
          <w:p w14:paraId="171EF842" w14:textId="77777777" w:rsidR="00BB6C95" w:rsidRPr="008C51A0" w:rsidRDefault="00BB6C95" w:rsidP="00BB6C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8C51A0">
              <w:rPr>
                <w:rFonts w:ascii="Times New Roman" w:eastAsia="Times New Roman" w:hAnsi="Times New Roman" w:cs="Times New Roman"/>
                <w:color w:val="000000"/>
                <w:sz w:val="20"/>
                <w:szCs w:val="20"/>
                <w:lang w:eastAsia="fr-FR"/>
              </w:rPr>
              <w:t> </w:t>
            </w:r>
          </w:p>
        </w:tc>
        <w:tc>
          <w:tcPr>
            <w:tcW w:w="1334" w:type="dxa"/>
            <w:noWrap/>
            <w:hideMark/>
          </w:tcPr>
          <w:p w14:paraId="1A26BC6B" w14:textId="77777777" w:rsidR="00BB6C95" w:rsidRPr="008C51A0" w:rsidRDefault="00BB6C95" w:rsidP="00BB6C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8C51A0">
              <w:rPr>
                <w:rFonts w:ascii="Times New Roman" w:eastAsia="Times New Roman" w:hAnsi="Times New Roman" w:cs="Times New Roman"/>
                <w:color w:val="000000"/>
                <w:sz w:val="20"/>
                <w:szCs w:val="20"/>
                <w:lang w:eastAsia="fr-FR"/>
              </w:rPr>
              <w:t> </w:t>
            </w:r>
          </w:p>
        </w:tc>
      </w:tr>
    </w:tbl>
    <w:p w14:paraId="017CDF14" w14:textId="2E3E88CA" w:rsidR="00FD62E5" w:rsidRDefault="005D398C" w:rsidP="00FD62E5">
      <w:pPr>
        <w:rPr>
          <w:rFonts w:ascii="Times New Roman" w:hAnsi="Times New Roman" w:cs="Times New Roman"/>
          <w:b/>
          <w:bCs/>
          <w:sz w:val="20"/>
        </w:rPr>
      </w:pPr>
      <w:r w:rsidRPr="009C07D5">
        <w:rPr>
          <w:rFonts w:ascii="Times New Roman" w:hAnsi="Times New Roman" w:cs="Times New Roman"/>
          <w:b/>
          <w:bCs/>
          <w:sz w:val="20"/>
          <w:szCs w:val="20"/>
        </w:rPr>
        <w:t>Source :</w:t>
      </w:r>
      <w:r w:rsidR="00DE6D6E">
        <w:rPr>
          <w:rFonts w:ascii="Times New Roman" w:hAnsi="Times New Roman" w:cs="Times New Roman"/>
          <w:sz w:val="24"/>
          <w:szCs w:val="24"/>
        </w:rPr>
        <w:t xml:space="preserve"> </w:t>
      </w:r>
      <w:r w:rsidR="00DE6D6E" w:rsidRPr="00317520">
        <w:rPr>
          <w:rFonts w:ascii="Times New Roman" w:eastAsia="Times New Roman" w:hAnsi="Times New Roman" w:cs="Times New Roman"/>
          <w:b/>
          <w:bCs/>
          <w:color w:val="000000"/>
          <w:sz w:val="20"/>
          <w:szCs w:val="20"/>
          <w:lang w:eastAsia="fr-FR"/>
        </w:rPr>
        <w:t xml:space="preserve">Compte déplacements des voyageurs en Île-de-France (Île de France Mobilités) et Île-de-France Mobilités, d'après RATP, </w:t>
      </w:r>
      <w:proofErr w:type="spellStart"/>
      <w:r w:rsidR="00DE6D6E" w:rsidRPr="00317520">
        <w:rPr>
          <w:rFonts w:ascii="Times New Roman" w:eastAsia="Times New Roman" w:hAnsi="Times New Roman" w:cs="Times New Roman"/>
          <w:b/>
          <w:bCs/>
          <w:color w:val="000000"/>
          <w:sz w:val="20"/>
          <w:szCs w:val="20"/>
          <w:lang w:eastAsia="fr-FR"/>
        </w:rPr>
        <w:t>Optile</w:t>
      </w:r>
      <w:proofErr w:type="spellEnd"/>
      <w:r w:rsidR="00DE6D6E" w:rsidRPr="00317520">
        <w:rPr>
          <w:rFonts w:ascii="Times New Roman" w:eastAsia="Times New Roman" w:hAnsi="Times New Roman" w:cs="Times New Roman"/>
          <w:b/>
          <w:bCs/>
          <w:color w:val="000000"/>
          <w:sz w:val="20"/>
          <w:szCs w:val="20"/>
          <w:lang w:eastAsia="fr-FR"/>
        </w:rPr>
        <w:t xml:space="preserve"> et SNCF</w:t>
      </w:r>
      <w:r w:rsidR="00DE6D6E" w:rsidRPr="00317520">
        <w:rPr>
          <w:rFonts w:ascii="Times New Roman" w:hAnsi="Times New Roman" w:cs="Times New Roman"/>
          <w:b/>
          <w:bCs/>
          <w:sz w:val="20"/>
        </w:rPr>
        <w:tab/>
      </w:r>
    </w:p>
    <w:p w14:paraId="673BAD40" w14:textId="44ED68B1" w:rsidR="006C16A3" w:rsidRDefault="006C16A3" w:rsidP="00FD62E5">
      <w:pPr>
        <w:rPr>
          <w:rFonts w:ascii="Times New Roman" w:hAnsi="Times New Roman" w:cs="Times New Roman"/>
          <w:b/>
          <w:bCs/>
          <w:sz w:val="20"/>
        </w:rPr>
      </w:pPr>
      <w:r>
        <w:rPr>
          <w:rFonts w:ascii="Times New Roman" w:hAnsi="Times New Roman" w:cs="Times New Roman"/>
          <w:b/>
          <w:bCs/>
          <w:sz w:val="20"/>
        </w:rPr>
        <w:t>Note </w:t>
      </w:r>
      <w:r w:rsidRPr="006C16A3">
        <w:rPr>
          <w:rFonts w:ascii="Times New Roman" w:hAnsi="Times New Roman" w:cs="Times New Roman"/>
          <w:bCs/>
          <w:sz w:val="20"/>
        </w:rPr>
        <w:t>: (**) : Significativité à 1% ; (***) : Significativité à 0%.</w:t>
      </w:r>
      <w:r>
        <w:rPr>
          <w:rFonts w:ascii="Times New Roman" w:hAnsi="Times New Roman" w:cs="Times New Roman"/>
          <w:b/>
          <w:bCs/>
          <w:sz w:val="20"/>
        </w:rPr>
        <w:t xml:space="preserve"> </w:t>
      </w:r>
    </w:p>
    <w:p w14:paraId="301279D0" w14:textId="77777777" w:rsidR="00DE6D6E" w:rsidRPr="00845804" w:rsidRDefault="00DE6D6E" w:rsidP="00FD62E5">
      <w:pPr>
        <w:rPr>
          <w:rFonts w:ascii="Times New Roman" w:hAnsi="Times New Roman" w:cs="Times New Roman"/>
          <w:sz w:val="24"/>
          <w:szCs w:val="24"/>
        </w:rPr>
      </w:pPr>
    </w:p>
    <w:p w14:paraId="2E86BDD6" w14:textId="77777777" w:rsidR="00FD62E5" w:rsidRDefault="002E170F" w:rsidP="002E170F">
      <w:pPr>
        <w:pStyle w:val="Paragraphedeliste"/>
        <w:numPr>
          <w:ilvl w:val="0"/>
          <w:numId w:val="4"/>
        </w:numPr>
        <w:tabs>
          <w:tab w:val="left" w:pos="4056"/>
        </w:tabs>
        <w:rPr>
          <w:rFonts w:ascii="Times New Roman" w:hAnsi="Times New Roman" w:cs="Times New Roman"/>
          <w:b/>
          <w:sz w:val="24"/>
        </w:rPr>
      </w:pPr>
      <w:r w:rsidRPr="002E170F">
        <w:rPr>
          <w:rFonts w:ascii="Times New Roman" w:hAnsi="Times New Roman" w:cs="Times New Roman"/>
          <w:b/>
          <w:sz w:val="24"/>
        </w:rPr>
        <w:t xml:space="preserve">Relation de long terme </w:t>
      </w:r>
    </w:p>
    <w:p w14:paraId="022D7DBC" w14:textId="77777777" w:rsidR="00203F4F" w:rsidRDefault="00340975" w:rsidP="006077A4">
      <w:pPr>
        <w:tabs>
          <w:tab w:val="left" w:pos="4056"/>
        </w:tabs>
        <w:jc w:val="both"/>
        <w:rPr>
          <w:rFonts w:ascii="Times New Roman" w:hAnsi="Times New Roman" w:cs="Times New Roman"/>
          <w:sz w:val="24"/>
        </w:rPr>
      </w:pPr>
      <w:r>
        <w:rPr>
          <w:rFonts w:ascii="Times New Roman" w:hAnsi="Times New Roman" w:cs="Times New Roman"/>
          <w:sz w:val="24"/>
        </w:rPr>
        <w:t xml:space="preserve">A long terme, la dynamique est toute autre. </w:t>
      </w:r>
      <w:r w:rsidR="00890890">
        <w:rPr>
          <w:rFonts w:ascii="Times New Roman" w:hAnsi="Times New Roman" w:cs="Times New Roman"/>
          <w:sz w:val="24"/>
        </w:rPr>
        <w:t>Premièrement</w:t>
      </w:r>
      <w:r>
        <w:rPr>
          <w:rFonts w:ascii="Times New Roman" w:hAnsi="Times New Roman" w:cs="Times New Roman"/>
          <w:sz w:val="24"/>
        </w:rPr>
        <w:t xml:space="preserve">, la rentabilité a un impact </w:t>
      </w:r>
      <w:r w:rsidR="00890890">
        <w:rPr>
          <w:rFonts w:ascii="Times New Roman" w:hAnsi="Times New Roman" w:cs="Times New Roman"/>
          <w:sz w:val="24"/>
        </w:rPr>
        <w:t>négatif</w:t>
      </w:r>
      <w:r>
        <w:rPr>
          <w:rFonts w:ascii="Times New Roman" w:hAnsi="Times New Roman" w:cs="Times New Roman"/>
          <w:sz w:val="24"/>
        </w:rPr>
        <w:t xml:space="preserve"> sur le long terme. Ce qui implique que tout mauvais résultat pour un mois donné aura un impact </w:t>
      </w:r>
      <w:r w:rsidR="00890890">
        <w:rPr>
          <w:rFonts w:ascii="Times New Roman" w:hAnsi="Times New Roman" w:cs="Times New Roman"/>
          <w:sz w:val="24"/>
        </w:rPr>
        <w:t>négatif</w:t>
      </w:r>
      <w:r>
        <w:rPr>
          <w:rFonts w:ascii="Times New Roman" w:hAnsi="Times New Roman" w:cs="Times New Roman"/>
          <w:sz w:val="24"/>
        </w:rPr>
        <w:t xml:space="preserve"> qui persistera dans le temps. </w:t>
      </w:r>
    </w:p>
    <w:p w14:paraId="263D3CC0" w14:textId="77777777" w:rsidR="00AE4637" w:rsidRDefault="00AE4637" w:rsidP="006077A4">
      <w:pPr>
        <w:tabs>
          <w:tab w:val="left" w:pos="4056"/>
        </w:tabs>
        <w:jc w:val="both"/>
        <w:rPr>
          <w:rFonts w:ascii="Times New Roman" w:hAnsi="Times New Roman" w:cs="Times New Roman"/>
          <w:sz w:val="24"/>
        </w:rPr>
      </w:pPr>
      <w:r>
        <w:rPr>
          <w:rFonts w:ascii="Times New Roman" w:hAnsi="Times New Roman" w:cs="Times New Roman"/>
          <w:sz w:val="24"/>
        </w:rPr>
        <w:t xml:space="preserve">L’impact des autres variables du </w:t>
      </w:r>
      <w:r w:rsidR="00890890">
        <w:rPr>
          <w:rFonts w:ascii="Times New Roman" w:hAnsi="Times New Roman" w:cs="Times New Roman"/>
          <w:sz w:val="24"/>
        </w:rPr>
        <w:t>modèle</w:t>
      </w:r>
      <w:r>
        <w:rPr>
          <w:rFonts w:ascii="Times New Roman" w:hAnsi="Times New Roman" w:cs="Times New Roman"/>
          <w:sz w:val="24"/>
        </w:rPr>
        <w:t xml:space="preserve"> à long terme </w:t>
      </w:r>
      <w:r w:rsidR="00890890">
        <w:rPr>
          <w:rFonts w:ascii="Times New Roman" w:hAnsi="Times New Roman" w:cs="Times New Roman"/>
          <w:sz w:val="24"/>
        </w:rPr>
        <w:t>diffère</w:t>
      </w:r>
      <w:r>
        <w:rPr>
          <w:rFonts w:ascii="Times New Roman" w:hAnsi="Times New Roman" w:cs="Times New Roman"/>
          <w:sz w:val="24"/>
        </w:rPr>
        <w:t xml:space="preserve"> de celui de court terme. Les investissements, les concours publics et l’offre commerciale ont un impact positif, très faible, sur la rentabilité à long terme. </w:t>
      </w:r>
      <w:r w:rsidR="006077A4">
        <w:rPr>
          <w:rFonts w:ascii="Times New Roman" w:hAnsi="Times New Roman" w:cs="Times New Roman"/>
          <w:sz w:val="24"/>
        </w:rPr>
        <w:t xml:space="preserve"> </w:t>
      </w:r>
    </w:p>
    <w:p w14:paraId="6A4FF8D4" w14:textId="17603CD0" w:rsidR="003E23C8" w:rsidRPr="00FA33DF" w:rsidRDefault="003E23C8" w:rsidP="006077A4">
      <w:pPr>
        <w:tabs>
          <w:tab w:val="left" w:pos="4056"/>
        </w:tabs>
        <w:jc w:val="both"/>
        <w:rPr>
          <w:rFonts w:ascii="Times New Roman" w:hAnsi="Times New Roman" w:cs="Times New Roman"/>
          <w:b/>
          <w:sz w:val="24"/>
        </w:rPr>
      </w:pPr>
      <w:r w:rsidRPr="00FA33DF">
        <w:rPr>
          <w:rFonts w:ascii="Times New Roman" w:hAnsi="Times New Roman" w:cs="Times New Roman"/>
          <w:b/>
          <w:sz w:val="24"/>
        </w:rPr>
        <w:t>Tableau 12 : Relation de long terme</w:t>
      </w:r>
    </w:p>
    <w:tbl>
      <w:tblPr>
        <w:tblStyle w:val="Tableausimple2"/>
        <w:tblW w:w="9283" w:type="dxa"/>
        <w:jc w:val="center"/>
        <w:tblLook w:val="04A0" w:firstRow="1" w:lastRow="0" w:firstColumn="1" w:lastColumn="0" w:noHBand="0" w:noVBand="1"/>
      </w:tblPr>
      <w:tblGrid>
        <w:gridCol w:w="1949"/>
        <w:gridCol w:w="2200"/>
        <w:gridCol w:w="2322"/>
        <w:gridCol w:w="2812"/>
      </w:tblGrid>
      <w:tr w:rsidR="00203F4F" w:rsidRPr="009C07D5" w14:paraId="1284F81E" w14:textId="77777777" w:rsidTr="00787F6E">
        <w:trPr>
          <w:cnfStyle w:val="100000000000" w:firstRow="1" w:lastRow="0" w:firstColumn="0" w:lastColumn="0" w:oddVBand="0" w:evenVBand="0" w:oddHBand="0" w:evenHBand="0" w:firstRowFirstColumn="0" w:firstRowLastColumn="0" w:lastRowFirstColumn="0" w:lastRowLastColumn="0"/>
          <w:trHeight w:val="575"/>
          <w:jc w:val="center"/>
        </w:trPr>
        <w:tc>
          <w:tcPr>
            <w:cnfStyle w:val="001000000000" w:firstRow="0" w:lastRow="0" w:firstColumn="1" w:lastColumn="0" w:oddVBand="0" w:evenVBand="0" w:oddHBand="0" w:evenHBand="0" w:firstRowFirstColumn="0" w:firstRowLastColumn="0" w:lastRowFirstColumn="0" w:lastRowLastColumn="0"/>
            <w:tcW w:w="1949" w:type="dxa"/>
            <w:noWrap/>
            <w:vAlign w:val="center"/>
            <w:hideMark/>
          </w:tcPr>
          <w:p w14:paraId="16504A5D" w14:textId="77777777" w:rsidR="00203F4F" w:rsidRPr="009C07D5" w:rsidRDefault="00203F4F" w:rsidP="00203F4F">
            <w:pPr>
              <w:jc w:val="center"/>
              <w:rPr>
                <w:rFonts w:ascii="Times New Roman" w:eastAsia="Times New Roman" w:hAnsi="Times New Roman" w:cs="Times New Roman"/>
                <w:color w:val="000000"/>
                <w:sz w:val="20"/>
                <w:szCs w:val="20"/>
                <w:lang w:eastAsia="fr-FR"/>
              </w:rPr>
            </w:pPr>
            <w:r w:rsidRPr="009C07D5">
              <w:rPr>
                <w:rFonts w:ascii="Times New Roman" w:eastAsia="Times New Roman" w:hAnsi="Times New Roman" w:cs="Times New Roman"/>
                <w:color w:val="000000"/>
                <w:sz w:val="20"/>
                <w:szCs w:val="20"/>
                <w:lang w:eastAsia="fr-FR"/>
              </w:rPr>
              <w:t>Rentabilité</w:t>
            </w:r>
          </w:p>
        </w:tc>
        <w:tc>
          <w:tcPr>
            <w:tcW w:w="2200" w:type="dxa"/>
            <w:noWrap/>
            <w:vAlign w:val="center"/>
            <w:hideMark/>
          </w:tcPr>
          <w:p w14:paraId="214191E3" w14:textId="77777777" w:rsidR="00203F4F" w:rsidRPr="009C07D5" w:rsidRDefault="00203F4F" w:rsidP="00203F4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9C07D5">
              <w:rPr>
                <w:rFonts w:ascii="Times New Roman" w:eastAsia="Times New Roman" w:hAnsi="Times New Roman" w:cs="Times New Roman"/>
                <w:color w:val="000000"/>
                <w:sz w:val="20"/>
                <w:szCs w:val="20"/>
                <w:lang w:eastAsia="fr-FR"/>
              </w:rPr>
              <w:t>Investissement</w:t>
            </w:r>
          </w:p>
        </w:tc>
        <w:tc>
          <w:tcPr>
            <w:tcW w:w="2322" w:type="dxa"/>
            <w:noWrap/>
            <w:vAlign w:val="center"/>
            <w:hideMark/>
          </w:tcPr>
          <w:p w14:paraId="6B868738" w14:textId="77777777" w:rsidR="00203F4F" w:rsidRPr="009C07D5" w:rsidRDefault="00203F4F" w:rsidP="00203F4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9C07D5">
              <w:rPr>
                <w:rFonts w:ascii="Times New Roman" w:eastAsia="Times New Roman" w:hAnsi="Times New Roman" w:cs="Times New Roman"/>
                <w:color w:val="000000"/>
                <w:sz w:val="20"/>
                <w:szCs w:val="20"/>
                <w:lang w:eastAsia="fr-FR"/>
              </w:rPr>
              <w:t>Concours Public</w:t>
            </w:r>
          </w:p>
        </w:tc>
        <w:tc>
          <w:tcPr>
            <w:tcW w:w="2812" w:type="dxa"/>
            <w:noWrap/>
            <w:vAlign w:val="center"/>
            <w:hideMark/>
          </w:tcPr>
          <w:p w14:paraId="22FE580F" w14:textId="77777777" w:rsidR="00203F4F" w:rsidRPr="009C07D5" w:rsidRDefault="00203F4F" w:rsidP="00203F4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9C07D5">
              <w:rPr>
                <w:rFonts w:ascii="Times New Roman" w:eastAsia="Times New Roman" w:hAnsi="Times New Roman" w:cs="Times New Roman"/>
                <w:color w:val="000000"/>
                <w:sz w:val="20"/>
                <w:szCs w:val="20"/>
                <w:lang w:eastAsia="fr-FR"/>
              </w:rPr>
              <w:t>Offre Commerciale</w:t>
            </w:r>
          </w:p>
        </w:tc>
      </w:tr>
      <w:tr w:rsidR="00203F4F" w:rsidRPr="009C07D5" w14:paraId="3F537DF3" w14:textId="77777777" w:rsidTr="00787F6E">
        <w:trPr>
          <w:cnfStyle w:val="000000100000" w:firstRow="0" w:lastRow="0" w:firstColumn="0" w:lastColumn="0" w:oddVBand="0" w:evenVBand="0" w:oddHBand="1" w:evenHBand="0" w:firstRowFirstColumn="0" w:firstRowLastColumn="0" w:lastRowFirstColumn="0" w:lastRowLastColumn="0"/>
          <w:trHeight w:val="575"/>
          <w:jc w:val="center"/>
        </w:trPr>
        <w:tc>
          <w:tcPr>
            <w:cnfStyle w:val="001000000000" w:firstRow="0" w:lastRow="0" w:firstColumn="1" w:lastColumn="0" w:oddVBand="0" w:evenVBand="0" w:oddHBand="0" w:evenHBand="0" w:firstRowFirstColumn="0" w:firstRowLastColumn="0" w:lastRowFirstColumn="0" w:lastRowLastColumn="0"/>
            <w:tcW w:w="1949" w:type="dxa"/>
            <w:noWrap/>
            <w:vAlign w:val="center"/>
            <w:hideMark/>
          </w:tcPr>
          <w:p w14:paraId="122F4103" w14:textId="77777777" w:rsidR="00203F4F" w:rsidRPr="009C07D5" w:rsidRDefault="00203F4F" w:rsidP="00203F4F">
            <w:pPr>
              <w:jc w:val="center"/>
              <w:rPr>
                <w:rFonts w:ascii="Times New Roman" w:eastAsia="Times New Roman" w:hAnsi="Times New Roman" w:cs="Times New Roman"/>
                <w:b w:val="0"/>
                <w:color w:val="000000"/>
                <w:sz w:val="20"/>
                <w:szCs w:val="20"/>
                <w:lang w:eastAsia="fr-FR"/>
              </w:rPr>
            </w:pPr>
            <w:r w:rsidRPr="009C07D5">
              <w:rPr>
                <w:rFonts w:ascii="Times New Roman" w:eastAsia="Times New Roman" w:hAnsi="Times New Roman" w:cs="Times New Roman"/>
                <w:b w:val="0"/>
                <w:color w:val="000000"/>
                <w:sz w:val="20"/>
                <w:szCs w:val="20"/>
                <w:lang w:eastAsia="fr-FR"/>
              </w:rPr>
              <w:t>-6.07E-05</w:t>
            </w:r>
          </w:p>
        </w:tc>
        <w:tc>
          <w:tcPr>
            <w:tcW w:w="2200" w:type="dxa"/>
            <w:noWrap/>
            <w:vAlign w:val="center"/>
            <w:hideMark/>
          </w:tcPr>
          <w:p w14:paraId="39DDC6B7" w14:textId="77777777" w:rsidR="00203F4F" w:rsidRPr="009C07D5" w:rsidRDefault="00203F4F" w:rsidP="00203F4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9C07D5">
              <w:rPr>
                <w:rFonts w:ascii="Times New Roman" w:eastAsia="Times New Roman" w:hAnsi="Times New Roman" w:cs="Times New Roman"/>
                <w:color w:val="000000"/>
                <w:sz w:val="20"/>
                <w:szCs w:val="20"/>
                <w:lang w:eastAsia="fr-FR"/>
              </w:rPr>
              <w:t>7.74E-15</w:t>
            </w:r>
          </w:p>
        </w:tc>
        <w:tc>
          <w:tcPr>
            <w:tcW w:w="2322" w:type="dxa"/>
            <w:noWrap/>
            <w:vAlign w:val="center"/>
            <w:hideMark/>
          </w:tcPr>
          <w:p w14:paraId="0C1D1DEB" w14:textId="77777777" w:rsidR="00203F4F" w:rsidRPr="009C07D5" w:rsidRDefault="00203F4F" w:rsidP="00203F4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9C07D5">
              <w:rPr>
                <w:rFonts w:ascii="Times New Roman" w:eastAsia="Times New Roman" w:hAnsi="Times New Roman" w:cs="Times New Roman"/>
                <w:color w:val="000000"/>
                <w:sz w:val="20"/>
                <w:szCs w:val="20"/>
                <w:lang w:eastAsia="fr-FR"/>
              </w:rPr>
              <w:t>5.41E-13</w:t>
            </w:r>
          </w:p>
        </w:tc>
        <w:tc>
          <w:tcPr>
            <w:tcW w:w="2812" w:type="dxa"/>
            <w:noWrap/>
            <w:vAlign w:val="center"/>
            <w:hideMark/>
          </w:tcPr>
          <w:p w14:paraId="54118621" w14:textId="77777777" w:rsidR="00203F4F" w:rsidRPr="009C07D5" w:rsidRDefault="00203F4F" w:rsidP="00203F4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fr-FR"/>
              </w:rPr>
            </w:pPr>
            <w:r w:rsidRPr="009C07D5">
              <w:rPr>
                <w:rFonts w:ascii="Times New Roman" w:eastAsia="Times New Roman" w:hAnsi="Times New Roman" w:cs="Times New Roman"/>
                <w:color w:val="000000"/>
                <w:sz w:val="20"/>
                <w:szCs w:val="20"/>
                <w:lang w:eastAsia="fr-FR"/>
              </w:rPr>
              <w:t>6.38E-11</w:t>
            </w:r>
          </w:p>
        </w:tc>
      </w:tr>
    </w:tbl>
    <w:p w14:paraId="0113A494" w14:textId="5C0D3396" w:rsidR="00E0629B" w:rsidRPr="00DE6D6E" w:rsidRDefault="00FA33DF" w:rsidP="00E0629B">
      <w:pPr>
        <w:rPr>
          <w:rFonts w:ascii="Times New Roman" w:hAnsi="Times New Roman" w:cs="Times New Roman"/>
          <w:b/>
          <w:bCs/>
          <w:sz w:val="20"/>
          <w:szCs w:val="20"/>
        </w:rPr>
      </w:pPr>
      <w:r w:rsidRPr="00DE6D6E">
        <w:rPr>
          <w:rFonts w:ascii="Times New Roman" w:hAnsi="Times New Roman" w:cs="Times New Roman"/>
          <w:b/>
          <w:bCs/>
          <w:sz w:val="20"/>
          <w:szCs w:val="20"/>
        </w:rPr>
        <w:t xml:space="preserve">Source : </w:t>
      </w:r>
      <w:r w:rsidR="00DE6D6E" w:rsidRPr="00DE6D6E">
        <w:rPr>
          <w:rFonts w:ascii="Times New Roman" w:eastAsia="Times New Roman" w:hAnsi="Times New Roman" w:cs="Times New Roman"/>
          <w:b/>
          <w:bCs/>
          <w:color w:val="000000"/>
          <w:sz w:val="20"/>
          <w:szCs w:val="20"/>
          <w:lang w:eastAsia="fr-FR"/>
        </w:rPr>
        <w:t>Compte déplacements des voyageurs en Île-de-France (Île</w:t>
      </w:r>
      <w:r w:rsidR="00884D57">
        <w:rPr>
          <w:rFonts w:ascii="Times New Roman" w:eastAsia="Times New Roman" w:hAnsi="Times New Roman" w:cs="Times New Roman"/>
          <w:b/>
          <w:bCs/>
          <w:color w:val="000000"/>
          <w:sz w:val="20"/>
          <w:szCs w:val="20"/>
          <w:lang w:eastAsia="fr-FR"/>
        </w:rPr>
        <w:t>-</w:t>
      </w:r>
      <w:r w:rsidR="00DE6D6E" w:rsidRPr="00DE6D6E">
        <w:rPr>
          <w:rFonts w:ascii="Times New Roman" w:eastAsia="Times New Roman" w:hAnsi="Times New Roman" w:cs="Times New Roman"/>
          <w:b/>
          <w:bCs/>
          <w:color w:val="000000"/>
          <w:sz w:val="20"/>
          <w:szCs w:val="20"/>
          <w:lang w:eastAsia="fr-FR"/>
        </w:rPr>
        <w:t>de</w:t>
      </w:r>
      <w:r w:rsidR="00884D57">
        <w:rPr>
          <w:rFonts w:ascii="Times New Roman" w:eastAsia="Times New Roman" w:hAnsi="Times New Roman" w:cs="Times New Roman"/>
          <w:b/>
          <w:bCs/>
          <w:color w:val="000000"/>
          <w:sz w:val="20"/>
          <w:szCs w:val="20"/>
          <w:lang w:eastAsia="fr-FR"/>
        </w:rPr>
        <w:t>-</w:t>
      </w:r>
      <w:r w:rsidR="00DE6D6E" w:rsidRPr="00DE6D6E">
        <w:rPr>
          <w:rFonts w:ascii="Times New Roman" w:eastAsia="Times New Roman" w:hAnsi="Times New Roman" w:cs="Times New Roman"/>
          <w:b/>
          <w:bCs/>
          <w:color w:val="000000"/>
          <w:sz w:val="20"/>
          <w:szCs w:val="20"/>
          <w:lang w:eastAsia="fr-FR"/>
        </w:rPr>
        <w:t xml:space="preserve">France Mobilités) et Île-de-France Mobilités, d'après RATP, </w:t>
      </w:r>
      <w:proofErr w:type="spellStart"/>
      <w:r w:rsidR="00DE6D6E" w:rsidRPr="00DE6D6E">
        <w:rPr>
          <w:rFonts w:ascii="Times New Roman" w:eastAsia="Times New Roman" w:hAnsi="Times New Roman" w:cs="Times New Roman"/>
          <w:b/>
          <w:bCs/>
          <w:color w:val="000000"/>
          <w:sz w:val="20"/>
          <w:szCs w:val="20"/>
          <w:lang w:eastAsia="fr-FR"/>
        </w:rPr>
        <w:t>Optile</w:t>
      </w:r>
      <w:proofErr w:type="spellEnd"/>
      <w:r w:rsidR="00DE6D6E" w:rsidRPr="00DE6D6E">
        <w:rPr>
          <w:rFonts w:ascii="Times New Roman" w:eastAsia="Times New Roman" w:hAnsi="Times New Roman" w:cs="Times New Roman"/>
          <w:b/>
          <w:bCs/>
          <w:color w:val="000000"/>
          <w:sz w:val="20"/>
          <w:szCs w:val="20"/>
          <w:lang w:eastAsia="fr-FR"/>
        </w:rPr>
        <w:t xml:space="preserve"> et SNCF</w:t>
      </w:r>
      <w:r w:rsidR="00DE6D6E" w:rsidRPr="00DE6D6E">
        <w:rPr>
          <w:rFonts w:ascii="Times New Roman" w:hAnsi="Times New Roman" w:cs="Times New Roman"/>
          <w:b/>
          <w:bCs/>
          <w:sz w:val="20"/>
          <w:szCs w:val="20"/>
        </w:rPr>
        <w:tab/>
      </w:r>
    </w:p>
    <w:p w14:paraId="0DAFEC7F" w14:textId="77777777" w:rsidR="00DA5E1E" w:rsidRDefault="00DA5E1E" w:rsidP="00E0629B">
      <w:pPr>
        <w:rPr>
          <w:rFonts w:ascii="Times New Roman" w:hAnsi="Times New Roman" w:cs="Times New Roman"/>
          <w:b/>
          <w:bCs/>
          <w:sz w:val="28"/>
          <w:szCs w:val="28"/>
        </w:rPr>
      </w:pPr>
    </w:p>
    <w:p w14:paraId="4CD021FC" w14:textId="7C283F2C" w:rsidR="00BD262A" w:rsidRPr="00080B5A" w:rsidRDefault="00077A16" w:rsidP="00F61F98">
      <w:pPr>
        <w:pStyle w:val="Titre1"/>
        <w:numPr>
          <w:ilvl w:val="0"/>
          <w:numId w:val="16"/>
        </w:numPr>
        <w:rPr>
          <w:rFonts w:ascii="Times New Roman" w:hAnsi="Times New Roman" w:cs="Times New Roman"/>
          <w:b/>
          <w:bCs/>
        </w:rPr>
      </w:pPr>
      <w:bookmarkStart w:id="44" w:name="_Toc70937423"/>
      <w:r w:rsidRPr="00080B5A">
        <w:rPr>
          <w:rFonts w:ascii="Times New Roman" w:hAnsi="Times New Roman" w:cs="Times New Roman"/>
          <w:b/>
          <w:bCs/>
        </w:rPr>
        <w:lastRenderedPageBreak/>
        <w:t xml:space="preserve">Discussions </w:t>
      </w:r>
      <w:r w:rsidR="00C53456" w:rsidRPr="00080B5A">
        <w:rPr>
          <w:rFonts w:ascii="Times New Roman" w:hAnsi="Times New Roman" w:cs="Times New Roman"/>
          <w:b/>
          <w:bCs/>
        </w:rPr>
        <w:t>et Limites</w:t>
      </w:r>
      <w:bookmarkEnd w:id="44"/>
    </w:p>
    <w:p w14:paraId="34A340D6" w14:textId="3F2F4F81" w:rsidR="00A1412C" w:rsidRDefault="00C01AE2" w:rsidP="00C3521D">
      <w:pPr>
        <w:jc w:val="both"/>
        <w:rPr>
          <w:rFonts w:ascii="Times New Roman" w:hAnsi="Times New Roman" w:cs="Times New Roman"/>
          <w:sz w:val="24"/>
          <w:szCs w:val="24"/>
        </w:rPr>
      </w:pPr>
      <w:r w:rsidRPr="00C01AE2">
        <w:rPr>
          <w:rFonts w:ascii="Times New Roman" w:hAnsi="Times New Roman" w:cs="Times New Roman"/>
          <w:sz w:val="24"/>
          <w:szCs w:val="24"/>
        </w:rPr>
        <w:t xml:space="preserve">Dans notre travail de recherche, nous </w:t>
      </w:r>
      <w:r w:rsidR="00753E0B">
        <w:rPr>
          <w:rFonts w:ascii="Times New Roman" w:hAnsi="Times New Roman" w:cs="Times New Roman"/>
          <w:sz w:val="24"/>
          <w:szCs w:val="24"/>
        </w:rPr>
        <w:t xml:space="preserve">avons eu pour objectif d’étudier l’impact des politiques publiques en matière de transition énergétique sur la rentabilité du secteur du transport </w:t>
      </w:r>
      <w:r w:rsidR="00E14533">
        <w:rPr>
          <w:rFonts w:ascii="Times New Roman" w:hAnsi="Times New Roman" w:cs="Times New Roman"/>
          <w:sz w:val="24"/>
          <w:szCs w:val="24"/>
        </w:rPr>
        <w:t xml:space="preserve">collectif </w:t>
      </w:r>
      <w:r w:rsidR="00753E0B">
        <w:rPr>
          <w:rFonts w:ascii="Times New Roman" w:hAnsi="Times New Roman" w:cs="Times New Roman"/>
          <w:sz w:val="24"/>
          <w:szCs w:val="24"/>
        </w:rPr>
        <w:t xml:space="preserve">en </w:t>
      </w:r>
      <w:r w:rsidR="00105953">
        <w:rPr>
          <w:rFonts w:ascii="Times New Roman" w:hAnsi="Times New Roman" w:cs="Times New Roman"/>
          <w:sz w:val="24"/>
          <w:szCs w:val="24"/>
        </w:rPr>
        <w:t>Île-de-France</w:t>
      </w:r>
      <w:r w:rsidR="00753E0B">
        <w:rPr>
          <w:rFonts w:ascii="Times New Roman" w:hAnsi="Times New Roman" w:cs="Times New Roman"/>
          <w:sz w:val="24"/>
          <w:szCs w:val="24"/>
        </w:rPr>
        <w:t>. Pour capter ces politiques publiques, nous avons eu recours à une variable proxy</w:t>
      </w:r>
      <w:r w:rsidR="00C3521D">
        <w:rPr>
          <w:rFonts w:ascii="Times New Roman" w:hAnsi="Times New Roman" w:cs="Times New Roman"/>
          <w:sz w:val="24"/>
          <w:szCs w:val="24"/>
        </w:rPr>
        <w:t>, les dépenses d’</w:t>
      </w:r>
      <w:r w:rsidR="00105953">
        <w:rPr>
          <w:rFonts w:ascii="Times New Roman" w:hAnsi="Times New Roman" w:cs="Times New Roman"/>
          <w:sz w:val="24"/>
          <w:szCs w:val="24"/>
        </w:rPr>
        <w:t>investissement</w:t>
      </w:r>
      <w:r w:rsidR="00C3521D">
        <w:rPr>
          <w:rFonts w:ascii="Times New Roman" w:hAnsi="Times New Roman" w:cs="Times New Roman"/>
          <w:sz w:val="24"/>
          <w:szCs w:val="24"/>
        </w:rPr>
        <w:t xml:space="preserve"> en matériel roulant</w:t>
      </w:r>
      <w:r w:rsidR="00105953">
        <w:rPr>
          <w:rFonts w:ascii="Times New Roman" w:hAnsi="Times New Roman" w:cs="Times New Roman"/>
          <w:sz w:val="24"/>
          <w:szCs w:val="24"/>
        </w:rPr>
        <w:t>. Par ailleurs, nous avons construit un ratio de rentabilité économique pour mesurer la performance de ce secteur. En retenant le modèle ARDL pour représenter le phénomène</w:t>
      </w:r>
      <w:r w:rsidR="00E134A8">
        <w:rPr>
          <w:rFonts w:ascii="Times New Roman" w:hAnsi="Times New Roman" w:cs="Times New Roman"/>
          <w:sz w:val="24"/>
          <w:szCs w:val="24"/>
        </w:rPr>
        <w:t xml:space="preserve"> et </w:t>
      </w:r>
      <w:r w:rsidR="00D66136">
        <w:rPr>
          <w:rFonts w:ascii="Times New Roman" w:hAnsi="Times New Roman" w:cs="Times New Roman"/>
          <w:sz w:val="24"/>
          <w:szCs w:val="24"/>
        </w:rPr>
        <w:t xml:space="preserve">ainsi </w:t>
      </w:r>
      <w:r w:rsidR="00E134A8">
        <w:rPr>
          <w:rFonts w:ascii="Times New Roman" w:hAnsi="Times New Roman" w:cs="Times New Roman"/>
          <w:sz w:val="24"/>
          <w:szCs w:val="24"/>
        </w:rPr>
        <w:t>capter l’effet dynamique des politiques dans la transition énergétique</w:t>
      </w:r>
      <w:r w:rsidR="00105953">
        <w:rPr>
          <w:rFonts w:ascii="Times New Roman" w:hAnsi="Times New Roman" w:cs="Times New Roman"/>
          <w:sz w:val="24"/>
          <w:szCs w:val="24"/>
        </w:rPr>
        <w:t xml:space="preserve">, nous avons obtenu dans un premier temps que les investissements en matériel roulant ont un impact négatif non significatif sur la rentabilité. </w:t>
      </w:r>
      <w:r w:rsidR="00450AC0">
        <w:rPr>
          <w:rFonts w:ascii="Times New Roman" w:hAnsi="Times New Roman" w:cs="Times New Roman"/>
          <w:sz w:val="24"/>
          <w:szCs w:val="24"/>
        </w:rPr>
        <w:t xml:space="preserve">Il en était de même quant aux variables de contrôle dont l’impact sur la variable dépendante </w:t>
      </w:r>
      <w:r w:rsidR="00CF030D">
        <w:rPr>
          <w:rFonts w:ascii="Times New Roman" w:hAnsi="Times New Roman" w:cs="Times New Roman"/>
          <w:sz w:val="24"/>
          <w:szCs w:val="24"/>
        </w:rPr>
        <w:t xml:space="preserve">s’est avéré </w:t>
      </w:r>
      <w:r w:rsidR="00450AC0">
        <w:rPr>
          <w:rFonts w:ascii="Times New Roman" w:hAnsi="Times New Roman" w:cs="Times New Roman"/>
          <w:sz w:val="24"/>
          <w:szCs w:val="24"/>
        </w:rPr>
        <w:t>non significatif</w:t>
      </w:r>
      <w:r w:rsidR="00A04C4F">
        <w:rPr>
          <w:rFonts w:ascii="Times New Roman" w:hAnsi="Times New Roman" w:cs="Times New Roman"/>
          <w:sz w:val="24"/>
          <w:szCs w:val="24"/>
        </w:rPr>
        <w:t xml:space="preserve"> malgré son signe positif</w:t>
      </w:r>
      <w:r w:rsidR="00450AC0">
        <w:rPr>
          <w:rFonts w:ascii="Times New Roman" w:hAnsi="Times New Roman" w:cs="Times New Roman"/>
          <w:sz w:val="24"/>
          <w:szCs w:val="24"/>
        </w:rPr>
        <w:t xml:space="preserve">. Nos craintes quant à la faiblesse d’observations de notre base de données se sont avérées fondées. </w:t>
      </w:r>
      <w:r w:rsidR="00586D9D">
        <w:rPr>
          <w:rFonts w:ascii="Times New Roman" w:hAnsi="Times New Roman" w:cs="Times New Roman"/>
          <w:sz w:val="24"/>
          <w:szCs w:val="24"/>
        </w:rPr>
        <w:t>Cette faiblesse d’observations nous a conduit à des résultats incohérents et pour pallier ce problème, nous avons</w:t>
      </w:r>
      <w:r w:rsidR="00244AD7">
        <w:rPr>
          <w:rFonts w:ascii="Times New Roman" w:hAnsi="Times New Roman" w:cs="Times New Roman"/>
          <w:sz w:val="24"/>
          <w:szCs w:val="24"/>
        </w:rPr>
        <w:t xml:space="preserve"> </w:t>
      </w:r>
      <w:r w:rsidR="006A3916">
        <w:rPr>
          <w:rFonts w:ascii="Times New Roman" w:hAnsi="Times New Roman" w:cs="Times New Roman"/>
          <w:sz w:val="24"/>
          <w:szCs w:val="24"/>
        </w:rPr>
        <w:t>dû</w:t>
      </w:r>
      <w:r w:rsidR="00586D9D">
        <w:rPr>
          <w:rFonts w:ascii="Times New Roman" w:hAnsi="Times New Roman" w:cs="Times New Roman"/>
          <w:sz w:val="24"/>
          <w:szCs w:val="24"/>
        </w:rPr>
        <w:t xml:space="preserve"> procéd</w:t>
      </w:r>
      <w:r w:rsidR="00244AD7">
        <w:rPr>
          <w:rFonts w:ascii="Times New Roman" w:hAnsi="Times New Roman" w:cs="Times New Roman"/>
          <w:sz w:val="24"/>
          <w:szCs w:val="24"/>
        </w:rPr>
        <w:t>er</w:t>
      </w:r>
      <w:r w:rsidR="00586D9D">
        <w:rPr>
          <w:rFonts w:ascii="Times New Roman" w:hAnsi="Times New Roman" w:cs="Times New Roman"/>
          <w:sz w:val="24"/>
          <w:szCs w:val="24"/>
        </w:rPr>
        <w:t xml:space="preserve"> à la désagrégation des données annuelles en données mensuelles</w:t>
      </w:r>
      <w:r w:rsidR="00244AD7">
        <w:rPr>
          <w:rFonts w:ascii="Times New Roman" w:hAnsi="Times New Roman" w:cs="Times New Roman"/>
          <w:sz w:val="24"/>
          <w:szCs w:val="24"/>
        </w:rPr>
        <w:t>.</w:t>
      </w:r>
      <w:r w:rsidR="00D66136">
        <w:rPr>
          <w:rFonts w:ascii="Times New Roman" w:hAnsi="Times New Roman" w:cs="Times New Roman"/>
          <w:sz w:val="24"/>
          <w:szCs w:val="24"/>
        </w:rPr>
        <w:t xml:space="preserve"> Cette der</w:t>
      </w:r>
      <w:r w:rsidR="007E4CB4">
        <w:rPr>
          <w:rFonts w:ascii="Times New Roman" w:hAnsi="Times New Roman" w:cs="Times New Roman"/>
          <w:sz w:val="24"/>
          <w:szCs w:val="24"/>
        </w:rPr>
        <w:t>nière</w:t>
      </w:r>
      <w:r w:rsidR="00D66136">
        <w:rPr>
          <w:rFonts w:ascii="Times New Roman" w:hAnsi="Times New Roman" w:cs="Times New Roman"/>
          <w:sz w:val="24"/>
          <w:szCs w:val="24"/>
        </w:rPr>
        <w:t xml:space="preserve"> </w:t>
      </w:r>
      <w:r w:rsidR="007E4CB4" w:rsidRPr="00477772">
        <w:rPr>
          <w:rFonts w:ascii="Times New Roman" w:hAnsi="Times New Roman" w:cs="Times New Roman"/>
          <w:sz w:val="24"/>
        </w:rPr>
        <w:t xml:space="preserve">nous </w:t>
      </w:r>
      <w:r w:rsidR="007E4CB4">
        <w:rPr>
          <w:rFonts w:ascii="Times New Roman" w:hAnsi="Times New Roman" w:cs="Times New Roman"/>
          <w:sz w:val="24"/>
        </w:rPr>
        <w:t xml:space="preserve">a permis de </w:t>
      </w:r>
      <w:r w:rsidR="007E4CB4" w:rsidRPr="00477772">
        <w:rPr>
          <w:rFonts w:ascii="Times New Roman" w:hAnsi="Times New Roman" w:cs="Times New Roman"/>
          <w:sz w:val="24"/>
        </w:rPr>
        <w:t>préserver à la fois le mouvement de la série ainsi que les structures internes telles que la moyenne et la variance</w:t>
      </w:r>
      <w:r w:rsidR="007E4CB4">
        <w:rPr>
          <w:rFonts w:ascii="Times New Roman" w:hAnsi="Times New Roman" w:cs="Times New Roman"/>
          <w:sz w:val="24"/>
        </w:rPr>
        <w:t>.</w:t>
      </w:r>
      <w:r w:rsidR="007E4CB4">
        <w:rPr>
          <w:rFonts w:ascii="Times New Roman" w:hAnsi="Times New Roman" w:cs="Times New Roman"/>
          <w:sz w:val="24"/>
          <w:szCs w:val="24"/>
        </w:rPr>
        <w:t xml:space="preserve"> Puis en</w:t>
      </w:r>
      <w:r w:rsidR="009E390B">
        <w:rPr>
          <w:rFonts w:ascii="Times New Roman" w:hAnsi="Times New Roman" w:cs="Times New Roman"/>
          <w:sz w:val="24"/>
          <w:szCs w:val="24"/>
        </w:rPr>
        <w:t xml:space="preserve"> estimant une nouvelle fois les coefficients de notre modèle, nous </w:t>
      </w:r>
      <w:r w:rsidR="00721A72">
        <w:rPr>
          <w:rFonts w:ascii="Times New Roman" w:hAnsi="Times New Roman" w:cs="Times New Roman"/>
          <w:sz w:val="24"/>
          <w:szCs w:val="24"/>
        </w:rPr>
        <w:t>avons trouvé</w:t>
      </w:r>
      <w:r w:rsidR="00F40F8D">
        <w:rPr>
          <w:rFonts w:ascii="Times New Roman" w:hAnsi="Times New Roman" w:cs="Times New Roman"/>
          <w:sz w:val="24"/>
          <w:szCs w:val="24"/>
        </w:rPr>
        <w:t xml:space="preserve"> une </w:t>
      </w:r>
      <w:r w:rsidR="001B3E9A">
        <w:rPr>
          <w:rFonts w:ascii="Times New Roman" w:hAnsi="Times New Roman" w:cs="Times New Roman"/>
          <w:sz w:val="24"/>
          <w:szCs w:val="24"/>
        </w:rPr>
        <w:t>relation</w:t>
      </w:r>
      <w:r w:rsidR="00F40F8D">
        <w:rPr>
          <w:rFonts w:ascii="Times New Roman" w:hAnsi="Times New Roman" w:cs="Times New Roman"/>
          <w:sz w:val="24"/>
          <w:szCs w:val="24"/>
        </w:rPr>
        <w:t xml:space="preserve"> de </w:t>
      </w:r>
      <w:r w:rsidR="001B3E9A">
        <w:rPr>
          <w:rFonts w:ascii="Times New Roman" w:hAnsi="Times New Roman" w:cs="Times New Roman"/>
          <w:sz w:val="24"/>
          <w:szCs w:val="24"/>
        </w:rPr>
        <w:t>cointégration</w:t>
      </w:r>
      <w:r w:rsidR="00F40F8D">
        <w:rPr>
          <w:rFonts w:ascii="Times New Roman" w:hAnsi="Times New Roman" w:cs="Times New Roman"/>
          <w:sz w:val="24"/>
          <w:szCs w:val="24"/>
        </w:rPr>
        <w:t xml:space="preserve"> entre les variables qui indique une relation de long terme </w:t>
      </w:r>
      <w:r w:rsidR="001B3E9A">
        <w:rPr>
          <w:rFonts w:ascii="Times New Roman" w:hAnsi="Times New Roman" w:cs="Times New Roman"/>
          <w:sz w:val="24"/>
          <w:szCs w:val="24"/>
        </w:rPr>
        <w:t>diff</w:t>
      </w:r>
      <w:r w:rsidR="00080B5A">
        <w:rPr>
          <w:rFonts w:ascii="Times New Roman" w:hAnsi="Times New Roman" w:cs="Times New Roman"/>
          <w:sz w:val="24"/>
          <w:szCs w:val="24"/>
        </w:rPr>
        <w:t>é</w:t>
      </w:r>
      <w:r w:rsidR="001B3E9A">
        <w:rPr>
          <w:rFonts w:ascii="Times New Roman" w:hAnsi="Times New Roman" w:cs="Times New Roman"/>
          <w:sz w:val="24"/>
          <w:szCs w:val="24"/>
        </w:rPr>
        <w:t>rent</w:t>
      </w:r>
      <w:r w:rsidR="00FE3F7A">
        <w:rPr>
          <w:rFonts w:ascii="Times New Roman" w:hAnsi="Times New Roman" w:cs="Times New Roman"/>
          <w:sz w:val="24"/>
          <w:szCs w:val="24"/>
        </w:rPr>
        <w:t>e</w:t>
      </w:r>
      <w:r w:rsidR="00F40F8D">
        <w:rPr>
          <w:rFonts w:ascii="Times New Roman" w:hAnsi="Times New Roman" w:cs="Times New Roman"/>
          <w:sz w:val="24"/>
          <w:szCs w:val="24"/>
        </w:rPr>
        <w:t xml:space="preserve"> de celle observée à court terme. L’estimation du modèle à correction d’erreur nous donne</w:t>
      </w:r>
      <w:r w:rsidR="00721A72">
        <w:rPr>
          <w:rFonts w:ascii="Times New Roman" w:hAnsi="Times New Roman" w:cs="Times New Roman"/>
          <w:sz w:val="24"/>
          <w:szCs w:val="24"/>
        </w:rPr>
        <w:t xml:space="preserve"> </w:t>
      </w:r>
      <w:r w:rsidR="009E390B">
        <w:rPr>
          <w:rFonts w:ascii="Times New Roman" w:hAnsi="Times New Roman" w:cs="Times New Roman"/>
          <w:sz w:val="24"/>
          <w:szCs w:val="24"/>
        </w:rPr>
        <w:t xml:space="preserve">un impact négatif </w:t>
      </w:r>
      <w:r w:rsidR="007E4CB4">
        <w:rPr>
          <w:rFonts w:ascii="Times New Roman" w:hAnsi="Times New Roman" w:cs="Times New Roman"/>
          <w:sz w:val="24"/>
          <w:szCs w:val="24"/>
        </w:rPr>
        <w:t xml:space="preserve">significatif </w:t>
      </w:r>
      <w:r w:rsidR="009E390B">
        <w:rPr>
          <w:rFonts w:ascii="Times New Roman" w:hAnsi="Times New Roman" w:cs="Times New Roman"/>
          <w:sz w:val="24"/>
          <w:szCs w:val="24"/>
        </w:rPr>
        <w:t>de court terme des investissements sur la rentabilité</w:t>
      </w:r>
      <w:r w:rsidR="00FF7784">
        <w:rPr>
          <w:rFonts w:ascii="Times New Roman" w:hAnsi="Times New Roman" w:cs="Times New Roman"/>
          <w:sz w:val="24"/>
          <w:szCs w:val="24"/>
        </w:rPr>
        <w:t xml:space="preserve"> ainsi que </w:t>
      </w:r>
      <w:r w:rsidR="00247DE5">
        <w:rPr>
          <w:rFonts w:ascii="Times New Roman" w:hAnsi="Times New Roman" w:cs="Times New Roman"/>
          <w:sz w:val="24"/>
          <w:szCs w:val="24"/>
        </w:rPr>
        <w:t xml:space="preserve">des </w:t>
      </w:r>
      <w:r w:rsidR="00FF7784">
        <w:rPr>
          <w:rFonts w:ascii="Times New Roman" w:hAnsi="Times New Roman" w:cs="Times New Roman"/>
          <w:sz w:val="24"/>
          <w:szCs w:val="24"/>
        </w:rPr>
        <w:t xml:space="preserve">concours publics. Ceci n’est pas le cas pour l’offre commerciale réalisée qui </w:t>
      </w:r>
      <w:r w:rsidR="00721A72">
        <w:rPr>
          <w:rFonts w:ascii="Times New Roman" w:hAnsi="Times New Roman" w:cs="Times New Roman"/>
          <w:sz w:val="24"/>
          <w:szCs w:val="24"/>
        </w:rPr>
        <w:t xml:space="preserve">présente </w:t>
      </w:r>
      <w:r w:rsidR="00FF7784">
        <w:rPr>
          <w:rFonts w:ascii="Times New Roman" w:hAnsi="Times New Roman" w:cs="Times New Roman"/>
          <w:sz w:val="24"/>
          <w:szCs w:val="24"/>
        </w:rPr>
        <w:t xml:space="preserve">un impact positif </w:t>
      </w:r>
      <w:r w:rsidR="007E4CB4">
        <w:rPr>
          <w:rFonts w:ascii="Times New Roman" w:hAnsi="Times New Roman" w:cs="Times New Roman"/>
          <w:sz w:val="24"/>
          <w:szCs w:val="24"/>
        </w:rPr>
        <w:t xml:space="preserve">significatif </w:t>
      </w:r>
      <w:r w:rsidR="00FF7784">
        <w:rPr>
          <w:rFonts w:ascii="Times New Roman" w:hAnsi="Times New Roman" w:cs="Times New Roman"/>
          <w:sz w:val="24"/>
          <w:szCs w:val="24"/>
        </w:rPr>
        <w:t xml:space="preserve">de court terme. </w:t>
      </w:r>
      <w:r w:rsidR="00A1412C">
        <w:rPr>
          <w:rFonts w:ascii="Times New Roman" w:hAnsi="Times New Roman" w:cs="Times New Roman"/>
          <w:sz w:val="24"/>
          <w:szCs w:val="24"/>
        </w:rPr>
        <w:t xml:space="preserve">Cependant, à long terme, les investissements, les concours publics et l’offre commerciale réalisée ont un impact certes positif mais très faible sur la rentabilité. </w:t>
      </w:r>
    </w:p>
    <w:p w14:paraId="592ABCE9" w14:textId="6FE7BE7B" w:rsidR="00C01AE2" w:rsidRDefault="001E14FE" w:rsidP="00721A72">
      <w:pPr>
        <w:jc w:val="both"/>
        <w:rPr>
          <w:rFonts w:ascii="Times New Roman" w:hAnsi="Times New Roman" w:cs="Times New Roman"/>
          <w:sz w:val="24"/>
          <w:szCs w:val="24"/>
        </w:rPr>
      </w:pPr>
      <w:r>
        <w:rPr>
          <w:rFonts w:ascii="Times New Roman" w:hAnsi="Times New Roman" w:cs="Times New Roman"/>
          <w:sz w:val="24"/>
          <w:szCs w:val="24"/>
        </w:rPr>
        <w:t>L’impact positif des investissements pour la transition énergétique sur la rentabilité du service public de transport n’est pas un r</w:t>
      </w:r>
      <w:r w:rsidR="00721A72">
        <w:rPr>
          <w:rFonts w:ascii="Times New Roman" w:hAnsi="Times New Roman" w:cs="Times New Roman"/>
          <w:sz w:val="24"/>
          <w:szCs w:val="24"/>
        </w:rPr>
        <w:t>ésultat surprenant. Dans la littérature empirique exposée dans notre travail, nous avions relevé des études présentant des résultats assez similaires aux nôtres</w:t>
      </w:r>
      <w:r w:rsidR="00396756">
        <w:rPr>
          <w:rFonts w:ascii="Times New Roman" w:hAnsi="Times New Roman" w:cs="Times New Roman"/>
          <w:sz w:val="24"/>
          <w:szCs w:val="24"/>
        </w:rPr>
        <w:t>, démontrant l’impact positif des investissements engendrés par la réglementation sur la rentabilité des organisations</w:t>
      </w:r>
      <w:r w:rsidR="00721A72">
        <w:rPr>
          <w:rFonts w:ascii="Times New Roman" w:hAnsi="Times New Roman" w:cs="Times New Roman"/>
          <w:sz w:val="24"/>
          <w:szCs w:val="24"/>
        </w:rPr>
        <w:t xml:space="preserve">. C’est le cas du travail de </w:t>
      </w:r>
      <w:proofErr w:type="spellStart"/>
      <w:r w:rsidR="00721A72" w:rsidRPr="00721A72">
        <w:rPr>
          <w:rFonts w:ascii="Times New Roman" w:hAnsi="Times New Roman" w:cs="Times New Roman"/>
          <w:sz w:val="24"/>
          <w:szCs w:val="24"/>
        </w:rPr>
        <w:t>Rexhäuser</w:t>
      </w:r>
      <w:proofErr w:type="spellEnd"/>
      <w:r w:rsidR="00721A72" w:rsidRPr="00721A72">
        <w:rPr>
          <w:rFonts w:ascii="Times New Roman" w:hAnsi="Times New Roman" w:cs="Times New Roman"/>
          <w:sz w:val="24"/>
          <w:szCs w:val="24"/>
        </w:rPr>
        <w:t xml:space="preserve"> et </w:t>
      </w:r>
      <w:proofErr w:type="spellStart"/>
      <w:r w:rsidR="00721A72" w:rsidRPr="00721A72">
        <w:rPr>
          <w:rFonts w:ascii="Times New Roman" w:hAnsi="Times New Roman" w:cs="Times New Roman"/>
          <w:sz w:val="24"/>
          <w:szCs w:val="24"/>
        </w:rPr>
        <w:t>Rammer</w:t>
      </w:r>
      <w:proofErr w:type="spellEnd"/>
      <w:r w:rsidR="007E5AAA">
        <w:rPr>
          <w:rFonts w:ascii="Times New Roman" w:hAnsi="Times New Roman" w:cs="Times New Roman"/>
          <w:sz w:val="24"/>
          <w:szCs w:val="24"/>
        </w:rPr>
        <w:t xml:space="preserve"> (2013) attestant d’un impact positif des innovations induites par la réglementation sur la rentabilité des organisations</w:t>
      </w:r>
      <w:r w:rsidR="00F5431E">
        <w:rPr>
          <w:rFonts w:ascii="Times New Roman" w:hAnsi="Times New Roman" w:cs="Times New Roman"/>
          <w:sz w:val="24"/>
          <w:szCs w:val="24"/>
        </w:rPr>
        <w:t xml:space="preserve"> et celui de</w:t>
      </w:r>
      <w:r w:rsidR="007E5AAA">
        <w:rPr>
          <w:rFonts w:ascii="Times New Roman" w:hAnsi="Times New Roman" w:cs="Times New Roman"/>
          <w:sz w:val="24"/>
          <w:szCs w:val="24"/>
        </w:rPr>
        <w:t xml:space="preserve"> </w:t>
      </w:r>
      <w:proofErr w:type="spellStart"/>
      <w:r w:rsidR="007E5AAA">
        <w:rPr>
          <w:rFonts w:ascii="Times New Roman" w:hAnsi="Times New Roman" w:cs="Times New Roman"/>
          <w:sz w:val="24"/>
          <w:szCs w:val="24"/>
        </w:rPr>
        <w:t>Broberg</w:t>
      </w:r>
      <w:proofErr w:type="spellEnd"/>
      <w:r w:rsidR="007E5AAA">
        <w:rPr>
          <w:rFonts w:ascii="Times New Roman" w:hAnsi="Times New Roman" w:cs="Times New Roman"/>
          <w:sz w:val="24"/>
          <w:szCs w:val="24"/>
        </w:rPr>
        <w:t xml:space="preserve"> et al (2013) </w:t>
      </w:r>
      <w:r w:rsidR="00F5431E">
        <w:rPr>
          <w:rFonts w:ascii="Times New Roman" w:hAnsi="Times New Roman" w:cs="Times New Roman"/>
          <w:sz w:val="24"/>
          <w:szCs w:val="24"/>
        </w:rPr>
        <w:t xml:space="preserve">avançant </w:t>
      </w:r>
      <w:r w:rsidR="007E5AAA">
        <w:rPr>
          <w:rFonts w:ascii="Times New Roman" w:hAnsi="Times New Roman" w:cs="Times New Roman"/>
          <w:sz w:val="24"/>
          <w:szCs w:val="24"/>
        </w:rPr>
        <w:t>que les réglementations environnementales ne conduisent pas à une perte d’efficacité des organisations.</w:t>
      </w:r>
      <w:r w:rsidR="00527431">
        <w:rPr>
          <w:rFonts w:ascii="Times New Roman" w:hAnsi="Times New Roman" w:cs="Times New Roman"/>
          <w:sz w:val="24"/>
          <w:szCs w:val="24"/>
        </w:rPr>
        <w:t xml:space="preserve"> Cependant, nous sommes conscientes que notre revue de littérature empirique peut ne pas convaincre nos lecteurs car il n’est fait mention que d’entreprises industrielles privées. Par rapport à cela, nous voulons avancer la difficulté que nous avons </w:t>
      </w:r>
      <w:r w:rsidR="00527431" w:rsidRPr="009509F5">
        <w:rPr>
          <w:rFonts w:ascii="Times New Roman" w:hAnsi="Times New Roman" w:cs="Times New Roman"/>
          <w:sz w:val="24"/>
          <w:szCs w:val="24"/>
        </w:rPr>
        <w:t>rencontré</w:t>
      </w:r>
      <w:r w:rsidR="009509F5" w:rsidRPr="009509F5">
        <w:rPr>
          <w:rFonts w:ascii="Times New Roman" w:hAnsi="Times New Roman" w:cs="Times New Roman"/>
          <w:sz w:val="24"/>
          <w:szCs w:val="24"/>
        </w:rPr>
        <w:t>e</w:t>
      </w:r>
      <w:r w:rsidR="00527431" w:rsidRPr="006C16A3">
        <w:rPr>
          <w:rFonts w:ascii="Times New Roman" w:hAnsi="Times New Roman" w:cs="Times New Roman"/>
          <w:color w:val="FF0000"/>
          <w:sz w:val="24"/>
          <w:szCs w:val="24"/>
        </w:rPr>
        <w:t xml:space="preserve"> </w:t>
      </w:r>
      <w:r w:rsidR="00527431">
        <w:rPr>
          <w:rFonts w:ascii="Times New Roman" w:hAnsi="Times New Roman" w:cs="Times New Roman"/>
          <w:sz w:val="24"/>
          <w:szCs w:val="24"/>
        </w:rPr>
        <w:t xml:space="preserve">à trouver de telles études d’impact des réglementations environnementales sur la performance d’un secteur public. Nous avons donc dû nous résoudre à considérer dans notre littérature empirique des études sur des firmes privées, en sachant </w:t>
      </w:r>
      <w:r w:rsidR="00A62F62">
        <w:rPr>
          <w:rFonts w:ascii="Times New Roman" w:hAnsi="Times New Roman" w:cs="Times New Roman"/>
          <w:sz w:val="24"/>
          <w:szCs w:val="24"/>
        </w:rPr>
        <w:t xml:space="preserve">que </w:t>
      </w:r>
      <w:r w:rsidR="00527431">
        <w:rPr>
          <w:rFonts w:ascii="Times New Roman" w:hAnsi="Times New Roman" w:cs="Times New Roman"/>
          <w:sz w:val="24"/>
          <w:szCs w:val="24"/>
        </w:rPr>
        <w:t xml:space="preserve">ce qui nous intéressait surtout est l’impact (positif ou négatif) de ces réglementations sur la performance des firmes. </w:t>
      </w:r>
    </w:p>
    <w:p w14:paraId="65419E59" w14:textId="481B779D" w:rsidR="00C01AE2" w:rsidRDefault="008F1084" w:rsidP="00EB216D">
      <w:pPr>
        <w:jc w:val="both"/>
        <w:rPr>
          <w:rFonts w:ascii="Times New Roman" w:hAnsi="Times New Roman" w:cs="Times New Roman"/>
          <w:sz w:val="24"/>
          <w:szCs w:val="24"/>
        </w:rPr>
      </w:pPr>
      <w:r>
        <w:rPr>
          <w:rFonts w:ascii="Times New Roman" w:hAnsi="Times New Roman" w:cs="Times New Roman"/>
          <w:sz w:val="24"/>
          <w:szCs w:val="24"/>
        </w:rPr>
        <w:t>Nos motivations à déterminer l’impact des RE nous ont d’ailleurs amené</w:t>
      </w:r>
      <w:r w:rsidR="00BB6C63">
        <w:rPr>
          <w:rFonts w:ascii="Times New Roman" w:hAnsi="Times New Roman" w:cs="Times New Roman"/>
          <w:sz w:val="24"/>
          <w:szCs w:val="24"/>
        </w:rPr>
        <w:t>es</w:t>
      </w:r>
      <w:r>
        <w:rPr>
          <w:rFonts w:ascii="Times New Roman" w:hAnsi="Times New Roman" w:cs="Times New Roman"/>
          <w:sz w:val="24"/>
          <w:szCs w:val="24"/>
        </w:rPr>
        <w:t xml:space="preserve"> à réaliser plus tôt dans notre travail une analyse de causalité pour déterminer les liens causaux entre les variables dépendante et indépendante. Nous avons ainsi pu établir que les dépenses d’investissement en matériel roulant induites par les politiques publiques en matière de transition énergétique causent la rentabilité au sens de Granger</w:t>
      </w:r>
      <w:r w:rsidR="00566824">
        <w:rPr>
          <w:rFonts w:ascii="Times New Roman" w:hAnsi="Times New Roman" w:cs="Times New Roman"/>
          <w:sz w:val="24"/>
          <w:szCs w:val="24"/>
        </w:rPr>
        <w:t xml:space="preserve">, et donc la connaissance de ces investissements améliore la </w:t>
      </w:r>
      <w:r w:rsidR="00566824">
        <w:rPr>
          <w:rFonts w:ascii="Times New Roman" w:hAnsi="Times New Roman" w:cs="Times New Roman"/>
          <w:sz w:val="24"/>
          <w:szCs w:val="24"/>
        </w:rPr>
        <w:lastRenderedPageBreak/>
        <w:t xml:space="preserve">prédiction de la rentabilité. Par ailleurs, avant cela, nous avions effectué le nuage de points entre ces deux variables </w:t>
      </w:r>
      <w:r w:rsidR="001A1F6E">
        <w:rPr>
          <w:rFonts w:ascii="Times New Roman" w:hAnsi="Times New Roman" w:cs="Times New Roman"/>
          <w:sz w:val="24"/>
          <w:szCs w:val="24"/>
        </w:rPr>
        <w:t>pour déterminer la nature du lien entre ces deux variables. Nous avions ainsi observé une relation croissante entre ces deux variables.</w:t>
      </w:r>
    </w:p>
    <w:p w14:paraId="6F2C42CB" w14:textId="2021B30B" w:rsidR="00DF66CD" w:rsidRDefault="00A13105" w:rsidP="00C70518">
      <w:pPr>
        <w:jc w:val="both"/>
        <w:rPr>
          <w:rFonts w:ascii="Times New Roman" w:hAnsi="Times New Roman" w:cs="Times New Roman"/>
          <w:sz w:val="24"/>
          <w:szCs w:val="24"/>
        </w:rPr>
      </w:pPr>
      <w:r>
        <w:rPr>
          <w:rFonts w:ascii="Times New Roman" w:hAnsi="Times New Roman" w:cs="Times New Roman"/>
          <w:sz w:val="24"/>
          <w:szCs w:val="24"/>
        </w:rPr>
        <w:t xml:space="preserve">Nous ne prétendons pas avoir </w:t>
      </w:r>
      <w:r w:rsidRPr="001F59C7">
        <w:rPr>
          <w:rFonts w:ascii="Times New Roman" w:hAnsi="Times New Roman" w:cs="Times New Roman"/>
          <w:sz w:val="24"/>
          <w:szCs w:val="24"/>
        </w:rPr>
        <w:t>réalis</w:t>
      </w:r>
      <w:r w:rsidR="001F59C7" w:rsidRPr="001F59C7">
        <w:rPr>
          <w:rFonts w:ascii="Times New Roman" w:hAnsi="Times New Roman" w:cs="Times New Roman"/>
          <w:sz w:val="24"/>
          <w:szCs w:val="24"/>
        </w:rPr>
        <w:t>é</w:t>
      </w:r>
      <w:r w:rsidRPr="006C16A3">
        <w:rPr>
          <w:rFonts w:ascii="Times New Roman" w:hAnsi="Times New Roman" w:cs="Times New Roman"/>
          <w:color w:val="FF0000"/>
          <w:sz w:val="24"/>
          <w:szCs w:val="24"/>
        </w:rPr>
        <w:t xml:space="preserve"> </w:t>
      </w:r>
      <w:r>
        <w:rPr>
          <w:rFonts w:ascii="Times New Roman" w:hAnsi="Times New Roman" w:cs="Times New Roman"/>
          <w:sz w:val="24"/>
          <w:szCs w:val="24"/>
        </w:rPr>
        <w:t>un travail parfait, non vulnérable à la critique mais nous pouvons vous assurer de la rigueur</w:t>
      </w:r>
      <w:r w:rsidR="002422A2">
        <w:rPr>
          <w:rFonts w:ascii="Times New Roman" w:hAnsi="Times New Roman" w:cs="Times New Roman"/>
          <w:sz w:val="24"/>
          <w:szCs w:val="24"/>
        </w:rPr>
        <w:t xml:space="preserve"> et</w:t>
      </w:r>
      <w:r>
        <w:rPr>
          <w:rFonts w:ascii="Times New Roman" w:hAnsi="Times New Roman" w:cs="Times New Roman"/>
          <w:sz w:val="24"/>
          <w:szCs w:val="24"/>
        </w:rPr>
        <w:t xml:space="preserve"> de l’effort de prospection fourni pour comprendre le phénomène, le secteur concerné et les enjeux entourant la transition énergétique. Nous sommes conscientes que la discussion de l’impact de RE sur la rentabilité d’un service public peut choquer idéologiquement</w:t>
      </w:r>
      <w:r w:rsidR="001759B8">
        <w:rPr>
          <w:rFonts w:ascii="Times New Roman" w:hAnsi="Times New Roman" w:cs="Times New Roman"/>
          <w:sz w:val="24"/>
          <w:szCs w:val="24"/>
        </w:rPr>
        <w:t xml:space="preserve"> mais cette vision de rentabilité du service public s’inscrivant dans une logique de soutenabilité du service gagne du terrain</w:t>
      </w:r>
      <w:r w:rsidR="000C7F0B">
        <w:rPr>
          <w:rFonts w:ascii="Times New Roman" w:hAnsi="Times New Roman" w:cs="Times New Roman"/>
          <w:sz w:val="24"/>
          <w:szCs w:val="24"/>
        </w:rPr>
        <w:t>.</w:t>
      </w:r>
      <w:r w:rsidR="002746F4">
        <w:rPr>
          <w:rFonts w:ascii="Times New Roman" w:hAnsi="Times New Roman" w:cs="Times New Roman"/>
          <w:sz w:val="24"/>
          <w:szCs w:val="24"/>
        </w:rPr>
        <w:t xml:space="preserve"> C’est ainsi qu’</w:t>
      </w:r>
      <w:r w:rsidR="001759B8" w:rsidRPr="00C70518">
        <w:rPr>
          <w:rFonts w:ascii="Times New Roman" w:hAnsi="Times New Roman" w:cs="Times New Roman"/>
          <w:sz w:val="24"/>
          <w:szCs w:val="24"/>
        </w:rPr>
        <w:t>une thèse publiée par Pascale Delphine en 2011, « </w:t>
      </w:r>
      <w:bookmarkStart w:id="45" w:name="_Hlk70946483"/>
      <w:r w:rsidR="001759B8" w:rsidRPr="00C70518">
        <w:rPr>
          <w:rFonts w:ascii="Times New Roman" w:hAnsi="Times New Roman" w:cs="Times New Roman"/>
          <w:sz w:val="24"/>
          <w:szCs w:val="24"/>
        </w:rPr>
        <w:t>Notion de rentabilité financière et logique de choix dans les services publics : le cas des choix d’investissement dans quatre services publics municipaux </w:t>
      </w:r>
      <w:bookmarkEnd w:id="45"/>
      <w:r w:rsidR="001759B8" w:rsidRPr="00C70518">
        <w:rPr>
          <w:rFonts w:ascii="Times New Roman" w:hAnsi="Times New Roman" w:cs="Times New Roman"/>
          <w:sz w:val="24"/>
          <w:szCs w:val="24"/>
        </w:rPr>
        <w:t xml:space="preserve">», </w:t>
      </w:r>
      <w:r w:rsidR="00BA757C" w:rsidRPr="00C70518">
        <w:rPr>
          <w:rFonts w:ascii="Times New Roman" w:hAnsi="Times New Roman" w:cs="Times New Roman"/>
          <w:sz w:val="24"/>
          <w:szCs w:val="24"/>
        </w:rPr>
        <w:t>entreprend de répondre à la question de compatibilité du choix de service public avec un choix d’ordre financier</w:t>
      </w:r>
      <w:r w:rsidR="00C70518">
        <w:rPr>
          <w:rFonts w:ascii="Times New Roman" w:hAnsi="Times New Roman" w:cs="Times New Roman"/>
          <w:sz w:val="24"/>
          <w:szCs w:val="24"/>
        </w:rPr>
        <w:t xml:space="preserve"> intégrant </w:t>
      </w:r>
      <w:r w:rsidR="00DE61C8">
        <w:rPr>
          <w:rFonts w:ascii="Times New Roman" w:hAnsi="Times New Roman" w:cs="Times New Roman"/>
          <w:sz w:val="24"/>
          <w:szCs w:val="24"/>
        </w:rPr>
        <w:t>la</w:t>
      </w:r>
      <w:r w:rsidR="00C70518">
        <w:rPr>
          <w:rFonts w:ascii="Times New Roman" w:hAnsi="Times New Roman" w:cs="Times New Roman"/>
          <w:sz w:val="24"/>
          <w:szCs w:val="24"/>
        </w:rPr>
        <w:t xml:space="preserve"> rentabilité </w:t>
      </w:r>
      <w:r w:rsidR="00ED3933">
        <w:rPr>
          <w:rFonts w:ascii="Times New Roman" w:hAnsi="Times New Roman" w:cs="Times New Roman"/>
          <w:sz w:val="24"/>
          <w:szCs w:val="24"/>
        </w:rPr>
        <w:t>financière</w:t>
      </w:r>
      <w:r w:rsidR="00BA757C" w:rsidRPr="00C70518">
        <w:rPr>
          <w:rFonts w:ascii="Times New Roman" w:hAnsi="Times New Roman" w:cs="Times New Roman"/>
          <w:sz w:val="24"/>
          <w:szCs w:val="24"/>
        </w:rPr>
        <w:t xml:space="preserve">. S’inscrivant dans un cadre théorique du New public Management, cette recherche exploratoire auprès d’élus et d’administratifs </w:t>
      </w:r>
      <w:r w:rsidR="00C70518">
        <w:rPr>
          <w:rFonts w:ascii="Times New Roman" w:hAnsi="Times New Roman" w:cs="Times New Roman"/>
          <w:sz w:val="24"/>
          <w:szCs w:val="24"/>
        </w:rPr>
        <w:t xml:space="preserve">démontre </w:t>
      </w:r>
      <w:r w:rsidR="00C70518" w:rsidRPr="00C70518">
        <w:rPr>
          <w:rFonts w:ascii="Times New Roman" w:hAnsi="Times New Roman" w:cs="Times New Roman"/>
          <w:sz w:val="24"/>
          <w:szCs w:val="24"/>
        </w:rPr>
        <w:t>« </w:t>
      </w:r>
      <w:r w:rsidR="00C70518" w:rsidRPr="00DE61C8">
        <w:rPr>
          <w:rFonts w:ascii="Times New Roman" w:hAnsi="Times New Roman" w:cs="Times New Roman"/>
          <w:i/>
          <w:iCs/>
          <w:sz w:val="24"/>
          <w:szCs w:val="24"/>
        </w:rPr>
        <w:t>un poids des critères financiers proche de celui des critères de service public et un net intérêt porté à un outil de calcul de rentabilité financière, répondant là positivement à la question</w:t>
      </w:r>
      <w:r w:rsidR="00C70518">
        <w:rPr>
          <w:rFonts w:ascii="Times New Roman" w:hAnsi="Times New Roman" w:cs="Times New Roman"/>
          <w:sz w:val="24"/>
          <w:szCs w:val="24"/>
        </w:rPr>
        <w:t> ». Par ailleurs, cette étude montre également le véritable rôle d’experts financiers endossé par les administratifs</w:t>
      </w:r>
      <w:r w:rsidR="000C7F0B">
        <w:rPr>
          <w:rFonts w:ascii="Times New Roman" w:hAnsi="Times New Roman" w:cs="Times New Roman"/>
          <w:sz w:val="24"/>
          <w:szCs w:val="24"/>
        </w:rPr>
        <w:t xml:space="preserve"> et laisse envisager un changement de paradigme quant à la perception d’incompatibilité </w:t>
      </w:r>
      <w:r w:rsidR="00852BEE">
        <w:rPr>
          <w:rFonts w:ascii="Times New Roman" w:hAnsi="Times New Roman" w:cs="Times New Roman"/>
          <w:sz w:val="24"/>
          <w:szCs w:val="24"/>
        </w:rPr>
        <w:t xml:space="preserve">entre le </w:t>
      </w:r>
      <w:r w:rsidR="000C7F0B">
        <w:rPr>
          <w:rFonts w:ascii="Times New Roman" w:hAnsi="Times New Roman" w:cs="Times New Roman"/>
          <w:sz w:val="24"/>
          <w:szCs w:val="24"/>
        </w:rPr>
        <w:t xml:space="preserve">choix de service public et la rentabilité financière par les spécialistes </w:t>
      </w:r>
      <w:r w:rsidR="00ED3933">
        <w:rPr>
          <w:rFonts w:ascii="Times New Roman" w:hAnsi="Times New Roman" w:cs="Times New Roman"/>
          <w:sz w:val="24"/>
          <w:szCs w:val="24"/>
        </w:rPr>
        <w:t>français</w:t>
      </w:r>
      <w:r w:rsidR="000C7F0B">
        <w:rPr>
          <w:rFonts w:ascii="Times New Roman" w:hAnsi="Times New Roman" w:cs="Times New Roman"/>
          <w:sz w:val="24"/>
          <w:szCs w:val="24"/>
        </w:rPr>
        <w:t xml:space="preserve"> du management public et les personnalités politiques. </w:t>
      </w:r>
      <w:r w:rsidR="00DF66CD">
        <w:rPr>
          <w:rFonts w:ascii="Times New Roman" w:hAnsi="Times New Roman" w:cs="Times New Roman"/>
          <w:sz w:val="24"/>
          <w:szCs w:val="24"/>
        </w:rPr>
        <w:t xml:space="preserve">Même si nous </w:t>
      </w:r>
      <w:r w:rsidR="00320334">
        <w:rPr>
          <w:rFonts w:ascii="Times New Roman" w:hAnsi="Times New Roman" w:cs="Times New Roman"/>
          <w:sz w:val="24"/>
          <w:szCs w:val="24"/>
        </w:rPr>
        <w:t>ne faisons pas référence</w:t>
      </w:r>
      <w:r w:rsidR="00DF66CD">
        <w:rPr>
          <w:rFonts w:ascii="Times New Roman" w:hAnsi="Times New Roman" w:cs="Times New Roman"/>
          <w:sz w:val="24"/>
          <w:szCs w:val="24"/>
        </w:rPr>
        <w:t xml:space="preserve"> à une rentabilité financière dans notre travail comme considéré dans cette thèse, nous l’inscrivons cependant dans ce même cadre de théorie du New Management Public</w:t>
      </w:r>
      <w:r w:rsidR="00BC4FFB">
        <w:rPr>
          <w:rFonts w:ascii="Times New Roman" w:hAnsi="Times New Roman" w:cs="Times New Roman"/>
          <w:sz w:val="24"/>
          <w:szCs w:val="24"/>
        </w:rPr>
        <w:t xml:space="preserve"> où l’accent est porté sur la performance du service publ</w:t>
      </w:r>
      <w:r w:rsidR="004F2596">
        <w:rPr>
          <w:rFonts w:ascii="Times New Roman" w:hAnsi="Times New Roman" w:cs="Times New Roman"/>
          <w:sz w:val="24"/>
          <w:szCs w:val="24"/>
        </w:rPr>
        <w:t xml:space="preserve">ic au travers de l’évaluation par les résultats </w:t>
      </w:r>
      <w:r w:rsidR="00BC4FFB">
        <w:rPr>
          <w:rFonts w:ascii="Times New Roman" w:hAnsi="Times New Roman" w:cs="Times New Roman"/>
          <w:sz w:val="24"/>
          <w:szCs w:val="24"/>
        </w:rPr>
        <w:t xml:space="preserve">dans une logique de soutenabilité de l’activité. </w:t>
      </w:r>
    </w:p>
    <w:p w14:paraId="11A7079C" w14:textId="767DB8A3" w:rsidR="00FB6020" w:rsidRDefault="007F5D7B" w:rsidP="00071463">
      <w:pPr>
        <w:jc w:val="both"/>
        <w:rPr>
          <w:rFonts w:ascii="Times New Roman" w:hAnsi="Times New Roman" w:cs="Times New Roman"/>
          <w:sz w:val="24"/>
          <w:szCs w:val="24"/>
        </w:rPr>
      </w:pPr>
      <w:r>
        <w:rPr>
          <w:rFonts w:ascii="Times New Roman" w:hAnsi="Times New Roman" w:cs="Times New Roman"/>
          <w:sz w:val="24"/>
          <w:szCs w:val="24"/>
        </w:rPr>
        <w:t>Enfin</w:t>
      </w:r>
      <w:r w:rsidR="003C18D8">
        <w:rPr>
          <w:rFonts w:ascii="Times New Roman" w:hAnsi="Times New Roman" w:cs="Times New Roman"/>
          <w:sz w:val="24"/>
          <w:szCs w:val="24"/>
        </w:rPr>
        <w:t>, nous aimerions souligner une autre limite de notre travail</w:t>
      </w:r>
      <w:r w:rsidR="00DF13F0">
        <w:rPr>
          <w:rFonts w:ascii="Times New Roman" w:hAnsi="Times New Roman" w:cs="Times New Roman"/>
          <w:sz w:val="24"/>
          <w:szCs w:val="24"/>
        </w:rPr>
        <w:t xml:space="preserve"> se rapportant à</w:t>
      </w:r>
      <w:r w:rsidR="003C18D8">
        <w:rPr>
          <w:rFonts w:ascii="Times New Roman" w:hAnsi="Times New Roman" w:cs="Times New Roman"/>
          <w:sz w:val="24"/>
          <w:szCs w:val="24"/>
        </w:rPr>
        <w:t xml:space="preserve"> la construction de notre ratio de rentabilité économique. </w:t>
      </w:r>
      <w:r w:rsidR="0030305E">
        <w:rPr>
          <w:rFonts w:ascii="Times New Roman" w:hAnsi="Times New Roman" w:cs="Times New Roman"/>
          <w:sz w:val="24"/>
          <w:szCs w:val="24"/>
        </w:rPr>
        <w:t>En effet, à bien des égards, ce ratio de rentabilité est loin d’être le plus précis. Ceci est dû principalement à la faiblesse de ventilation du Compte de déplacements des voyageurs à partir duquel nous avons déterminé le ratio. Malgré cela, nous avons redoublé de rigueur, scruté attentivement le descriptif de la base</w:t>
      </w:r>
      <w:r w:rsidR="009E6295">
        <w:rPr>
          <w:rFonts w:ascii="Times New Roman" w:hAnsi="Times New Roman" w:cs="Times New Roman"/>
          <w:sz w:val="24"/>
          <w:szCs w:val="24"/>
        </w:rPr>
        <w:t xml:space="preserve"> de données</w:t>
      </w:r>
      <w:r w:rsidR="0030305E">
        <w:rPr>
          <w:rFonts w:ascii="Times New Roman" w:hAnsi="Times New Roman" w:cs="Times New Roman"/>
          <w:sz w:val="24"/>
          <w:szCs w:val="24"/>
        </w:rPr>
        <w:t xml:space="preserve"> et consulté un maximum de rapports d’activité et budgets pour attester du caractère économique de ce ratio. </w:t>
      </w:r>
      <w:r w:rsidR="009E6295">
        <w:rPr>
          <w:rFonts w:ascii="Times New Roman" w:hAnsi="Times New Roman" w:cs="Times New Roman"/>
          <w:sz w:val="24"/>
          <w:szCs w:val="24"/>
        </w:rPr>
        <w:t xml:space="preserve">Nous sommes convaincues que même si certaines critiques </w:t>
      </w:r>
      <w:r w:rsidR="00E13D53">
        <w:rPr>
          <w:rFonts w:ascii="Times New Roman" w:hAnsi="Times New Roman" w:cs="Times New Roman"/>
          <w:sz w:val="24"/>
          <w:szCs w:val="24"/>
        </w:rPr>
        <w:t xml:space="preserve">seront </w:t>
      </w:r>
      <w:r w:rsidR="009E6295">
        <w:rPr>
          <w:rFonts w:ascii="Times New Roman" w:hAnsi="Times New Roman" w:cs="Times New Roman"/>
          <w:sz w:val="24"/>
          <w:szCs w:val="24"/>
        </w:rPr>
        <w:t xml:space="preserve">apportées à ce ratio, nous pouvons néanmoins attester de l’effort consenti pour fournir un ratio </w:t>
      </w:r>
      <w:r w:rsidR="009E6295" w:rsidRPr="00436E7A">
        <w:rPr>
          <w:rFonts w:ascii="Times New Roman" w:hAnsi="Times New Roman" w:cs="Times New Roman"/>
          <w:sz w:val="24"/>
          <w:szCs w:val="24"/>
        </w:rPr>
        <w:t>correct</w:t>
      </w:r>
      <w:r w:rsidR="009E6295" w:rsidRPr="006C16A3">
        <w:rPr>
          <w:rFonts w:ascii="Times New Roman" w:hAnsi="Times New Roman" w:cs="Times New Roman"/>
          <w:color w:val="FF0000"/>
          <w:sz w:val="24"/>
          <w:szCs w:val="24"/>
        </w:rPr>
        <w:t xml:space="preserve"> </w:t>
      </w:r>
      <w:r w:rsidR="009E6295">
        <w:rPr>
          <w:rFonts w:ascii="Times New Roman" w:hAnsi="Times New Roman" w:cs="Times New Roman"/>
          <w:sz w:val="24"/>
          <w:szCs w:val="24"/>
        </w:rPr>
        <w:t xml:space="preserve">en dépit du manque de précisions dans la ventilation de la base. </w:t>
      </w:r>
    </w:p>
    <w:p w14:paraId="50212C51" w14:textId="77777777" w:rsidR="001E3708" w:rsidRPr="00071463" w:rsidRDefault="001E3708" w:rsidP="00071463">
      <w:pPr>
        <w:jc w:val="both"/>
        <w:rPr>
          <w:rFonts w:ascii="Times New Roman" w:hAnsi="Times New Roman" w:cs="Times New Roman"/>
          <w:sz w:val="24"/>
          <w:szCs w:val="24"/>
        </w:rPr>
      </w:pPr>
    </w:p>
    <w:p w14:paraId="7739A143" w14:textId="40B206FE" w:rsidR="00BD262A" w:rsidRPr="005D57EF" w:rsidRDefault="00F26E46" w:rsidP="00F61F98">
      <w:pPr>
        <w:pStyle w:val="Titre1"/>
        <w:numPr>
          <w:ilvl w:val="0"/>
          <w:numId w:val="16"/>
        </w:numPr>
        <w:rPr>
          <w:rFonts w:ascii="Times New Roman" w:hAnsi="Times New Roman" w:cs="Times New Roman"/>
          <w:b/>
          <w:bCs/>
        </w:rPr>
      </w:pPr>
      <w:bookmarkStart w:id="46" w:name="_Toc70937424"/>
      <w:r w:rsidRPr="005D57EF">
        <w:rPr>
          <w:rFonts w:ascii="Times New Roman" w:hAnsi="Times New Roman" w:cs="Times New Roman"/>
          <w:b/>
          <w:bCs/>
        </w:rPr>
        <w:t>C</w:t>
      </w:r>
      <w:r w:rsidR="00990C32" w:rsidRPr="005D57EF">
        <w:rPr>
          <w:rFonts w:ascii="Times New Roman" w:hAnsi="Times New Roman" w:cs="Times New Roman"/>
          <w:b/>
          <w:bCs/>
        </w:rPr>
        <w:t>onclusion</w:t>
      </w:r>
      <w:bookmarkEnd w:id="46"/>
    </w:p>
    <w:p w14:paraId="6CDCB13A" w14:textId="7B09C72A" w:rsidR="006350EF" w:rsidRDefault="00C74C90" w:rsidP="006350EF">
      <w:pPr>
        <w:jc w:val="both"/>
        <w:rPr>
          <w:rFonts w:ascii="Times New Roman" w:hAnsi="Times New Roman" w:cs="Times New Roman"/>
          <w:sz w:val="24"/>
          <w:szCs w:val="24"/>
        </w:rPr>
      </w:pPr>
      <w:r>
        <w:rPr>
          <w:rFonts w:ascii="Times New Roman" w:hAnsi="Times New Roman" w:cs="Times New Roman"/>
          <w:sz w:val="24"/>
          <w:szCs w:val="24"/>
        </w:rPr>
        <w:t xml:space="preserve">Notre travail a ainsi pu répondre à la problématique </w:t>
      </w:r>
      <w:r w:rsidR="004628F6">
        <w:rPr>
          <w:rFonts w:ascii="Times New Roman" w:hAnsi="Times New Roman" w:cs="Times New Roman"/>
          <w:sz w:val="24"/>
          <w:szCs w:val="24"/>
        </w:rPr>
        <w:t xml:space="preserve">formulée au départ à savoir : « Comment les politiques publiques en matière de transition énergétique influencent-elles la rentabilité du service public de transport dans la Région d’Île-de-France ? ». </w:t>
      </w:r>
      <w:r>
        <w:rPr>
          <w:rFonts w:ascii="Times New Roman" w:hAnsi="Times New Roman" w:cs="Times New Roman"/>
          <w:sz w:val="24"/>
          <w:szCs w:val="24"/>
        </w:rPr>
        <w:t xml:space="preserve"> </w:t>
      </w:r>
      <w:r w:rsidR="006350EF">
        <w:rPr>
          <w:rFonts w:ascii="Times New Roman" w:hAnsi="Times New Roman" w:cs="Times New Roman"/>
          <w:sz w:val="24"/>
          <w:szCs w:val="24"/>
        </w:rPr>
        <w:t xml:space="preserve">Dans un premier temps, nous avons fait un tour de la littérature théorique puis empirique pour la compréhension du phénomène à étudier et </w:t>
      </w:r>
      <w:r w:rsidR="00261DA4">
        <w:rPr>
          <w:rFonts w:ascii="Times New Roman" w:hAnsi="Times New Roman" w:cs="Times New Roman"/>
          <w:sz w:val="24"/>
          <w:szCs w:val="24"/>
        </w:rPr>
        <w:t xml:space="preserve">avoir connaissance des </w:t>
      </w:r>
      <w:r w:rsidR="006350EF">
        <w:rPr>
          <w:rFonts w:ascii="Times New Roman" w:hAnsi="Times New Roman" w:cs="Times New Roman"/>
          <w:sz w:val="24"/>
          <w:szCs w:val="24"/>
        </w:rPr>
        <w:t xml:space="preserve">résultats trouvés par des études crédibles </w:t>
      </w:r>
      <w:r w:rsidR="00261DA4">
        <w:rPr>
          <w:rFonts w:ascii="Times New Roman" w:hAnsi="Times New Roman" w:cs="Times New Roman"/>
          <w:sz w:val="24"/>
          <w:szCs w:val="24"/>
        </w:rPr>
        <w:t xml:space="preserve">antérieures à </w:t>
      </w:r>
      <w:r w:rsidR="006350EF">
        <w:rPr>
          <w:rFonts w:ascii="Times New Roman" w:hAnsi="Times New Roman" w:cs="Times New Roman"/>
          <w:sz w:val="24"/>
          <w:szCs w:val="24"/>
        </w:rPr>
        <w:t xml:space="preserve">la nôtre. Dans un second temps, nous </w:t>
      </w:r>
      <w:r w:rsidR="00810087">
        <w:rPr>
          <w:rFonts w:ascii="Times New Roman" w:hAnsi="Times New Roman" w:cs="Times New Roman"/>
          <w:sz w:val="24"/>
          <w:szCs w:val="24"/>
        </w:rPr>
        <w:t xml:space="preserve">avons décrit </w:t>
      </w:r>
      <w:r w:rsidR="006350EF">
        <w:rPr>
          <w:rFonts w:ascii="Times New Roman" w:hAnsi="Times New Roman" w:cs="Times New Roman"/>
          <w:sz w:val="24"/>
          <w:szCs w:val="24"/>
        </w:rPr>
        <w:t xml:space="preserve">le cadre dans lequel s’inscrit la transition énergétique dans le </w:t>
      </w:r>
      <w:r w:rsidR="006350EF">
        <w:rPr>
          <w:rFonts w:ascii="Times New Roman" w:hAnsi="Times New Roman" w:cs="Times New Roman"/>
          <w:sz w:val="24"/>
          <w:szCs w:val="24"/>
        </w:rPr>
        <w:lastRenderedPageBreak/>
        <w:t xml:space="preserve">secteur du transport en Île-de-France et sa mise en œuvre. Enfin, nous </w:t>
      </w:r>
      <w:r w:rsidR="00810087">
        <w:rPr>
          <w:rFonts w:ascii="Times New Roman" w:hAnsi="Times New Roman" w:cs="Times New Roman"/>
          <w:sz w:val="24"/>
          <w:szCs w:val="24"/>
        </w:rPr>
        <w:t xml:space="preserve">avons procédé </w:t>
      </w:r>
      <w:r w:rsidR="006350EF">
        <w:rPr>
          <w:rFonts w:ascii="Times New Roman" w:hAnsi="Times New Roman" w:cs="Times New Roman"/>
          <w:sz w:val="24"/>
          <w:szCs w:val="24"/>
        </w:rPr>
        <w:t xml:space="preserve">à la modélisation économétrique du phénomène pour déterminer ainsi l’impact des politiques publiques en matière de transition énergétique sur la rentabilité du secteur du transport en Île-de-France. </w:t>
      </w:r>
      <w:r w:rsidR="00745028">
        <w:rPr>
          <w:rFonts w:ascii="Times New Roman" w:hAnsi="Times New Roman" w:cs="Times New Roman"/>
          <w:sz w:val="24"/>
          <w:szCs w:val="24"/>
        </w:rPr>
        <w:t xml:space="preserve">De notre modélisation après mensualisation de nos données, nous avons déterminé un impact </w:t>
      </w:r>
      <w:r w:rsidR="004D73E0">
        <w:rPr>
          <w:rFonts w:ascii="Times New Roman" w:hAnsi="Times New Roman" w:cs="Times New Roman"/>
          <w:sz w:val="24"/>
          <w:szCs w:val="24"/>
        </w:rPr>
        <w:t xml:space="preserve">négatif </w:t>
      </w:r>
      <w:r w:rsidR="00745028">
        <w:rPr>
          <w:rFonts w:ascii="Times New Roman" w:hAnsi="Times New Roman" w:cs="Times New Roman"/>
          <w:sz w:val="24"/>
          <w:szCs w:val="24"/>
        </w:rPr>
        <w:t xml:space="preserve">significatif </w:t>
      </w:r>
      <w:r w:rsidR="004D73E0">
        <w:rPr>
          <w:rFonts w:ascii="Times New Roman" w:hAnsi="Times New Roman" w:cs="Times New Roman"/>
          <w:sz w:val="24"/>
          <w:szCs w:val="24"/>
        </w:rPr>
        <w:t xml:space="preserve">de court terme des investissements sur la rentabilité et un impact certes positif mais très faible de ces derniers sur la rentabilité. </w:t>
      </w:r>
    </w:p>
    <w:p w14:paraId="412A908B" w14:textId="241C0FA4" w:rsidR="001127AE" w:rsidRDefault="005D3A6B" w:rsidP="006350EF">
      <w:pPr>
        <w:jc w:val="both"/>
        <w:rPr>
          <w:rFonts w:ascii="Times New Roman" w:hAnsi="Times New Roman" w:cs="Times New Roman"/>
          <w:sz w:val="24"/>
          <w:szCs w:val="24"/>
        </w:rPr>
      </w:pPr>
      <w:r>
        <w:rPr>
          <w:rFonts w:ascii="Times New Roman" w:hAnsi="Times New Roman" w:cs="Times New Roman"/>
          <w:sz w:val="24"/>
          <w:szCs w:val="24"/>
        </w:rPr>
        <w:t xml:space="preserve">Et quant à déterminer si </w:t>
      </w:r>
      <w:r w:rsidR="001127AE" w:rsidRPr="001127AE">
        <w:rPr>
          <w:rFonts w:ascii="Times New Roman" w:hAnsi="Times New Roman" w:cs="Times New Roman"/>
          <w:sz w:val="24"/>
          <w:szCs w:val="24"/>
        </w:rPr>
        <w:t>les pol</w:t>
      </w:r>
      <w:r w:rsidR="001127AE">
        <w:rPr>
          <w:rFonts w:ascii="Times New Roman" w:hAnsi="Times New Roman" w:cs="Times New Roman"/>
          <w:sz w:val="24"/>
          <w:szCs w:val="24"/>
        </w:rPr>
        <w:t xml:space="preserve">itiques publiques en matière de transition énergétique </w:t>
      </w:r>
      <w:r w:rsidR="00DC45EE">
        <w:rPr>
          <w:rFonts w:ascii="Times New Roman" w:hAnsi="Times New Roman" w:cs="Times New Roman"/>
          <w:sz w:val="24"/>
          <w:szCs w:val="24"/>
        </w:rPr>
        <w:t xml:space="preserve">n’entravent pas la soutenabilité du service public de transport, nous </w:t>
      </w:r>
      <w:r>
        <w:rPr>
          <w:rFonts w:ascii="Times New Roman" w:hAnsi="Times New Roman" w:cs="Times New Roman"/>
          <w:sz w:val="24"/>
          <w:szCs w:val="24"/>
        </w:rPr>
        <w:t xml:space="preserve">sommes assez mitigées sur la question. En effet, bien que </w:t>
      </w:r>
      <w:r w:rsidR="00A56E89">
        <w:rPr>
          <w:rFonts w:ascii="Times New Roman" w:hAnsi="Times New Roman" w:cs="Times New Roman"/>
          <w:sz w:val="24"/>
          <w:szCs w:val="24"/>
        </w:rPr>
        <w:t>nous ayons démontré que les investissements pour la transition énergétique on</w:t>
      </w:r>
      <w:r w:rsidR="001B0488">
        <w:rPr>
          <w:rFonts w:ascii="Times New Roman" w:hAnsi="Times New Roman" w:cs="Times New Roman"/>
          <w:sz w:val="24"/>
          <w:szCs w:val="24"/>
        </w:rPr>
        <w:t>t</w:t>
      </w:r>
      <w:r w:rsidR="00A56E89">
        <w:rPr>
          <w:rFonts w:ascii="Times New Roman" w:hAnsi="Times New Roman" w:cs="Times New Roman"/>
          <w:sz w:val="24"/>
          <w:szCs w:val="24"/>
        </w:rPr>
        <w:t xml:space="preserve"> un impact positif sur le long terme toutefois </w:t>
      </w:r>
      <w:r w:rsidR="00B92E5F">
        <w:rPr>
          <w:rFonts w:ascii="Times New Roman" w:hAnsi="Times New Roman" w:cs="Times New Roman"/>
          <w:sz w:val="24"/>
          <w:szCs w:val="24"/>
        </w:rPr>
        <w:t xml:space="preserve">ce dernier </w:t>
      </w:r>
      <w:r w:rsidR="00A56E89">
        <w:rPr>
          <w:rFonts w:ascii="Times New Roman" w:hAnsi="Times New Roman" w:cs="Times New Roman"/>
          <w:sz w:val="24"/>
          <w:szCs w:val="24"/>
        </w:rPr>
        <w:t xml:space="preserve">reste beaucoup trop faible pour attester de changements favorisant la soutenabilité du service public. </w:t>
      </w:r>
      <w:r w:rsidR="00ED3BCE">
        <w:rPr>
          <w:rFonts w:ascii="Times New Roman" w:hAnsi="Times New Roman" w:cs="Times New Roman"/>
          <w:sz w:val="24"/>
          <w:szCs w:val="24"/>
        </w:rPr>
        <w:t xml:space="preserve">Pour des investissements aussi conséquents, il aurait fallu un impact moins dérisoire sur la rentabilité. </w:t>
      </w:r>
      <w:r w:rsidR="00133FEC">
        <w:rPr>
          <w:rFonts w:ascii="Times New Roman" w:hAnsi="Times New Roman" w:cs="Times New Roman"/>
          <w:sz w:val="24"/>
          <w:szCs w:val="24"/>
        </w:rPr>
        <w:t>L’ouverture à la concurrence des réseaux franciliens de transport public de voyageurs prescrit par les législations européenne</w:t>
      </w:r>
      <w:r w:rsidR="00793EA8">
        <w:rPr>
          <w:rFonts w:ascii="Times New Roman" w:hAnsi="Times New Roman" w:cs="Times New Roman"/>
          <w:sz w:val="24"/>
          <w:szCs w:val="24"/>
        </w:rPr>
        <w:t xml:space="preserve"> et nationale</w:t>
      </w:r>
      <w:r w:rsidR="00335C00">
        <w:rPr>
          <w:rStyle w:val="Appelnotedebasdep"/>
          <w:rFonts w:ascii="Times New Roman" w:hAnsi="Times New Roman" w:cs="Times New Roman"/>
          <w:sz w:val="24"/>
          <w:szCs w:val="24"/>
        </w:rPr>
        <w:footnoteReference w:id="14"/>
      </w:r>
      <w:r w:rsidR="00793EA8">
        <w:rPr>
          <w:rFonts w:ascii="Times New Roman" w:hAnsi="Times New Roman" w:cs="Times New Roman"/>
          <w:sz w:val="24"/>
          <w:szCs w:val="24"/>
        </w:rPr>
        <w:t xml:space="preserve"> apparait ainsi comme une solution salvatrice à un secteur que les fonds publics peinent à supporter dans un contexte de transition énergétique. </w:t>
      </w:r>
    </w:p>
    <w:p w14:paraId="3B5892DC" w14:textId="6987E1F3" w:rsidR="00990C32" w:rsidRPr="001127AE" w:rsidRDefault="00990C32" w:rsidP="004628F6">
      <w:pPr>
        <w:jc w:val="both"/>
        <w:rPr>
          <w:rFonts w:ascii="Times New Roman" w:hAnsi="Times New Roman" w:cs="Times New Roman"/>
          <w:sz w:val="24"/>
          <w:szCs w:val="24"/>
        </w:rPr>
      </w:pPr>
    </w:p>
    <w:p w14:paraId="16619A6D" w14:textId="396E0C88" w:rsidR="00CD5C84" w:rsidRPr="001127AE" w:rsidRDefault="00CD5C84" w:rsidP="00E0629B">
      <w:pPr>
        <w:rPr>
          <w:rFonts w:ascii="Times New Roman" w:hAnsi="Times New Roman" w:cs="Times New Roman"/>
        </w:rPr>
      </w:pPr>
    </w:p>
    <w:p w14:paraId="4DE39B71" w14:textId="2FCF1651" w:rsidR="00CD5C84" w:rsidRPr="001127AE" w:rsidRDefault="00CD5C84" w:rsidP="00E0629B">
      <w:pPr>
        <w:rPr>
          <w:rFonts w:ascii="Times New Roman" w:hAnsi="Times New Roman" w:cs="Times New Roman"/>
        </w:rPr>
      </w:pPr>
    </w:p>
    <w:p w14:paraId="6FE8F66C" w14:textId="311F9DCC" w:rsidR="00C74C90" w:rsidRPr="001127AE" w:rsidRDefault="00C74C90" w:rsidP="00C74C90">
      <w:pPr>
        <w:jc w:val="both"/>
      </w:pPr>
    </w:p>
    <w:p w14:paraId="75D16213" w14:textId="77777777" w:rsidR="00343426" w:rsidRDefault="00343426" w:rsidP="00E0629B">
      <w:pPr>
        <w:rPr>
          <w:rFonts w:ascii="Times New Roman" w:hAnsi="Times New Roman" w:cs="Times New Roman"/>
        </w:rPr>
        <w:sectPr w:rsidR="00343426" w:rsidSect="00103218">
          <w:headerReference w:type="default" r:id="rId20"/>
          <w:headerReference w:type="first" r:id="rId21"/>
          <w:footerReference w:type="first" r:id="rId22"/>
          <w:pgSz w:w="12240" w:h="15840"/>
          <w:pgMar w:top="1530" w:right="1440" w:bottom="1440" w:left="1440" w:header="720" w:footer="720" w:gutter="0"/>
          <w:pgNumType w:start="1"/>
          <w:cols w:space="720"/>
          <w:titlePg/>
          <w:docGrid w:linePitch="360"/>
        </w:sectPr>
      </w:pPr>
    </w:p>
    <w:p w14:paraId="521C1D6D" w14:textId="77777777" w:rsidR="00CD5C84" w:rsidRPr="001127AE" w:rsidRDefault="00CD5C84" w:rsidP="00E0629B">
      <w:pPr>
        <w:rPr>
          <w:rFonts w:ascii="Times New Roman" w:hAnsi="Times New Roman" w:cs="Times New Roman"/>
        </w:rPr>
      </w:pPr>
    </w:p>
    <w:p w14:paraId="2263BC3E" w14:textId="0D4550C2" w:rsidR="00647174" w:rsidRPr="00D01367" w:rsidRDefault="00F26E46" w:rsidP="00647174">
      <w:pPr>
        <w:pStyle w:val="Titre1"/>
        <w:rPr>
          <w:rFonts w:ascii="Times New Roman" w:hAnsi="Times New Roman" w:cs="Times New Roman"/>
          <w:b/>
          <w:bCs/>
        </w:rPr>
      </w:pPr>
      <w:bookmarkStart w:id="47" w:name="_Toc70937425"/>
      <w:r w:rsidRPr="00D01367">
        <w:rPr>
          <w:rFonts w:ascii="Times New Roman" w:hAnsi="Times New Roman" w:cs="Times New Roman"/>
          <w:b/>
          <w:bCs/>
        </w:rPr>
        <w:t>B</w:t>
      </w:r>
      <w:r w:rsidR="001927B9" w:rsidRPr="00D01367">
        <w:rPr>
          <w:rFonts w:ascii="Times New Roman" w:hAnsi="Times New Roman" w:cs="Times New Roman"/>
          <w:b/>
          <w:bCs/>
        </w:rPr>
        <w:t>ibliographie</w:t>
      </w:r>
      <w:bookmarkEnd w:id="47"/>
    </w:p>
    <w:p w14:paraId="673966EB" w14:textId="77777777" w:rsidR="00647174" w:rsidRPr="006C16A3" w:rsidRDefault="00647174" w:rsidP="006C16A3">
      <w:pPr>
        <w:pStyle w:val="Paragraphedeliste"/>
        <w:numPr>
          <w:ilvl w:val="0"/>
          <w:numId w:val="18"/>
        </w:numPr>
        <w:jc w:val="both"/>
        <w:rPr>
          <w:rFonts w:ascii="Times New Roman" w:hAnsi="Times New Roman" w:cs="Times New Roman"/>
          <w:sz w:val="24"/>
          <w:szCs w:val="24"/>
          <w:shd w:val="clear" w:color="auto" w:fill="FFFFFF"/>
          <w:lang w:val="en-US"/>
        </w:rPr>
      </w:pPr>
      <w:r w:rsidRPr="006C16A3">
        <w:rPr>
          <w:rFonts w:ascii="Times New Roman" w:hAnsi="Times New Roman" w:cs="Times New Roman"/>
          <w:sz w:val="24"/>
          <w:szCs w:val="24"/>
          <w:shd w:val="clear" w:color="auto" w:fill="FFFFFF"/>
          <w:lang w:val="en-US"/>
        </w:rPr>
        <w:t xml:space="preserve">Ackerman, R. W. and Bauer, R.A. (1976), « </w:t>
      </w:r>
      <w:r w:rsidRPr="006C16A3">
        <w:rPr>
          <w:rStyle w:val="Accentuation"/>
          <w:rFonts w:ascii="Times New Roman" w:hAnsi="Times New Roman" w:cs="Times New Roman"/>
          <w:sz w:val="24"/>
          <w:szCs w:val="24"/>
          <w:shd w:val="clear" w:color="auto" w:fill="FFFFFF"/>
          <w:lang w:val="en-US"/>
        </w:rPr>
        <w:t>Corporate Social Responsiveness: the modern dilemma</w:t>
      </w:r>
      <w:r w:rsidRPr="006C16A3">
        <w:rPr>
          <w:rFonts w:ascii="Times New Roman" w:hAnsi="Times New Roman" w:cs="Times New Roman"/>
          <w:sz w:val="24"/>
          <w:szCs w:val="24"/>
          <w:shd w:val="clear" w:color="auto" w:fill="FFFFFF"/>
          <w:lang w:val="en-US"/>
        </w:rPr>
        <w:t>, Reston, Publishing Company».</w:t>
      </w:r>
    </w:p>
    <w:p w14:paraId="202E41C1" w14:textId="77777777" w:rsidR="00647174" w:rsidRPr="006C16A3" w:rsidRDefault="00647174" w:rsidP="006C16A3">
      <w:pPr>
        <w:pStyle w:val="Paragraphedeliste"/>
        <w:numPr>
          <w:ilvl w:val="0"/>
          <w:numId w:val="18"/>
        </w:numPr>
        <w:jc w:val="both"/>
        <w:rPr>
          <w:rFonts w:ascii="Times New Roman" w:hAnsi="Times New Roman" w:cs="Times New Roman"/>
          <w:sz w:val="24"/>
          <w:szCs w:val="24"/>
          <w:lang w:val="en-US"/>
        </w:rPr>
      </w:pPr>
      <w:r w:rsidRPr="006C16A3">
        <w:rPr>
          <w:rFonts w:ascii="Times New Roman" w:hAnsi="Times New Roman" w:cs="Times New Roman"/>
          <w:sz w:val="24"/>
          <w:szCs w:val="24"/>
          <w:lang w:val="en-US"/>
        </w:rPr>
        <w:t xml:space="preserve">Barbera, Anthony J. and Virginia D. McConnel (1990), </w:t>
      </w:r>
      <w:r w:rsidRPr="006C16A3">
        <w:rPr>
          <w:rFonts w:ascii="Times New Roman" w:hAnsi="Times New Roman" w:cs="Times New Roman"/>
          <w:sz w:val="24"/>
          <w:szCs w:val="24"/>
          <w:shd w:val="clear" w:color="auto" w:fill="FFFFFF"/>
          <w:lang w:val="en-US"/>
        </w:rPr>
        <w:t xml:space="preserve">« </w:t>
      </w:r>
      <w:r w:rsidRPr="006C16A3">
        <w:rPr>
          <w:rFonts w:ascii="Times New Roman" w:hAnsi="Times New Roman" w:cs="Times New Roman"/>
          <w:sz w:val="24"/>
          <w:szCs w:val="24"/>
          <w:lang w:val="en-US"/>
        </w:rPr>
        <w:t xml:space="preserve">The Impact of Environmental Regulations on Industry Productivity: Direct and Indirect Effects </w:t>
      </w:r>
      <w:r w:rsidRPr="006C16A3">
        <w:rPr>
          <w:rFonts w:ascii="Times New Roman" w:hAnsi="Times New Roman" w:cs="Times New Roman"/>
          <w:sz w:val="24"/>
          <w:szCs w:val="24"/>
          <w:shd w:val="clear" w:color="auto" w:fill="FFFFFF"/>
          <w:lang w:val="en-US"/>
        </w:rPr>
        <w:t>»</w:t>
      </w:r>
      <w:r w:rsidRPr="006C16A3">
        <w:rPr>
          <w:rFonts w:ascii="Times New Roman" w:hAnsi="Times New Roman" w:cs="Times New Roman"/>
          <w:sz w:val="24"/>
          <w:szCs w:val="24"/>
          <w:lang w:val="en-US"/>
        </w:rPr>
        <w:t>, Journal of Environmental Economics and Management 18, 50-65.</w:t>
      </w:r>
    </w:p>
    <w:p w14:paraId="299D50AC" w14:textId="77777777" w:rsidR="00647174" w:rsidRPr="006C16A3" w:rsidRDefault="00647174" w:rsidP="006C16A3">
      <w:pPr>
        <w:pStyle w:val="Paragraphedeliste"/>
        <w:numPr>
          <w:ilvl w:val="0"/>
          <w:numId w:val="18"/>
        </w:numPr>
        <w:jc w:val="both"/>
        <w:rPr>
          <w:rFonts w:ascii="Times New Roman" w:hAnsi="Times New Roman" w:cs="Times New Roman"/>
          <w:sz w:val="24"/>
          <w:szCs w:val="24"/>
          <w:lang w:val="en-US"/>
        </w:rPr>
      </w:pPr>
      <w:r w:rsidRPr="006C16A3">
        <w:rPr>
          <w:rFonts w:ascii="Times New Roman" w:hAnsi="Times New Roman" w:cs="Times New Roman"/>
          <w:sz w:val="24"/>
          <w:szCs w:val="24"/>
          <w:lang w:val="en-US"/>
        </w:rPr>
        <w:t xml:space="preserve">Berman, Eli and Linda T.M. Bui (1998), </w:t>
      </w:r>
      <w:r w:rsidRPr="006C16A3">
        <w:rPr>
          <w:rFonts w:ascii="Times New Roman" w:hAnsi="Times New Roman" w:cs="Times New Roman"/>
          <w:sz w:val="24"/>
          <w:szCs w:val="24"/>
          <w:shd w:val="clear" w:color="auto" w:fill="FFFFFF"/>
          <w:lang w:val="en-US"/>
        </w:rPr>
        <w:t xml:space="preserve">« </w:t>
      </w:r>
      <w:r w:rsidRPr="006C16A3">
        <w:rPr>
          <w:rFonts w:ascii="Times New Roman" w:hAnsi="Times New Roman" w:cs="Times New Roman"/>
          <w:sz w:val="24"/>
          <w:szCs w:val="24"/>
          <w:lang w:val="en-US"/>
        </w:rPr>
        <w:t xml:space="preserve">Environmental Regulation and Productivity: Evidence from Oil Refineries </w:t>
      </w:r>
      <w:r w:rsidRPr="006C16A3">
        <w:rPr>
          <w:rFonts w:ascii="Times New Roman" w:hAnsi="Times New Roman" w:cs="Times New Roman"/>
          <w:sz w:val="24"/>
          <w:szCs w:val="24"/>
          <w:shd w:val="clear" w:color="auto" w:fill="FFFFFF"/>
          <w:lang w:val="en-US"/>
        </w:rPr>
        <w:t>»</w:t>
      </w:r>
      <w:r w:rsidRPr="006C16A3">
        <w:rPr>
          <w:rFonts w:ascii="Times New Roman" w:hAnsi="Times New Roman" w:cs="Times New Roman"/>
          <w:sz w:val="24"/>
          <w:szCs w:val="24"/>
          <w:lang w:val="en-US"/>
        </w:rPr>
        <w:t>, NBER Working Paper Series, 34 p</w:t>
      </w:r>
    </w:p>
    <w:p w14:paraId="132C9BDF" w14:textId="77777777" w:rsidR="00647174" w:rsidRPr="006C16A3" w:rsidRDefault="00647174" w:rsidP="006C16A3">
      <w:pPr>
        <w:pStyle w:val="Paragraphedeliste"/>
        <w:numPr>
          <w:ilvl w:val="0"/>
          <w:numId w:val="18"/>
        </w:numPr>
        <w:jc w:val="both"/>
        <w:rPr>
          <w:rFonts w:ascii="Times New Roman" w:hAnsi="Times New Roman" w:cs="Times New Roman"/>
          <w:sz w:val="24"/>
          <w:szCs w:val="24"/>
          <w:shd w:val="clear" w:color="auto" w:fill="FFFFFF"/>
        </w:rPr>
      </w:pPr>
      <w:proofErr w:type="spellStart"/>
      <w:r w:rsidRPr="006C16A3">
        <w:rPr>
          <w:rFonts w:ascii="Times New Roman" w:eastAsia="Times New Roman" w:hAnsi="Times New Roman" w:cs="Times New Roman"/>
          <w:sz w:val="24"/>
          <w:szCs w:val="24"/>
          <w:lang w:eastAsia="fr-FR"/>
        </w:rPr>
        <w:t>Boiral</w:t>
      </w:r>
      <w:proofErr w:type="spellEnd"/>
      <w:r w:rsidRPr="006C16A3">
        <w:rPr>
          <w:rFonts w:ascii="Times New Roman" w:eastAsia="Times New Roman" w:hAnsi="Times New Roman" w:cs="Times New Roman"/>
          <w:sz w:val="24"/>
          <w:szCs w:val="24"/>
          <w:lang w:eastAsia="fr-FR"/>
        </w:rPr>
        <w:t xml:space="preserve"> O. et Joly D., (1992),</w:t>
      </w:r>
      <w:r w:rsidRPr="006C16A3">
        <w:rPr>
          <w:rFonts w:ascii="Times New Roman" w:hAnsi="Times New Roman" w:cs="Times New Roman"/>
          <w:sz w:val="24"/>
          <w:szCs w:val="24"/>
          <w:shd w:val="clear" w:color="auto" w:fill="FFFFFF"/>
        </w:rPr>
        <w:t xml:space="preserve"> « Stratégie, compétitivité et écologie », Revue française de gestion, vol. 89, juin-juillet-août, p. 80-85.</w:t>
      </w:r>
    </w:p>
    <w:p w14:paraId="31647522" w14:textId="77777777" w:rsidR="00647174" w:rsidRPr="006C16A3" w:rsidRDefault="00647174" w:rsidP="006C16A3">
      <w:pPr>
        <w:pStyle w:val="Paragraphedeliste"/>
        <w:numPr>
          <w:ilvl w:val="0"/>
          <w:numId w:val="18"/>
        </w:numPr>
        <w:jc w:val="both"/>
        <w:rPr>
          <w:rFonts w:ascii="Times New Roman" w:hAnsi="Times New Roman" w:cs="Times New Roman"/>
          <w:sz w:val="24"/>
          <w:szCs w:val="24"/>
          <w:lang w:val="en-US"/>
        </w:rPr>
      </w:pPr>
      <w:proofErr w:type="spellStart"/>
      <w:r w:rsidRPr="006C16A3">
        <w:rPr>
          <w:rFonts w:ascii="Times New Roman" w:hAnsi="Times New Roman" w:cs="Times New Roman"/>
          <w:sz w:val="24"/>
          <w:szCs w:val="24"/>
          <w:lang w:val="en-US"/>
        </w:rPr>
        <w:t>Broberg</w:t>
      </w:r>
      <w:proofErr w:type="spellEnd"/>
      <w:r w:rsidRPr="006C16A3">
        <w:rPr>
          <w:rFonts w:ascii="Times New Roman" w:hAnsi="Times New Roman" w:cs="Times New Roman"/>
          <w:sz w:val="24"/>
          <w:szCs w:val="24"/>
          <w:lang w:val="en-US"/>
        </w:rPr>
        <w:t xml:space="preserve"> T., </w:t>
      </w:r>
      <w:proofErr w:type="spellStart"/>
      <w:r w:rsidRPr="006C16A3">
        <w:rPr>
          <w:rFonts w:ascii="Times New Roman" w:hAnsi="Times New Roman" w:cs="Times New Roman"/>
          <w:sz w:val="24"/>
          <w:szCs w:val="24"/>
          <w:lang w:val="en-US"/>
        </w:rPr>
        <w:t>Hammar</w:t>
      </w:r>
      <w:proofErr w:type="spellEnd"/>
      <w:r w:rsidRPr="006C16A3">
        <w:rPr>
          <w:rFonts w:ascii="Times New Roman" w:hAnsi="Times New Roman" w:cs="Times New Roman"/>
          <w:sz w:val="24"/>
          <w:szCs w:val="24"/>
          <w:lang w:val="en-US"/>
        </w:rPr>
        <w:t xml:space="preserve"> H., </w:t>
      </w:r>
      <w:proofErr w:type="spellStart"/>
      <w:r w:rsidRPr="006C16A3">
        <w:rPr>
          <w:rFonts w:ascii="Times New Roman" w:hAnsi="Times New Roman" w:cs="Times New Roman"/>
          <w:sz w:val="24"/>
          <w:szCs w:val="24"/>
          <w:lang w:val="en-US"/>
        </w:rPr>
        <w:t>Marklund</w:t>
      </w:r>
      <w:proofErr w:type="spellEnd"/>
      <w:r w:rsidRPr="006C16A3">
        <w:rPr>
          <w:rFonts w:ascii="Times New Roman" w:hAnsi="Times New Roman" w:cs="Times New Roman"/>
          <w:sz w:val="24"/>
          <w:szCs w:val="24"/>
          <w:lang w:val="en-US"/>
        </w:rPr>
        <w:t xml:space="preserve"> P. and </w:t>
      </w:r>
      <w:proofErr w:type="spellStart"/>
      <w:r w:rsidRPr="006C16A3">
        <w:rPr>
          <w:rFonts w:ascii="Times New Roman" w:hAnsi="Times New Roman" w:cs="Times New Roman"/>
          <w:sz w:val="24"/>
          <w:szCs w:val="24"/>
          <w:lang w:val="en-US"/>
        </w:rPr>
        <w:t>Samakovlis</w:t>
      </w:r>
      <w:proofErr w:type="spellEnd"/>
      <w:r w:rsidRPr="006C16A3">
        <w:rPr>
          <w:rFonts w:ascii="Times New Roman" w:hAnsi="Times New Roman" w:cs="Times New Roman"/>
          <w:sz w:val="24"/>
          <w:szCs w:val="24"/>
          <w:lang w:val="en-US"/>
        </w:rPr>
        <w:t xml:space="preserve"> E. (2013), </w:t>
      </w:r>
      <w:r w:rsidRPr="006C16A3">
        <w:rPr>
          <w:rFonts w:ascii="Times New Roman" w:hAnsi="Times New Roman" w:cs="Times New Roman"/>
          <w:sz w:val="24"/>
          <w:szCs w:val="24"/>
          <w:shd w:val="clear" w:color="auto" w:fill="FFFFFF"/>
          <w:lang w:val="en-US"/>
        </w:rPr>
        <w:t xml:space="preserve">« </w:t>
      </w:r>
      <w:r w:rsidRPr="006C16A3">
        <w:rPr>
          <w:rFonts w:ascii="Times New Roman" w:hAnsi="Times New Roman" w:cs="Times New Roman"/>
          <w:sz w:val="24"/>
          <w:szCs w:val="24"/>
          <w:lang w:val="en-US"/>
        </w:rPr>
        <w:t xml:space="preserve">Testing the Porter hypothesis: the effects of environmental investments on efficiency in Swedish industry  </w:t>
      </w:r>
      <w:r w:rsidRPr="006C16A3">
        <w:rPr>
          <w:rFonts w:ascii="Times New Roman" w:hAnsi="Times New Roman" w:cs="Times New Roman"/>
          <w:sz w:val="24"/>
          <w:szCs w:val="24"/>
          <w:shd w:val="clear" w:color="auto" w:fill="FFFFFF"/>
          <w:lang w:val="en-US"/>
        </w:rPr>
        <w:t>»</w:t>
      </w:r>
      <w:r w:rsidRPr="006C16A3">
        <w:rPr>
          <w:rFonts w:ascii="Times New Roman" w:hAnsi="Times New Roman" w:cs="Times New Roman"/>
          <w:sz w:val="24"/>
          <w:szCs w:val="24"/>
          <w:lang w:val="en-US"/>
        </w:rPr>
        <w:t>, Springer, Sweden</w:t>
      </w:r>
    </w:p>
    <w:p w14:paraId="75EE58E3" w14:textId="77777777" w:rsidR="00647174" w:rsidRPr="00192243" w:rsidRDefault="00647174" w:rsidP="00DC3D52">
      <w:pPr>
        <w:pStyle w:val="Paragraphedeliste"/>
        <w:numPr>
          <w:ilvl w:val="0"/>
          <w:numId w:val="18"/>
        </w:numPr>
        <w:jc w:val="both"/>
        <w:rPr>
          <w:rFonts w:ascii="Times New Roman" w:hAnsi="Times New Roman" w:cs="Times New Roman"/>
          <w:sz w:val="24"/>
          <w:szCs w:val="24"/>
          <w:lang w:val="en-US"/>
        </w:rPr>
      </w:pPr>
      <w:r w:rsidRPr="00192243">
        <w:rPr>
          <w:rFonts w:ascii="Times New Roman" w:hAnsi="Times New Roman" w:cs="Times New Roman"/>
          <w:sz w:val="24"/>
          <w:szCs w:val="24"/>
          <w:lang w:val="en-US"/>
        </w:rPr>
        <w:t xml:space="preserve">C. Chow and A.-L. Lin. Best linear unbiased interpolation, distribution, and extrapolation of time series by related series. The Review of Economics and Statistics, 53(4):372–375, Nov. 1971. [p80, 83]. </w:t>
      </w:r>
    </w:p>
    <w:p w14:paraId="53D4FDDD" w14:textId="77777777" w:rsidR="00647174" w:rsidRPr="006C16A3" w:rsidRDefault="00647174" w:rsidP="006C16A3">
      <w:pPr>
        <w:pStyle w:val="Paragraphedeliste"/>
        <w:numPr>
          <w:ilvl w:val="0"/>
          <w:numId w:val="18"/>
        </w:numPr>
        <w:rPr>
          <w:rFonts w:ascii="Times New Roman" w:hAnsi="Times New Roman" w:cs="Times New Roman"/>
          <w:sz w:val="24"/>
          <w:szCs w:val="24"/>
        </w:rPr>
      </w:pPr>
      <w:r w:rsidRPr="006C16A3">
        <w:rPr>
          <w:rFonts w:ascii="Times New Roman" w:hAnsi="Times New Roman" w:cs="Times New Roman"/>
          <w:sz w:val="24"/>
          <w:szCs w:val="24"/>
        </w:rPr>
        <w:t xml:space="preserve">Chambre Régionale des comptes Ile-de-France, Rapport d’Observations définitives et sa réponse, Stif (Île-de-France Mobilités) Exercices 2013 et suivants. </w:t>
      </w:r>
    </w:p>
    <w:p w14:paraId="2D1BFBCD" w14:textId="77777777" w:rsidR="00647174" w:rsidRPr="006C16A3" w:rsidRDefault="00647174" w:rsidP="006C16A3">
      <w:pPr>
        <w:pStyle w:val="Paragraphedeliste"/>
        <w:numPr>
          <w:ilvl w:val="0"/>
          <w:numId w:val="18"/>
        </w:numPr>
        <w:jc w:val="both"/>
        <w:rPr>
          <w:rFonts w:ascii="Times New Roman" w:hAnsi="Times New Roman" w:cs="Times New Roman"/>
          <w:sz w:val="24"/>
          <w:szCs w:val="24"/>
          <w:shd w:val="clear" w:color="auto" w:fill="FFFFFF"/>
          <w:lang w:val="en-US"/>
        </w:rPr>
      </w:pPr>
      <w:proofErr w:type="spellStart"/>
      <w:r w:rsidRPr="006C16A3">
        <w:rPr>
          <w:rFonts w:ascii="Times New Roman" w:hAnsi="Times New Roman" w:cs="Times New Roman"/>
          <w:sz w:val="24"/>
          <w:szCs w:val="24"/>
          <w:shd w:val="clear" w:color="auto" w:fill="FFFFFF"/>
          <w:lang w:val="en-US"/>
        </w:rPr>
        <w:t>Christainsen</w:t>
      </w:r>
      <w:proofErr w:type="spellEnd"/>
      <w:r w:rsidRPr="006C16A3">
        <w:rPr>
          <w:rFonts w:ascii="Times New Roman" w:hAnsi="Times New Roman" w:cs="Times New Roman"/>
          <w:sz w:val="24"/>
          <w:szCs w:val="24"/>
          <w:shd w:val="clear" w:color="auto" w:fill="FFFFFF"/>
          <w:lang w:val="en-US"/>
        </w:rPr>
        <w:t xml:space="preserve">, G.B. and </w:t>
      </w:r>
      <w:proofErr w:type="spellStart"/>
      <w:r w:rsidRPr="006C16A3">
        <w:rPr>
          <w:rFonts w:ascii="Times New Roman" w:hAnsi="Times New Roman" w:cs="Times New Roman"/>
          <w:sz w:val="24"/>
          <w:szCs w:val="24"/>
          <w:shd w:val="clear" w:color="auto" w:fill="FFFFFF"/>
          <w:lang w:val="en-US"/>
        </w:rPr>
        <w:t>Haveman</w:t>
      </w:r>
      <w:proofErr w:type="spellEnd"/>
      <w:r w:rsidRPr="006C16A3">
        <w:rPr>
          <w:rFonts w:ascii="Times New Roman" w:hAnsi="Times New Roman" w:cs="Times New Roman"/>
          <w:sz w:val="24"/>
          <w:szCs w:val="24"/>
          <w:shd w:val="clear" w:color="auto" w:fill="FFFFFF"/>
          <w:lang w:val="en-US"/>
        </w:rPr>
        <w:t>, R.H. (1981), « Public Regulations and the Slowdown in Productivity Growth »,</w:t>
      </w:r>
      <w:r w:rsidRPr="006C16A3">
        <w:rPr>
          <w:rStyle w:val="Accentuation"/>
          <w:rFonts w:ascii="Times New Roman" w:hAnsi="Times New Roman" w:cs="Times New Roman"/>
          <w:sz w:val="24"/>
          <w:szCs w:val="24"/>
          <w:shd w:val="clear" w:color="auto" w:fill="FFFFFF"/>
          <w:lang w:val="en-US"/>
        </w:rPr>
        <w:t> American Economic Review Proceedings</w:t>
      </w:r>
      <w:r w:rsidRPr="006C16A3">
        <w:rPr>
          <w:rFonts w:ascii="Times New Roman" w:hAnsi="Times New Roman" w:cs="Times New Roman"/>
          <w:sz w:val="24"/>
          <w:szCs w:val="24"/>
          <w:shd w:val="clear" w:color="auto" w:fill="FFFFFF"/>
          <w:lang w:val="en-US"/>
        </w:rPr>
        <w:t>, n°.77, p.320-325.</w:t>
      </w:r>
    </w:p>
    <w:p w14:paraId="2597AC42" w14:textId="77777777" w:rsidR="00647174" w:rsidRPr="006C16A3" w:rsidRDefault="00647174" w:rsidP="006C16A3">
      <w:pPr>
        <w:pStyle w:val="Paragraphedeliste"/>
        <w:numPr>
          <w:ilvl w:val="0"/>
          <w:numId w:val="18"/>
        </w:numPr>
        <w:rPr>
          <w:rFonts w:ascii="Times New Roman" w:hAnsi="Times New Roman" w:cs="Times New Roman"/>
          <w:sz w:val="24"/>
          <w:szCs w:val="24"/>
        </w:rPr>
      </w:pPr>
      <w:proofErr w:type="spellStart"/>
      <w:r w:rsidRPr="006C16A3">
        <w:rPr>
          <w:rFonts w:ascii="Times New Roman" w:hAnsi="Times New Roman" w:cs="Times New Roman"/>
          <w:sz w:val="24"/>
          <w:szCs w:val="24"/>
        </w:rPr>
        <w:t>Debrincat</w:t>
      </w:r>
      <w:proofErr w:type="spellEnd"/>
      <w:r w:rsidRPr="006C16A3">
        <w:rPr>
          <w:rFonts w:ascii="Times New Roman" w:hAnsi="Times New Roman" w:cs="Times New Roman"/>
          <w:sz w:val="24"/>
          <w:szCs w:val="24"/>
        </w:rPr>
        <w:t xml:space="preserve"> L. (2014), « Le nouveau Plan de déplacements urbains d’Île-de-France </w:t>
      </w:r>
      <w:r w:rsidRPr="006C16A3">
        <w:rPr>
          <w:rFonts w:ascii="Times New Roman" w:hAnsi="Times New Roman" w:cs="Times New Roman"/>
          <w:sz w:val="24"/>
          <w:szCs w:val="24"/>
          <w:shd w:val="clear" w:color="auto" w:fill="FFFFFF"/>
        </w:rPr>
        <w:t>»</w:t>
      </w:r>
      <w:r w:rsidRPr="006C16A3">
        <w:rPr>
          <w:rFonts w:ascii="Times New Roman" w:hAnsi="Times New Roman" w:cs="Times New Roman"/>
          <w:sz w:val="24"/>
          <w:szCs w:val="24"/>
        </w:rPr>
        <w:t>, Numéro 4 , STIF en ligne.</w:t>
      </w:r>
    </w:p>
    <w:p w14:paraId="46B83013" w14:textId="77777777" w:rsidR="00647174" w:rsidRPr="006C16A3" w:rsidRDefault="00647174" w:rsidP="006C16A3">
      <w:pPr>
        <w:pStyle w:val="Paragraphedeliste"/>
        <w:numPr>
          <w:ilvl w:val="0"/>
          <w:numId w:val="18"/>
        </w:numPr>
        <w:jc w:val="both"/>
        <w:rPr>
          <w:rFonts w:ascii="Times New Roman" w:hAnsi="Times New Roman" w:cs="Times New Roman"/>
          <w:sz w:val="24"/>
          <w:szCs w:val="24"/>
          <w:lang w:val="en-US"/>
        </w:rPr>
      </w:pPr>
      <w:r w:rsidRPr="006C16A3">
        <w:rPr>
          <w:rFonts w:ascii="Times New Roman" w:hAnsi="Times New Roman" w:cs="Times New Roman"/>
          <w:sz w:val="24"/>
          <w:szCs w:val="24"/>
          <w:lang w:val="en-US"/>
        </w:rPr>
        <w:t xml:space="preserve">Dufour C., Paul L. and Michel P. (1995), </w:t>
      </w:r>
      <w:r w:rsidRPr="006C16A3">
        <w:rPr>
          <w:rFonts w:ascii="Times New Roman" w:hAnsi="Times New Roman" w:cs="Times New Roman"/>
          <w:sz w:val="24"/>
          <w:szCs w:val="24"/>
          <w:shd w:val="clear" w:color="auto" w:fill="FFFFFF"/>
          <w:lang w:val="en-US"/>
        </w:rPr>
        <w:t xml:space="preserve">« </w:t>
      </w:r>
      <w:r w:rsidRPr="006C16A3">
        <w:rPr>
          <w:rFonts w:ascii="Times New Roman" w:hAnsi="Times New Roman" w:cs="Times New Roman"/>
          <w:sz w:val="24"/>
          <w:szCs w:val="24"/>
          <w:lang w:val="en-US"/>
        </w:rPr>
        <w:t xml:space="preserve">Regulation and Productivity in the Quebec Manufacturing Sector </w:t>
      </w:r>
      <w:r w:rsidRPr="006C16A3">
        <w:rPr>
          <w:rFonts w:ascii="Times New Roman" w:hAnsi="Times New Roman" w:cs="Times New Roman"/>
          <w:sz w:val="24"/>
          <w:szCs w:val="24"/>
          <w:shd w:val="clear" w:color="auto" w:fill="FFFFFF"/>
          <w:lang w:val="en-US"/>
        </w:rPr>
        <w:t>»</w:t>
      </w:r>
      <w:r w:rsidRPr="006C16A3">
        <w:rPr>
          <w:rFonts w:ascii="Times New Roman" w:hAnsi="Times New Roman" w:cs="Times New Roman"/>
          <w:sz w:val="24"/>
          <w:szCs w:val="24"/>
          <w:lang w:val="en-US"/>
        </w:rPr>
        <w:t xml:space="preserve"> cahier de recherche CIRANO n° 95s-12, Montréal.</w:t>
      </w:r>
    </w:p>
    <w:p w14:paraId="23192969" w14:textId="77777777" w:rsidR="00647174" w:rsidRPr="00192243" w:rsidRDefault="00647174" w:rsidP="00DC3D52">
      <w:pPr>
        <w:pStyle w:val="Paragraphedeliste"/>
        <w:numPr>
          <w:ilvl w:val="0"/>
          <w:numId w:val="18"/>
        </w:numPr>
        <w:jc w:val="both"/>
        <w:rPr>
          <w:rFonts w:ascii="Times New Roman" w:hAnsi="Times New Roman" w:cs="Times New Roman"/>
          <w:sz w:val="24"/>
          <w:szCs w:val="24"/>
          <w:lang w:val="en-US"/>
        </w:rPr>
      </w:pPr>
      <w:r w:rsidRPr="00192243">
        <w:rPr>
          <w:rFonts w:ascii="Times New Roman" w:hAnsi="Times New Roman" w:cs="Times New Roman"/>
          <w:sz w:val="24"/>
          <w:szCs w:val="24"/>
          <w:lang w:val="en-US"/>
        </w:rPr>
        <w:t xml:space="preserve">E. B. </w:t>
      </w:r>
      <w:proofErr w:type="spellStart"/>
      <w:r w:rsidRPr="00192243">
        <w:rPr>
          <w:rFonts w:ascii="Times New Roman" w:hAnsi="Times New Roman" w:cs="Times New Roman"/>
          <w:sz w:val="24"/>
          <w:szCs w:val="24"/>
          <w:lang w:val="en-US"/>
        </w:rPr>
        <w:t>Dagum</w:t>
      </w:r>
      <w:proofErr w:type="spellEnd"/>
      <w:r w:rsidRPr="00192243">
        <w:rPr>
          <w:rFonts w:ascii="Times New Roman" w:hAnsi="Times New Roman" w:cs="Times New Roman"/>
          <w:sz w:val="24"/>
          <w:szCs w:val="24"/>
          <w:lang w:val="en-US"/>
        </w:rPr>
        <w:t xml:space="preserve"> and P. A. </w:t>
      </w:r>
      <w:proofErr w:type="spellStart"/>
      <w:r w:rsidRPr="00192243">
        <w:rPr>
          <w:rFonts w:ascii="Times New Roman" w:hAnsi="Times New Roman" w:cs="Times New Roman"/>
          <w:sz w:val="24"/>
          <w:szCs w:val="24"/>
          <w:lang w:val="en-US"/>
        </w:rPr>
        <w:t>Cholette</w:t>
      </w:r>
      <w:proofErr w:type="spellEnd"/>
      <w:r w:rsidRPr="00192243">
        <w:rPr>
          <w:rFonts w:ascii="Times New Roman" w:hAnsi="Times New Roman" w:cs="Times New Roman"/>
          <w:sz w:val="24"/>
          <w:szCs w:val="24"/>
          <w:lang w:val="en-US"/>
        </w:rPr>
        <w:t>. Benchmarking, Temporal Distribution, and Reconciliation Methods for Time Series. Lecture Notes in Statistics. Springer-Verlag, New York, 2006. [p80, 82].</w:t>
      </w:r>
    </w:p>
    <w:p w14:paraId="17567930" w14:textId="77777777" w:rsidR="00647174" w:rsidRPr="00926DF7" w:rsidRDefault="00647174" w:rsidP="00DC3D52">
      <w:pPr>
        <w:pStyle w:val="Paragraphedeliste"/>
        <w:numPr>
          <w:ilvl w:val="0"/>
          <w:numId w:val="18"/>
        </w:numPr>
        <w:spacing w:line="360" w:lineRule="auto"/>
        <w:jc w:val="both"/>
        <w:rPr>
          <w:rFonts w:ascii="Times New Roman" w:hAnsi="Times New Roman" w:cs="Times New Roman"/>
          <w:color w:val="000000"/>
          <w:sz w:val="24"/>
          <w:szCs w:val="24"/>
          <w:lang w:val="en-US"/>
        </w:rPr>
      </w:pPr>
      <w:r w:rsidRPr="00926DF7">
        <w:rPr>
          <w:rFonts w:ascii="Times New Roman" w:hAnsi="Times New Roman" w:cs="Times New Roman"/>
          <w:bCs/>
          <w:sz w:val="24"/>
          <w:szCs w:val="24"/>
          <w:lang w:val="en-US"/>
        </w:rPr>
        <w:t xml:space="preserve">Engle, Robert F., and Clive W. J. Granger. </w:t>
      </w:r>
      <w:r w:rsidRPr="00926DF7">
        <w:rPr>
          <w:rFonts w:ascii="Times New Roman" w:hAnsi="Times New Roman" w:cs="Times New Roman"/>
          <w:sz w:val="24"/>
          <w:szCs w:val="24"/>
          <w:lang w:val="en-US"/>
        </w:rPr>
        <w:t xml:space="preserve">1987. “Co-Integration and Error Correction: Representation, Estimation, and Testing.” </w:t>
      </w:r>
      <w:proofErr w:type="spellStart"/>
      <w:r w:rsidRPr="00926DF7">
        <w:rPr>
          <w:rFonts w:ascii="Times New Roman" w:hAnsi="Times New Roman" w:cs="Times New Roman"/>
          <w:i/>
          <w:iCs/>
          <w:sz w:val="24"/>
          <w:szCs w:val="24"/>
          <w:lang w:val="en-US"/>
        </w:rPr>
        <w:t>Econometrica</w:t>
      </w:r>
      <w:proofErr w:type="spellEnd"/>
      <w:r>
        <w:rPr>
          <w:rFonts w:ascii="Times New Roman" w:hAnsi="Times New Roman" w:cs="Times New Roman"/>
          <w:sz w:val="24"/>
          <w:szCs w:val="24"/>
          <w:lang w:val="en-US"/>
        </w:rPr>
        <w:t>, 55(2).</w:t>
      </w:r>
    </w:p>
    <w:p w14:paraId="6B73EA52" w14:textId="77777777" w:rsidR="00647174" w:rsidRPr="00192243" w:rsidRDefault="00647174" w:rsidP="00DC3D52">
      <w:pPr>
        <w:pStyle w:val="Paragraphedeliste"/>
        <w:numPr>
          <w:ilvl w:val="0"/>
          <w:numId w:val="18"/>
        </w:numPr>
        <w:jc w:val="both"/>
        <w:rPr>
          <w:rFonts w:ascii="Times New Roman" w:hAnsi="Times New Roman" w:cs="Times New Roman"/>
          <w:sz w:val="24"/>
          <w:szCs w:val="24"/>
          <w:lang w:val="en-US"/>
        </w:rPr>
      </w:pPr>
      <w:r w:rsidRPr="00192243">
        <w:rPr>
          <w:rFonts w:ascii="Times New Roman" w:hAnsi="Times New Roman" w:cs="Times New Roman"/>
          <w:sz w:val="24"/>
          <w:szCs w:val="24"/>
          <w:lang w:val="en-US"/>
        </w:rPr>
        <w:t>F. T. Denton. Adjustment of monthly or quarterly series to annual totals: An approach based on</w:t>
      </w:r>
    </w:p>
    <w:p w14:paraId="58F13B5B" w14:textId="77777777" w:rsidR="00647174" w:rsidRPr="006C16A3" w:rsidRDefault="00647174" w:rsidP="006C16A3">
      <w:pPr>
        <w:pStyle w:val="Paragraphedeliste"/>
        <w:numPr>
          <w:ilvl w:val="0"/>
          <w:numId w:val="18"/>
        </w:numPr>
        <w:jc w:val="both"/>
        <w:rPr>
          <w:rFonts w:ascii="Times New Roman" w:hAnsi="Times New Roman" w:cs="Times New Roman"/>
          <w:sz w:val="24"/>
          <w:szCs w:val="24"/>
          <w:shd w:val="clear" w:color="auto" w:fill="FFFFFF"/>
        </w:rPr>
      </w:pPr>
      <w:r w:rsidRPr="006C16A3">
        <w:rPr>
          <w:rFonts w:ascii="Times New Roman" w:hAnsi="Times New Roman" w:cs="Times New Roman"/>
          <w:sz w:val="24"/>
          <w:szCs w:val="24"/>
          <w:shd w:val="clear" w:color="auto" w:fill="FFFFFF"/>
        </w:rPr>
        <w:t xml:space="preserve">Gauthier C. (2003), « </w:t>
      </w:r>
      <w:proofErr w:type="spellStart"/>
      <w:r w:rsidRPr="006C16A3">
        <w:rPr>
          <w:rFonts w:ascii="Times New Roman" w:hAnsi="Times New Roman" w:cs="Times New Roman"/>
          <w:sz w:val="24"/>
          <w:szCs w:val="24"/>
          <w:shd w:val="clear" w:color="auto" w:fill="FFFFFF"/>
        </w:rPr>
        <w:t>What</w:t>
      </w:r>
      <w:proofErr w:type="spellEnd"/>
      <w:r w:rsidRPr="006C16A3">
        <w:rPr>
          <w:rFonts w:ascii="Times New Roman" w:hAnsi="Times New Roman" w:cs="Times New Roman"/>
          <w:sz w:val="24"/>
          <w:szCs w:val="24"/>
          <w:shd w:val="clear" w:color="auto" w:fill="FFFFFF"/>
        </w:rPr>
        <w:t xml:space="preserve"> </w:t>
      </w:r>
      <w:proofErr w:type="spellStart"/>
      <w:r w:rsidRPr="006C16A3">
        <w:rPr>
          <w:rFonts w:ascii="Times New Roman" w:hAnsi="Times New Roman" w:cs="Times New Roman"/>
          <w:sz w:val="24"/>
          <w:szCs w:val="24"/>
          <w:shd w:val="clear" w:color="auto" w:fill="FFFFFF"/>
        </w:rPr>
        <w:t>Level</w:t>
      </w:r>
      <w:proofErr w:type="spellEnd"/>
      <w:r w:rsidRPr="006C16A3">
        <w:rPr>
          <w:rFonts w:ascii="Times New Roman" w:hAnsi="Times New Roman" w:cs="Times New Roman"/>
          <w:sz w:val="24"/>
          <w:szCs w:val="24"/>
          <w:shd w:val="clear" w:color="auto" w:fill="FFFFFF"/>
        </w:rPr>
        <w:t xml:space="preserve"> of </w:t>
      </w:r>
      <w:proofErr w:type="spellStart"/>
      <w:r w:rsidRPr="006C16A3">
        <w:rPr>
          <w:rFonts w:ascii="Times New Roman" w:hAnsi="Times New Roman" w:cs="Times New Roman"/>
          <w:sz w:val="24"/>
          <w:szCs w:val="24"/>
          <w:shd w:val="clear" w:color="auto" w:fill="FFFFFF"/>
        </w:rPr>
        <w:t>Ecostrategy</w:t>
      </w:r>
      <w:proofErr w:type="spellEnd"/>
      <w:r w:rsidRPr="006C16A3">
        <w:rPr>
          <w:rFonts w:ascii="Times New Roman" w:hAnsi="Times New Roman" w:cs="Times New Roman"/>
          <w:sz w:val="24"/>
          <w:szCs w:val="24"/>
          <w:shd w:val="clear" w:color="auto" w:fill="FFFFFF"/>
        </w:rPr>
        <w:t>? », </w:t>
      </w:r>
      <w:r w:rsidRPr="006C16A3">
        <w:rPr>
          <w:rStyle w:val="Accentuation"/>
          <w:rFonts w:ascii="Times New Roman" w:hAnsi="Times New Roman" w:cs="Times New Roman"/>
          <w:sz w:val="24"/>
          <w:szCs w:val="24"/>
          <w:shd w:val="clear" w:color="auto" w:fill="FFFFFF"/>
        </w:rPr>
        <w:t>XII</w:t>
      </w:r>
      <w:r w:rsidRPr="006C16A3">
        <w:rPr>
          <w:rStyle w:val="Accentuation"/>
          <w:rFonts w:ascii="Times New Roman" w:hAnsi="Times New Roman" w:cs="Times New Roman"/>
          <w:sz w:val="24"/>
          <w:szCs w:val="24"/>
          <w:shd w:val="clear" w:color="auto" w:fill="FFFFFF"/>
          <w:vertAlign w:val="superscript"/>
        </w:rPr>
        <w:t>e </w:t>
      </w:r>
      <w:r w:rsidRPr="006C16A3">
        <w:rPr>
          <w:rStyle w:val="Accentuation"/>
          <w:rFonts w:ascii="Times New Roman" w:hAnsi="Times New Roman" w:cs="Times New Roman"/>
          <w:sz w:val="24"/>
          <w:szCs w:val="24"/>
          <w:shd w:val="clear" w:color="auto" w:fill="FFFFFF"/>
        </w:rPr>
        <w:t>Conférence de l’Association internationale de management stratégique</w:t>
      </w:r>
      <w:r w:rsidRPr="006C16A3">
        <w:rPr>
          <w:rFonts w:ascii="Times New Roman" w:hAnsi="Times New Roman" w:cs="Times New Roman"/>
          <w:sz w:val="24"/>
          <w:szCs w:val="24"/>
          <w:shd w:val="clear" w:color="auto" w:fill="FFFFFF"/>
        </w:rPr>
        <w:t>, Tunisie.</w:t>
      </w:r>
    </w:p>
    <w:p w14:paraId="397EFDBB" w14:textId="77777777" w:rsidR="00647174" w:rsidRDefault="00647174" w:rsidP="006C16A3">
      <w:pPr>
        <w:pStyle w:val="Paragraphedeliste"/>
        <w:numPr>
          <w:ilvl w:val="0"/>
          <w:numId w:val="18"/>
        </w:numPr>
        <w:jc w:val="both"/>
        <w:rPr>
          <w:rFonts w:ascii="Times New Roman" w:hAnsi="Times New Roman" w:cs="Times New Roman"/>
          <w:sz w:val="24"/>
          <w:szCs w:val="24"/>
          <w:lang w:val="en-US"/>
        </w:rPr>
      </w:pPr>
      <w:r w:rsidRPr="006C16A3">
        <w:rPr>
          <w:rFonts w:ascii="Times New Roman" w:hAnsi="Times New Roman" w:cs="Times New Roman"/>
          <w:sz w:val="24"/>
          <w:szCs w:val="24"/>
          <w:lang w:val="en-US"/>
        </w:rPr>
        <w:t xml:space="preserve">Gollop, Frank M. et Mark J. Roberts (1983), </w:t>
      </w:r>
      <w:r w:rsidRPr="006C16A3">
        <w:rPr>
          <w:rFonts w:ascii="Times New Roman" w:hAnsi="Times New Roman" w:cs="Times New Roman"/>
          <w:sz w:val="24"/>
          <w:szCs w:val="24"/>
          <w:shd w:val="clear" w:color="auto" w:fill="FFFFFF"/>
          <w:lang w:val="en-US"/>
        </w:rPr>
        <w:t xml:space="preserve">« </w:t>
      </w:r>
      <w:r w:rsidRPr="006C16A3">
        <w:rPr>
          <w:rFonts w:ascii="Times New Roman" w:hAnsi="Times New Roman" w:cs="Times New Roman"/>
          <w:sz w:val="24"/>
          <w:szCs w:val="24"/>
          <w:lang w:val="en-US"/>
        </w:rPr>
        <w:t xml:space="preserve">Environmental Regulation and Productivity Growth: The Case of Fossil- fueled Electric Power Generation </w:t>
      </w:r>
      <w:r w:rsidRPr="006C16A3">
        <w:rPr>
          <w:rFonts w:ascii="Times New Roman" w:hAnsi="Times New Roman" w:cs="Times New Roman"/>
          <w:sz w:val="24"/>
          <w:szCs w:val="24"/>
          <w:shd w:val="clear" w:color="auto" w:fill="FFFFFF"/>
          <w:lang w:val="en-US"/>
        </w:rPr>
        <w:t xml:space="preserve">», </w:t>
      </w:r>
      <w:r w:rsidRPr="006C16A3">
        <w:rPr>
          <w:rFonts w:ascii="Times New Roman" w:hAnsi="Times New Roman" w:cs="Times New Roman"/>
          <w:sz w:val="24"/>
          <w:szCs w:val="24"/>
          <w:lang w:val="en-US"/>
        </w:rPr>
        <w:t>Journal of Political Economy, vol. 91, n° 4, pp 654-674.</w:t>
      </w:r>
    </w:p>
    <w:p w14:paraId="57D8C972" w14:textId="77777777" w:rsidR="00647174" w:rsidRPr="00FA6FA0" w:rsidRDefault="00647174" w:rsidP="00DC3D52">
      <w:pPr>
        <w:pStyle w:val="Paragraphedeliste"/>
        <w:numPr>
          <w:ilvl w:val="0"/>
          <w:numId w:val="18"/>
        </w:numPr>
        <w:spacing w:line="360" w:lineRule="auto"/>
        <w:jc w:val="both"/>
        <w:rPr>
          <w:rFonts w:ascii="Times New Roman" w:hAnsi="Times New Roman" w:cs="Times New Roman"/>
          <w:sz w:val="24"/>
          <w:lang w:val="en-US"/>
        </w:rPr>
      </w:pPr>
      <w:r w:rsidRPr="00FA6FA0">
        <w:rPr>
          <w:rFonts w:ascii="Times New Roman" w:hAnsi="Times New Roman" w:cs="Times New Roman"/>
          <w:sz w:val="24"/>
          <w:lang w:val="en-US"/>
        </w:rPr>
        <w:t>Granger, C. W. J.</w:t>
      </w:r>
      <w:r>
        <w:rPr>
          <w:rFonts w:ascii="Times New Roman" w:hAnsi="Times New Roman" w:cs="Times New Roman"/>
          <w:sz w:val="24"/>
          <w:lang w:val="en-US"/>
        </w:rPr>
        <w:t xml:space="preserve"> (1980), “Testing for Causality</w:t>
      </w:r>
      <w:r w:rsidRPr="00FA6FA0">
        <w:rPr>
          <w:rFonts w:ascii="Times New Roman" w:hAnsi="Times New Roman" w:cs="Times New Roman"/>
          <w:sz w:val="24"/>
          <w:lang w:val="en-US"/>
        </w:rPr>
        <w:t>: A personal Viewpoint”, in Journal of Economic Dynamics a</w:t>
      </w:r>
      <w:r>
        <w:rPr>
          <w:rFonts w:ascii="Times New Roman" w:hAnsi="Times New Roman" w:cs="Times New Roman"/>
          <w:sz w:val="24"/>
          <w:lang w:val="en-US"/>
        </w:rPr>
        <w:t>nd Control, Vol. 2, pp. 329-352.</w:t>
      </w:r>
    </w:p>
    <w:p w14:paraId="32B50470" w14:textId="77777777" w:rsidR="00647174" w:rsidRPr="006C16A3" w:rsidRDefault="00647174" w:rsidP="006C16A3">
      <w:pPr>
        <w:pStyle w:val="Paragraphedeliste"/>
        <w:numPr>
          <w:ilvl w:val="0"/>
          <w:numId w:val="18"/>
        </w:numPr>
        <w:jc w:val="both"/>
        <w:rPr>
          <w:rFonts w:ascii="Times New Roman" w:hAnsi="Times New Roman" w:cs="Times New Roman"/>
          <w:sz w:val="24"/>
          <w:szCs w:val="24"/>
          <w:lang w:val="en-US"/>
        </w:rPr>
      </w:pPr>
      <w:r w:rsidRPr="006C16A3">
        <w:rPr>
          <w:rFonts w:ascii="Times New Roman" w:hAnsi="Times New Roman" w:cs="Times New Roman"/>
          <w:sz w:val="24"/>
          <w:szCs w:val="24"/>
          <w:lang w:val="en-US"/>
        </w:rPr>
        <w:lastRenderedPageBreak/>
        <w:t xml:space="preserve">Gray WB and </w:t>
      </w:r>
      <w:proofErr w:type="spellStart"/>
      <w:r w:rsidRPr="006C16A3">
        <w:rPr>
          <w:rFonts w:ascii="Times New Roman" w:hAnsi="Times New Roman" w:cs="Times New Roman"/>
          <w:sz w:val="24"/>
          <w:szCs w:val="24"/>
          <w:lang w:val="en-US"/>
        </w:rPr>
        <w:t>Shadbegian</w:t>
      </w:r>
      <w:proofErr w:type="spellEnd"/>
      <w:r w:rsidRPr="006C16A3">
        <w:rPr>
          <w:rFonts w:ascii="Times New Roman" w:hAnsi="Times New Roman" w:cs="Times New Roman"/>
          <w:sz w:val="24"/>
          <w:szCs w:val="24"/>
          <w:lang w:val="en-US"/>
        </w:rPr>
        <w:t xml:space="preserve"> RJ (1998) </w:t>
      </w:r>
      <w:r w:rsidRPr="006C16A3">
        <w:rPr>
          <w:rFonts w:ascii="Times New Roman" w:hAnsi="Times New Roman" w:cs="Times New Roman"/>
          <w:sz w:val="24"/>
          <w:szCs w:val="24"/>
          <w:shd w:val="clear" w:color="auto" w:fill="FFFFFF"/>
          <w:lang w:val="en-US"/>
        </w:rPr>
        <w:t xml:space="preserve">« </w:t>
      </w:r>
      <w:r w:rsidRPr="006C16A3">
        <w:rPr>
          <w:rFonts w:ascii="Times New Roman" w:hAnsi="Times New Roman" w:cs="Times New Roman"/>
          <w:sz w:val="24"/>
          <w:szCs w:val="24"/>
          <w:lang w:val="en-US"/>
        </w:rPr>
        <w:t xml:space="preserve">Environmental regulation, investment timing, and technology choice </w:t>
      </w:r>
      <w:r w:rsidRPr="006C16A3">
        <w:rPr>
          <w:rFonts w:ascii="Times New Roman" w:hAnsi="Times New Roman" w:cs="Times New Roman"/>
          <w:sz w:val="24"/>
          <w:szCs w:val="24"/>
          <w:shd w:val="clear" w:color="auto" w:fill="FFFFFF"/>
          <w:lang w:val="en-US"/>
        </w:rPr>
        <w:t>»,</w:t>
      </w:r>
      <w:r w:rsidRPr="006C16A3">
        <w:rPr>
          <w:rFonts w:ascii="Times New Roman" w:hAnsi="Times New Roman" w:cs="Times New Roman"/>
          <w:sz w:val="24"/>
          <w:szCs w:val="24"/>
          <w:lang w:val="en-US"/>
        </w:rPr>
        <w:t xml:space="preserve"> J </w:t>
      </w:r>
      <w:proofErr w:type="spellStart"/>
      <w:r w:rsidRPr="006C16A3">
        <w:rPr>
          <w:rFonts w:ascii="Times New Roman" w:hAnsi="Times New Roman" w:cs="Times New Roman"/>
          <w:sz w:val="24"/>
          <w:szCs w:val="24"/>
          <w:lang w:val="en-US"/>
        </w:rPr>
        <w:t>Indust</w:t>
      </w:r>
      <w:proofErr w:type="spellEnd"/>
      <w:r w:rsidRPr="006C16A3">
        <w:rPr>
          <w:rFonts w:ascii="Times New Roman" w:hAnsi="Times New Roman" w:cs="Times New Roman"/>
          <w:sz w:val="24"/>
          <w:szCs w:val="24"/>
          <w:lang w:val="en-US"/>
        </w:rPr>
        <w:t xml:space="preserve"> Econ 46(2):235–256</w:t>
      </w:r>
    </w:p>
    <w:p w14:paraId="65781759" w14:textId="77777777" w:rsidR="00647174" w:rsidRPr="006C16A3" w:rsidRDefault="00647174" w:rsidP="006C16A3">
      <w:pPr>
        <w:pStyle w:val="Paragraphedeliste"/>
        <w:numPr>
          <w:ilvl w:val="0"/>
          <w:numId w:val="18"/>
        </w:numPr>
        <w:jc w:val="both"/>
        <w:rPr>
          <w:rFonts w:ascii="Times New Roman" w:hAnsi="Times New Roman" w:cs="Times New Roman"/>
          <w:sz w:val="24"/>
          <w:szCs w:val="24"/>
          <w:lang w:val="en-US"/>
        </w:rPr>
      </w:pPr>
      <w:r w:rsidRPr="006C16A3">
        <w:rPr>
          <w:rFonts w:ascii="Times New Roman" w:hAnsi="Times New Roman" w:cs="Times New Roman"/>
          <w:sz w:val="24"/>
          <w:szCs w:val="24"/>
          <w:lang w:val="en-US"/>
        </w:rPr>
        <w:t xml:space="preserve">Gray WB and </w:t>
      </w:r>
      <w:proofErr w:type="spellStart"/>
      <w:r w:rsidRPr="006C16A3">
        <w:rPr>
          <w:rFonts w:ascii="Times New Roman" w:hAnsi="Times New Roman" w:cs="Times New Roman"/>
          <w:sz w:val="24"/>
          <w:szCs w:val="24"/>
          <w:lang w:val="en-US"/>
        </w:rPr>
        <w:t>Shadbegian</w:t>
      </w:r>
      <w:proofErr w:type="spellEnd"/>
      <w:r w:rsidRPr="006C16A3">
        <w:rPr>
          <w:rFonts w:ascii="Times New Roman" w:hAnsi="Times New Roman" w:cs="Times New Roman"/>
          <w:sz w:val="24"/>
          <w:szCs w:val="24"/>
          <w:lang w:val="en-US"/>
        </w:rPr>
        <w:t xml:space="preserve"> RJ (2003), </w:t>
      </w:r>
      <w:r w:rsidRPr="006C16A3">
        <w:rPr>
          <w:rFonts w:ascii="Times New Roman" w:hAnsi="Times New Roman" w:cs="Times New Roman"/>
          <w:sz w:val="24"/>
          <w:szCs w:val="24"/>
          <w:shd w:val="clear" w:color="auto" w:fill="FFFFFF"/>
          <w:lang w:val="en-US"/>
        </w:rPr>
        <w:t>«</w:t>
      </w:r>
      <w:r w:rsidRPr="006C16A3">
        <w:rPr>
          <w:rFonts w:ascii="Times New Roman" w:hAnsi="Times New Roman" w:cs="Times New Roman"/>
          <w:sz w:val="24"/>
          <w:szCs w:val="24"/>
          <w:lang w:val="en-US"/>
        </w:rPr>
        <w:t xml:space="preserve"> Plant vintage, technology, and environmental regulation </w:t>
      </w:r>
      <w:r w:rsidRPr="006C16A3">
        <w:rPr>
          <w:rFonts w:ascii="Times New Roman" w:hAnsi="Times New Roman" w:cs="Times New Roman"/>
          <w:sz w:val="24"/>
          <w:szCs w:val="24"/>
          <w:shd w:val="clear" w:color="auto" w:fill="FFFFFF"/>
          <w:lang w:val="en-US"/>
        </w:rPr>
        <w:t>»</w:t>
      </w:r>
      <w:r w:rsidRPr="006C16A3">
        <w:rPr>
          <w:rFonts w:ascii="Times New Roman" w:hAnsi="Times New Roman" w:cs="Times New Roman"/>
          <w:sz w:val="24"/>
          <w:szCs w:val="24"/>
          <w:lang w:val="en-US"/>
        </w:rPr>
        <w:t xml:space="preserve"> J Environ Econ </w:t>
      </w:r>
      <w:proofErr w:type="spellStart"/>
      <w:r w:rsidRPr="006C16A3">
        <w:rPr>
          <w:rFonts w:ascii="Times New Roman" w:hAnsi="Times New Roman" w:cs="Times New Roman"/>
          <w:sz w:val="24"/>
          <w:szCs w:val="24"/>
          <w:lang w:val="en-US"/>
        </w:rPr>
        <w:t>Manag</w:t>
      </w:r>
      <w:proofErr w:type="spellEnd"/>
      <w:r w:rsidRPr="006C16A3">
        <w:rPr>
          <w:rFonts w:ascii="Times New Roman" w:hAnsi="Times New Roman" w:cs="Times New Roman"/>
          <w:sz w:val="24"/>
          <w:szCs w:val="24"/>
          <w:lang w:val="en-US"/>
        </w:rPr>
        <w:t xml:space="preserve"> 46(3):384–402</w:t>
      </w:r>
    </w:p>
    <w:p w14:paraId="4B24A94B" w14:textId="77777777" w:rsidR="00647174" w:rsidRPr="006C16A3" w:rsidRDefault="00647174" w:rsidP="006C16A3">
      <w:pPr>
        <w:pStyle w:val="Paragraphedeliste"/>
        <w:numPr>
          <w:ilvl w:val="0"/>
          <w:numId w:val="18"/>
        </w:numPr>
        <w:jc w:val="both"/>
        <w:rPr>
          <w:rFonts w:ascii="Times New Roman" w:hAnsi="Times New Roman" w:cs="Times New Roman"/>
          <w:sz w:val="24"/>
          <w:szCs w:val="24"/>
          <w:lang w:val="en-US"/>
        </w:rPr>
      </w:pPr>
      <w:r w:rsidRPr="006C16A3">
        <w:rPr>
          <w:rFonts w:ascii="Times New Roman" w:hAnsi="Times New Roman" w:cs="Times New Roman"/>
          <w:sz w:val="24"/>
          <w:szCs w:val="24"/>
          <w:lang w:val="en-US"/>
        </w:rPr>
        <w:t xml:space="preserve">Jaffe, A. B. and Karen Palmer (1997), </w:t>
      </w:r>
      <w:r w:rsidRPr="006C16A3">
        <w:rPr>
          <w:rFonts w:ascii="Times New Roman" w:hAnsi="Times New Roman" w:cs="Times New Roman"/>
          <w:sz w:val="24"/>
          <w:szCs w:val="24"/>
          <w:shd w:val="clear" w:color="auto" w:fill="FFFFFF"/>
          <w:lang w:val="en-US"/>
        </w:rPr>
        <w:t xml:space="preserve">« </w:t>
      </w:r>
      <w:r w:rsidRPr="006C16A3">
        <w:rPr>
          <w:rFonts w:ascii="Times New Roman" w:hAnsi="Times New Roman" w:cs="Times New Roman"/>
          <w:sz w:val="24"/>
          <w:szCs w:val="24"/>
          <w:lang w:val="en-US"/>
        </w:rPr>
        <w:t xml:space="preserve">Environmental Regulation and Innovation: A Panel Data Study </w:t>
      </w:r>
      <w:r w:rsidRPr="006C16A3">
        <w:rPr>
          <w:rFonts w:ascii="Times New Roman" w:hAnsi="Times New Roman" w:cs="Times New Roman"/>
          <w:sz w:val="24"/>
          <w:szCs w:val="24"/>
          <w:shd w:val="clear" w:color="auto" w:fill="FFFFFF"/>
          <w:lang w:val="en-US"/>
        </w:rPr>
        <w:t>»,</w:t>
      </w:r>
      <w:r w:rsidRPr="006C16A3">
        <w:rPr>
          <w:rFonts w:ascii="Times New Roman" w:hAnsi="Times New Roman" w:cs="Times New Roman"/>
          <w:sz w:val="24"/>
          <w:szCs w:val="24"/>
          <w:lang w:val="en-US"/>
        </w:rPr>
        <w:t xml:space="preserve"> Review of Economics and Statistics, vol. 79, n° 4, pp 610-619</w:t>
      </w:r>
    </w:p>
    <w:p w14:paraId="587F74AB" w14:textId="77777777" w:rsidR="00647174" w:rsidRPr="00926DF7" w:rsidRDefault="00647174" w:rsidP="00DC3D52">
      <w:pPr>
        <w:pStyle w:val="Paragraphedeliste"/>
        <w:numPr>
          <w:ilvl w:val="0"/>
          <w:numId w:val="18"/>
        </w:numPr>
        <w:spacing w:line="360" w:lineRule="auto"/>
        <w:jc w:val="both"/>
        <w:rPr>
          <w:rFonts w:ascii="Times New Roman" w:hAnsi="Times New Roman" w:cs="Times New Roman"/>
          <w:color w:val="000000"/>
          <w:sz w:val="24"/>
          <w:szCs w:val="24"/>
          <w:lang w:val="en-US"/>
        </w:rPr>
      </w:pPr>
      <w:r w:rsidRPr="00926DF7">
        <w:rPr>
          <w:rFonts w:ascii="Times New Roman" w:hAnsi="Times New Roman" w:cs="Times New Roman"/>
          <w:color w:val="000000"/>
          <w:sz w:val="24"/>
          <w:szCs w:val="24"/>
          <w:lang w:val="en-US"/>
        </w:rPr>
        <w:t xml:space="preserve">Johansen (1991) </w:t>
      </w:r>
      <w:r w:rsidRPr="00926DF7">
        <w:rPr>
          <w:rFonts w:ascii="Times New Roman" w:hAnsi="Times New Roman" w:cs="Times New Roman"/>
          <w:i/>
          <w:iCs/>
          <w:sz w:val="24"/>
          <w:szCs w:val="24"/>
          <w:lang w:val="en-US"/>
        </w:rPr>
        <w:t xml:space="preserve">Estimation and Hypothesis Testing of </w:t>
      </w:r>
      <w:proofErr w:type="spellStart"/>
      <w:r w:rsidRPr="00926DF7">
        <w:rPr>
          <w:rFonts w:ascii="Times New Roman" w:hAnsi="Times New Roman" w:cs="Times New Roman"/>
          <w:i/>
          <w:iCs/>
          <w:sz w:val="24"/>
          <w:szCs w:val="24"/>
          <w:lang w:val="en-US"/>
        </w:rPr>
        <w:t>Cointégration</w:t>
      </w:r>
      <w:proofErr w:type="spellEnd"/>
      <w:r w:rsidRPr="00926DF7">
        <w:rPr>
          <w:rFonts w:ascii="Times New Roman" w:hAnsi="Times New Roman" w:cs="Times New Roman"/>
          <w:i/>
          <w:iCs/>
          <w:sz w:val="24"/>
          <w:szCs w:val="24"/>
          <w:lang w:val="en-US"/>
        </w:rPr>
        <w:t xml:space="preserve"> Vectors in Gaussian Vector Autoregressive Models </w:t>
      </w:r>
      <w:r w:rsidRPr="00926DF7">
        <w:rPr>
          <w:rFonts w:ascii="Times New Roman" w:hAnsi="Times New Roman" w:cs="Times New Roman"/>
          <w:sz w:val="24"/>
          <w:szCs w:val="24"/>
          <w:lang w:val="en-US"/>
        </w:rPr>
        <w:t xml:space="preserve">», in </w:t>
      </w:r>
      <w:proofErr w:type="spellStart"/>
      <w:r w:rsidRPr="00926DF7">
        <w:rPr>
          <w:rFonts w:ascii="Times New Roman" w:hAnsi="Times New Roman" w:cs="Times New Roman"/>
          <w:sz w:val="24"/>
          <w:szCs w:val="24"/>
          <w:lang w:val="en-US"/>
        </w:rPr>
        <w:t>Econometrica</w:t>
      </w:r>
      <w:proofErr w:type="spellEnd"/>
      <w:r w:rsidRPr="00926DF7">
        <w:rPr>
          <w:rFonts w:ascii="Times New Roman" w:hAnsi="Times New Roman" w:cs="Times New Roman"/>
          <w:sz w:val="24"/>
          <w:szCs w:val="24"/>
          <w:lang w:val="en-US"/>
        </w:rPr>
        <w:t>, Vol.59</w:t>
      </w:r>
      <w:r>
        <w:rPr>
          <w:rFonts w:ascii="Times New Roman" w:hAnsi="Times New Roman" w:cs="Times New Roman"/>
          <w:sz w:val="24"/>
          <w:szCs w:val="24"/>
          <w:lang w:val="en-US"/>
        </w:rPr>
        <w:t>.</w:t>
      </w:r>
    </w:p>
    <w:p w14:paraId="2CAB9678" w14:textId="77777777" w:rsidR="00647174" w:rsidRDefault="00647174" w:rsidP="00DC3D52">
      <w:pPr>
        <w:pStyle w:val="Paragraphedeliste"/>
        <w:numPr>
          <w:ilvl w:val="0"/>
          <w:numId w:val="18"/>
        </w:numPr>
        <w:spacing w:line="360" w:lineRule="auto"/>
        <w:jc w:val="both"/>
        <w:rPr>
          <w:rFonts w:ascii="Times New Roman" w:hAnsi="Times New Roman" w:cs="Times New Roman"/>
          <w:sz w:val="24"/>
          <w:szCs w:val="24"/>
          <w:lang w:val="en-US"/>
        </w:rPr>
      </w:pPr>
      <w:r w:rsidRPr="00ED4EAE">
        <w:rPr>
          <w:rFonts w:ascii="Times New Roman" w:hAnsi="Times New Roman" w:cs="Times New Roman"/>
          <w:sz w:val="24"/>
          <w:szCs w:val="24"/>
          <w:lang w:val="en-US"/>
        </w:rPr>
        <w:t>Johansen Soren (1988), Statistical analysis of co</w:t>
      </w:r>
      <w:r>
        <w:rPr>
          <w:rFonts w:ascii="Times New Roman" w:hAnsi="Times New Roman" w:cs="Times New Roman"/>
          <w:sz w:val="24"/>
          <w:szCs w:val="24"/>
          <w:lang w:val="en-US"/>
        </w:rPr>
        <w:t>-</w:t>
      </w:r>
      <w:r w:rsidRPr="00ED4EAE">
        <w:rPr>
          <w:rFonts w:ascii="Times New Roman" w:hAnsi="Times New Roman" w:cs="Times New Roman"/>
          <w:sz w:val="24"/>
          <w:szCs w:val="24"/>
          <w:lang w:val="en-US"/>
        </w:rPr>
        <w:t>integration vectors. Journal of Economic Dynamics and Control, Vol. 12, Issue 2-3, 231-254.</w:t>
      </w:r>
    </w:p>
    <w:p w14:paraId="4DB844F9" w14:textId="77777777" w:rsidR="00647174" w:rsidRPr="006C16A3" w:rsidRDefault="00647174" w:rsidP="006C16A3">
      <w:pPr>
        <w:pStyle w:val="Paragraphedeliste"/>
        <w:numPr>
          <w:ilvl w:val="0"/>
          <w:numId w:val="18"/>
        </w:numPr>
        <w:jc w:val="both"/>
        <w:rPr>
          <w:rFonts w:ascii="Times New Roman" w:hAnsi="Times New Roman" w:cs="Times New Roman"/>
          <w:sz w:val="24"/>
          <w:szCs w:val="24"/>
          <w:shd w:val="clear" w:color="auto" w:fill="FFFFFF"/>
        </w:rPr>
      </w:pPr>
      <w:proofErr w:type="spellStart"/>
      <w:r w:rsidRPr="006C16A3">
        <w:rPr>
          <w:rFonts w:ascii="Times New Roman" w:hAnsi="Times New Roman" w:cs="Times New Roman"/>
          <w:sz w:val="24"/>
          <w:szCs w:val="24"/>
          <w:shd w:val="clear" w:color="auto" w:fill="FFFFFF"/>
        </w:rPr>
        <w:t>Lipsey</w:t>
      </w:r>
      <w:proofErr w:type="spellEnd"/>
      <w:r w:rsidRPr="006C16A3">
        <w:rPr>
          <w:rFonts w:ascii="Times New Roman" w:hAnsi="Times New Roman" w:cs="Times New Roman"/>
          <w:sz w:val="24"/>
          <w:szCs w:val="24"/>
          <w:shd w:val="clear" w:color="auto" w:fill="FFFFFF"/>
        </w:rPr>
        <w:t xml:space="preserve">, R.G, </w:t>
      </w:r>
      <w:proofErr w:type="spellStart"/>
      <w:r w:rsidRPr="006C16A3">
        <w:rPr>
          <w:rFonts w:ascii="Times New Roman" w:hAnsi="Times New Roman" w:cs="Times New Roman"/>
          <w:sz w:val="24"/>
          <w:szCs w:val="24"/>
          <w:shd w:val="clear" w:color="auto" w:fill="FFFFFF"/>
        </w:rPr>
        <w:t>Purvis</w:t>
      </w:r>
      <w:proofErr w:type="spellEnd"/>
      <w:r w:rsidRPr="006C16A3">
        <w:rPr>
          <w:rFonts w:ascii="Times New Roman" w:hAnsi="Times New Roman" w:cs="Times New Roman"/>
          <w:sz w:val="24"/>
          <w:szCs w:val="24"/>
          <w:shd w:val="clear" w:color="auto" w:fill="FFFFFF"/>
        </w:rPr>
        <w:t>, D.O et Steiner, P.O. (1993),</w:t>
      </w:r>
      <w:r w:rsidRPr="006C16A3">
        <w:rPr>
          <w:rStyle w:val="Accentuation"/>
          <w:rFonts w:ascii="Times New Roman" w:hAnsi="Times New Roman" w:cs="Times New Roman"/>
          <w:sz w:val="24"/>
          <w:szCs w:val="24"/>
          <w:shd w:val="clear" w:color="auto" w:fill="FFFFFF"/>
        </w:rPr>
        <w:t> Microéconomique</w:t>
      </w:r>
      <w:r w:rsidRPr="006C16A3">
        <w:rPr>
          <w:rFonts w:ascii="Times New Roman" w:hAnsi="Times New Roman" w:cs="Times New Roman"/>
          <w:sz w:val="24"/>
          <w:szCs w:val="24"/>
          <w:u w:val="single"/>
          <w:shd w:val="clear" w:color="auto" w:fill="FFFFFF"/>
        </w:rPr>
        <w:t>,</w:t>
      </w:r>
      <w:r w:rsidRPr="006C16A3">
        <w:rPr>
          <w:rFonts w:ascii="Times New Roman" w:hAnsi="Times New Roman" w:cs="Times New Roman"/>
          <w:sz w:val="24"/>
          <w:szCs w:val="24"/>
          <w:shd w:val="clear" w:color="auto" w:fill="FFFFFF"/>
        </w:rPr>
        <w:t> Montréal, Gaëtan Morin.</w:t>
      </w:r>
    </w:p>
    <w:p w14:paraId="313AD3F5" w14:textId="77777777" w:rsidR="00647174" w:rsidRPr="006C16A3" w:rsidRDefault="00647174" w:rsidP="006C16A3">
      <w:pPr>
        <w:pStyle w:val="Paragraphedeliste"/>
        <w:numPr>
          <w:ilvl w:val="0"/>
          <w:numId w:val="18"/>
        </w:numPr>
        <w:jc w:val="both"/>
        <w:rPr>
          <w:rFonts w:ascii="Times New Roman" w:hAnsi="Times New Roman" w:cs="Times New Roman"/>
          <w:sz w:val="24"/>
          <w:szCs w:val="24"/>
          <w:lang w:val="en-US"/>
        </w:rPr>
      </w:pPr>
      <w:r w:rsidRPr="006C16A3">
        <w:rPr>
          <w:rFonts w:ascii="Times New Roman" w:hAnsi="Times New Roman" w:cs="Times New Roman"/>
          <w:sz w:val="24"/>
          <w:szCs w:val="24"/>
          <w:lang w:val="en-US"/>
        </w:rPr>
        <w:t xml:space="preserve">Majumdar S. K. and Alfred A. M. (1998), </w:t>
      </w:r>
      <w:r w:rsidRPr="006C16A3">
        <w:rPr>
          <w:rFonts w:ascii="Times New Roman" w:hAnsi="Times New Roman" w:cs="Times New Roman"/>
          <w:sz w:val="24"/>
          <w:szCs w:val="24"/>
          <w:shd w:val="clear" w:color="auto" w:fill="FFFFFF"/>
          <w:lang w:val="en-US"/>
        </w:rPr>
        <w:t xml:space="preserve">« </w:t>
      </w:r>
      <w:r w:rsidRPr="006C16A3">
        <w:rPr>
          <w:rFonts w:ascii="Times New Roman" w:hAnsi="Times New Roman" w:cs="Times New Roman"/>
          <w:sz w:val="24"/>
          <w:szCs w:val="24"/>
          <w:lang w:val="en-US"/>
        </w:rPr>
        <w:t>Do Environmental Regulations Retard Productivity? Evidence from U.S. Electric Utilities</w:t>
      </w:r>
      <w:r w:rsidRPr="006C16A3">
        <w:rPr>
          <w:rFonts w:ascii="Times New Roman" w:hAnsi="Times New Roman" w:cs="Times New Roman"/>
          <w:sz w:val="24"/>
          <w:szCs w:val="24"/>
          <w:shd w:val="clear" w:color="auto" w:fill="FFFFFF"/>
          <w:lang w:val="en-US"/>
        </w:rPr>
        <w:t>»</w:t>
      </w:r>
      <w:r w:rsidRPr="006C16A3">
        <w:rPr>
          <w:rFonts w:ascii="Times New Roman" w:hAnsi="Times New Roman" w:cs="Times New Roman"/>
          <w:sz w:val="24"/>
          <w:szCs w:val="24"/>
          <w:lang w:val="en-US"/>
        </w:rPr>
        <w:t xml:space="preserve"> , University of Michigan, Business School et University of Minnesota, Carlson Scholl of Management</w:t>
      </w:r>
    </w:p>
    <w:p w14:paraId="38E22D21" w14:textId="77777777" w:rsidR="00647174" w:rsidRPr="006C16A3" w:rsidRDefault="00647174" w:rsidP="006C16A3">
      <w:pPr>
        <w:pStyle w:val="Paragraphedeliste"/>
        <w:numPr>
          <w:ilvl w:val="0"/>
          <w:numId w:val="18"/>
        </w:numPr>
        <w:jc w:val="both"/>
        <w:rPr>
          <w:rFonts w:ascii="Times New Roman" w:hAnsi="Times New Roman" w:cs="Times New Roman"/>
          <w:sz w:val="24"/>
          <w:szCs w:val="24"/>
          <w:lang w:val="en-US"/>
        </w:rPr>
      </w:pPr>
      <w:r w:rsidRPr="006C16A3">
        <w:rPr>
          <w:rFonts w:ascii="Times New Roman" w:hAnsi="Times New Roman" w:cs="Times New Roman"/>
          <w:sz w:val="24"/>
          <w:szCs w:val="24"/>
          <w:lang w:val="en-US"/>
        </w:rPr>
        <w:t xml:space="preserve">Mohr R.D. (2002), </w:t>
      </w:r>
      <w:r w:rsidRPr="006C16A3">
        <w:rPr>
          <w:rFonts w:ascii="Times New Roman" w:hAnsi="Times New Roman" w:cs="Times New Roman"/>
          <w:sz w:val="24"/>
          <w:szCs w:val="24"/>
          <w:shd w:val="clear" w:color="auto" w:fill="FFFFFF"/>
          <w:lang w:val="en-US"/>
        </w:rPr>
        <w:t xml:space="preserve">« </w:t>
      </w:r>
      <w:r w:rsidRPr="006C16A3">
        <w:rPr>
          <w:rFonts w:ascii="Times New Roman" w:hAnsi="Times New Roman" w:cs="Times New Roman"/>
          <w:sz w:val="24"/>
          <w:szCs w:val="24"/>
          <w:lang w:val="en-US"/>
        </w:rPr>
        <w:t xml:space="preserve">Technical change, external economies, and the porter hypothesis </w:t>
      </w:r>
      <w:r w:rsidRPr="006C16A3">
        <w:rPr>
          <w:rFonts w:ascii="Times New Roman" w:hAnsi="Times New Roman" w:cs="Times New Roman"/>
          <w:sz w:val="24"/>
          <w:szCs w:val="24"/>
          <w:shd w:val="clear" w:color="auto" w:fill="FFFFFF"/>
          <w:lang w:val="en-US"/>
        </w:rPr>
        <w:t>»</w:t>
      </w:r>
      <w:r w:rsidRPr="006C16A3">
        <w:rPr>
          <w:rFonts w:ascii="Times New Roman" w:hAnsi="Times New Roman" w:cs="Times New Roman"/>
          <w:sz w:val="24"/>
          <w:szCs w:val="24"/>
          <w:lang w:val="en-US"/>
        </w:rPr>
        <w:t xml:space="preserve">, J Environ Econ </w:t>
      </w:r>
      <w:proofErr w:type="spellStart"/>
      <w:r w:rsidRPr="006C16A3">
        <w:rPr>
          <w:rFonts w:ascii="Times New Roman" w:hAnsi="Times New Roman" w:cs="Times New Roman"/>
          <w:sz w:val="24"/>
          <w:szCs w:val="24"/>
          <w:lang w:val="en-US"/>
        </w:rPr>
        <w:t>Manag</w:t>
      </w:r>
      <w:proofErr w:type="spellEnd"/>
      <w:r w:rsidRPr="006C16A3">
        <w:rPr>
          <w:rFonts w:ascii="Times New Roman" w:hAnsi="Times New Roman" w:cs="Times New Roman"/>
          <w:sz w:val="24"/>
          <w:szCs w:val="24"/>
          <w:lang w:val="en-US"/>
        </w:rPr>
        <w:t xml:space="preserve"> 43(1):158–168.</w:t>
      </w:r>
    </w:p>
    <w:p w14:paraId="57EA1DA2" w14:textId="77777777" w:rsidR="00647174" w:rsidRPr="00647174" w:rsidRDefault="00647174" w:rsidP="00647174">
      <w:pPr>
        <w:pStyle w:val="Paragraphedeliste"/>
        <w:numPr>
          <w:ilvl w:val="0"/>
          <w:numId w:val="18"/>
        </w:numPr>
        <w:jc w:val="both"/>
        <w:rPr>
          <w:rFonts w:ascii="Times New Roman" w:hAnsi="Times New Roman" w:cs="Times New Roman"/>
          <w:sz w:val="24"/>
          <w:szCs w:val="24"/>
          <w:lang w:val="en-US"/>
        </w:rPr>
      </w:pPr>
      <w:r w:rsidRPr="00192243">
        <w:rPr>
          <w:rFonts w:ascii="Times New Roman" w:hAnsi="Times New Roman" w:cs="Times New Roman"/>
          <w:sz w:val="24"/>
          <w:szCs w:val="24"/>
          <w:lang w:val="en-US"/>
        </w:rPr>
        <w:t xml:space="preserve">Narayan P.K. (2004), “Reformulating critical values for the bounds F-statistics approach to cointegration: an application to the tourism demand model for Fiji,” Discussion Paper No. 02/04, Department of Economics, Monash University, Australia. </w:t>
      </w:r>
    </w:p>
    <w:p w14:paraId="4B7FB71A" w14:textId="77777777" w:rsidR="00647174" w:rsidRPr="006C16A3" w:rsidRDefault="00647174" w:rsidP="006C16A3">
      <w:pPr>
        <w:pStyle w:val="Paragraphedeliste"/>
        <w:numPr>
          <w:ilvl w:val="0"/>
          <w:numId w:val="18"/>
        </w:numPr>
        <w:jc w:val="both"/>
        <w:rPr>
          <w:rFonts w:ascii="Times New Roman" w:hAnsi="Times New Roman" w:cs="Times New Roman"/>
          <w:sz w:val="24"/>
          <w:szCs w:val="24"/>
        </w:rPr>
      </w:pPr>
      <w:bookmarkStart w:id="48" w:name="_Hlk70949075"/>
      <w:r w:rsidRPr="006C16A3">
        <w:rPr>
          <w:rFonts w:ascii="Times New Roman" w:hAnsi="Times New Roman" w:cs="Times New Roman"/>
          <w:sz w:val="24"/>
          <w:szCs w:val="24"/>
        </w:rPr>
        <w:t>Observatoire de la Mobilité en Ile de France, Les Transports en commun en chiffres, Edition 2011.</w:t>
      </w:r>
      <w:bookmarkEnd w:id="48"/>
    </w:p>
    <w:p w14:paraId="7DA045D2" w14:textId="77777777" w:rsidR="00647174" w:rsidRPr="006C16A3" w:rsidRDefault="00647174" w:rsidP="006C16A3">
      <w:pPr>
        <w:pStyle w:val="Paragraphedeliste"/>
        <w:numPr>
          <w:ilvl w:val="0"/>
          <w:numId w:val="18"/>
        </w:numPr>
        <w:jc w:val="both"/>
        <w:rPr>
          <w:rFonts w:ascii="Times New Roman" w:hAnsi="Times New Roman" w:cs="Times New Roman"/>
          <w:sz w:val="24"/>
          <w:szCs w:val="24"/>
          <w:lang w:val="en-US"/>
        </w:rPr>
      </w:pPr>
      <w:r w:rsidRPr="006C16A3">
        <w:rPr>
          <w:rFonts w:ascii="Times New Roman" w:hAnsi="Times New Roman" w:cs="Times New Roman"/>
          <w:sz w:val="24"/>
          <w:szCs w:val="24"/>
          <w:lang w:val="en-US"/>
        </w:rPr>
        <w:t xml:space="preserve">Palmer K., Wallace E. O. and Paul P. (1995), </w:t>
      </w:r>
      <w:r w:rsidRPr="006C16A3">
        <w:rPr>
          <w:rFonts w:ascii="Times New Roman" w:hAnsi="Times New Roman" w:cs="Times New Roman"/>
          <w:sz w:val="24"/>
          <w:szCs w:val="24"/>
          <w:shd w:val="clear" w:color="auto" w:fill="FFFFFF"/>
          <w:lang w:val="en-US"/>
        </w:rPr>
        <w:t xml:space="preserve">« </w:t>
      </w:r>
      <w:r w:rsidRPr="006C16A3">
        <w:rPr>
          <w:rFonts w:ascii="Times New Roman" w:hAnsi="Times New Roman" w:cs="Times New Roman"/>
          <w:sz w:val="24"/>
          <w:szCs w:val="24"/>
          <w:lang w:val="en-US"/>
        </w:rPr>
        <w:t xml:space="preserve">Tightening Environmental Standards: The benefit-Cost or the No-Cost Paradigm </w:t>
      </w:r>
      <w:r w:rsidRPr="006C16A3">
        <w:rPr>
          <w:rFonts w:ascii="Times New Roman" w:hAnsi="Times New Roman" w:cs="Times New Roman"/>
          <w:sz w:val="24"/>
          <w:szCs w:val="24"/>
          <w:shd w:val="clear" w:color="auto" w:fill="FFFFFF"/>
          <w:lang w:val="en-US"/>
        </w:rPr>
        <w:t>»,</w:t>
      </w:r>
      <w:r w:rsidRPr="006C16A3">
        <w:rPr>
          <w:rFonts w:ascii="Times New Roman" w:hAnsi="Times New Roman" w:cs="Times New Roman"/>
          <w:sz w:val="24"/>
          <w:szCs w:val="24"/>
          <w:lang w:val="en-US"/>
        </w:rPr>
        <w:t xml:space="preserve"> Journal of Economic Perspectives, 9, 119-131.</w:t>
      </w:r>
    </w:p>
    <w:p w14:paraId="08A38047" w14:textId="77777777" w:rsidR="00647174" w:rsidRPr="006C16A3" w:rsidRDefault="00647174" w:rsidP="006C16A3">
      <w:pPr>
        <w:pStyle w:val="Paragraphedeliste"/>
        <w:numPr>
          <w:ilvl w:val="0"/>
          <w:numId w:val="18"/>
        </w:numPr>
        <w:rPr>
          <w:rFonts w:ascii="Times New Roman" w:hAnsi="Times New Roman" w:cs="Times New Roman"/>
          <w:sz w:val="24"/>
          <w:szCs w:val="24"/>
        </w:rPr>
      </w:pPr>
      <w:r w:rsidRPr="006C16A3">
        <w:rPr>
          <w:rFonts w:ascii="Times New Roman" w:hAnsi="Times New Roman" w:cs="Times New Roman"/>
          <w:sz w:val="24"/>
          <w:szCs w:val="24"/>
        </w:rPr>
        <w:t>Pascale D. (2011),« Notion de rentabilité financière et logique de choix dans les services publics : le cas des choix d’investissement dans quatre services publics municipaux », Thèse de doctorat, Conservatoire nationale des Arts et métiers.</w:t>
      </w:r>
    </w:p>
    <w:p w14:paraId="037CE85B" w14:textId="77777777" w:rsidR="00647174" w:rsidRPr="006C16A3" w:rsidRDefault="00647174" w:rsidP="006C16A3">
      <w:pPr>
        <w:pStyle w:val="Paragraphedeliste"/>
        <w:numPr>
          <w:ilvl w:val="0"/>
          <w:numId w:val="18"/>
        </w:numPr>
        <w:jc w:val="both"/>
        <w:rPr>
          <w:rFonts w:ascii="Times New Roman" w:eastAsia="Times New Roman" w:hAnsi="Times New Roman" w:cs="Times New Roman"/>
          <w:sz w:val="24"/>
          <w:szCs w:val="24"/>
          <w:lang w:eastAsia="fr-FR"/>
        </w:rPr>
      </w:pPr>
      <w:r w:rsidRPr="006C16A3">
        <w:rPr>
          <w:rFonts w:ascii="Times New Roman" w:hAnsi="Times New Roman" w:cs="Times New Roman"/>
          <w:sz w:val="24"/>
          <w:szCs w:val="24"/>
          <w:shd w:val="clear" w:color="auto" w:fill="FFFFFF"/>
        </w:rPr>
        <w:t>Pasquero, J. (1980), </w:t>
      </w:r>
      <w:r w:rsidRPr="006C16A3">
        <w:rPr>
          <w:rFonts w:ascii="Times New Roman" w:hAnsi="Times New Roman" w:cs="Times New Roman"/>
          <w:sz w:val="24"/>
          <w:szCs w:val="24"/>
        </w:rPr>
        <w:t xml:space="preserve">«  </w:t>
      </w:r>
      <w:r w:rsidRPr="006C16A3">
        <w:rPr>
          <w:rStyle w:val="Accentuation"/>
          <w:rFonts w:ascii="Times New Roman" w:hAnsi="Times New Roman" w:cs="Times New Roman"/>
          <w:sz w:val="24"/>
          <w:szCs w:val="24"/>
          <w:shd w:val="clear" w:color="auto" w:fill="FFFFFF"/>
        </w:rPr>
        <w:t>L'entreprise face aux pressions sociopolitiques de son environnement</w:t>
      </w:r>
      <w:r w:rsidRPr="006C16A3">
        <w:rPr>
          <w:rFonts w:ascii="Times New Roman" w:hAnsi="Times New Roman" w:cs="Times New Roman"/>
          <w:sz w:val="24"/>
          <w:szCs w:val="24"/>
          <w:shd w:val="clear" w:color="auto" w:fill="FFFFFF"/>
        </w:rPr>
        <w:t xml:space="preserve">, thèse de doctorat </w:t>
      </w:r>
      <w:r w:rsidRPr="006C16A3">
        <w:rPr>
          <w:rFonts w:ascii="Times New Roman" w:hAnsi="Times New Roman" w:cs="Times New Roman"/>
          <w:sz w:val="24"/>
          <w:szCs w:val="24"/>
        </w:rPr>
        <w:t>»</w:t>
      </w:r>
      <w:r w:rsidRPr="006C16A3">
        <w:rPr>
          <w:rFonts w:ascii="Times New Roman" w:hAnsi="Times New Roman" w:cs="Times New Roman"/>
          <w:sz w:val="24"/>
          <w:szCs w:val="24"/>
          <w:shd w:val="clear" w:color="auto" w:fill="FFFFFF"/>
        </w:rPr>
        <w:t>, Université des Sciences Sociales de Grenoble, Institut d'Administration des Entreprises.</w:t>
      </w:r>
    </w:p>
    <w:p w14:paraId="69EAA640" w14:textId="77777777" w:rsidR="00647174" w:rsidRPr="00FA6FA0" w:rsidRDefault="00647174" w:rsidP="00DC3D52">
      <w:pPr>
        <w:pStyle w:val="Paragraphedeliste"/>
        <w:numPr>
          <w:ilvl w:val="0"/>
          <w:numId w:val="18"/>
        </w:numPr>
        <w:spacing w:line="360" w:lineRule="auto"/>
        <w:jc w:val="both"/>
        <w:rPr>
          <w:rFonts w:ascii="Times New Roman" w:hAnsi="Times New Roman" w:cs="Times New Roman"/>
          <w:sz w:val="24"/>
          <w:lang w:val="en-US"/>
        </w:rPr>
      </w:pPr>
      <w:proofErr w:type="spellStart"/>
      <w:r w:rsidRPr="00FA6FA0">
        <w:rPr>
          <w:rFonts w:ascii="Times New Roman" w:hAnsi="Times New Roman" w:cs="Times New Roman"/>
          <w:sz w:val="24"/>
          <w:lang w:val="en-US"/>
        </w:rPr>
        <w:t>Pesaran</w:t>
      </w:r>
      <w:proofErr w:type="spellEnd"/>
      <w:r w:rsidRPr="00FA6FA0">
        <w:rPr>
          <w:rFonts w:ascii="Times New Roman" w:hAnsi="Times New Roman" w:cs="Times New Roman"/>
          <w:sz w:val="24"/>
          <w:lang w:val="en-US"/>
        </w:rPr>
        <w:t xml:space="preserve"> M.H., Shin Y. &amp; Smith R.J. (2001), “Bounds Testing Approaches to the Analysis of Level Relationships”, in Journal of Applied Econometrics, vol.16, no</w:t>
      </w:r>
      <w:r>
        <w:rPr>
          <w:rFonts w:ascii="Times New Roman" w:hAnsi="Times New Roman" w:cs="Times New Roman"/>
          <w:sz w:val="24"/>
          <w:lang w:val="en-US"/>
        </w:rPr>
        <w:t xml:space="preserve">3, pp. 289-326. </w:t>
      </w:r>
    </w:p>
    <w:p w14:paraId="69F8D21E" w14:textId="77777777" w:rsidR="00647174" w:rsidRPr="006C16A3" w:rsidRDefault="00647174" w:rsidP="006C16A3">
      <w:pPr>
        <w:pStyle w:val="Paragraphedeliste"/>
        <w:numPr>
          <w:ilvl w:val="0"/>
          <w:numId w:val="18"/>
        </w:numPr>
        <w:jc w:val="both"/>
        <w:rPr>
          <w:rFonts w:ascii="Times New Roman" w:hAnsi="Times New Roman" w:cs="Times New Roman"/>
          <w:sz w:val="24"/>
          <w:szCs w:val="24"/>
          <w:lang w:val="en-US"/>
        </w:rPr>
      </w:pPr>
      <w:r w:rsidRPr="006C16A3">
        <w:rPr>
          <w:rFonts w:ascii="Times New Roman" w:hAnsi="Times New Roman" w:cs="Times New Roman"/>
          <w:sz w:val="24"/>
          <w:szCs w:val="24"/>
          <w:lang w:val="en-US"/>
        </w:rPr>
        <w:t>Porter, Michael (1991), « American's Green Strategy », Scientific American, 264, 168.</w:t>
      </w:r>
    </w:p>
    <w:p w14:paraId="09A1C62F" w14:textId="77777777" w:rsidR="00647174" w:rsidRPr="006C16A3" w:rsidRDefault="00647174" w:rsidP="006C16A3">
      <w:pPr>
        <w:pStyle w:val="Paragraphedeliste"/>
        <w:numPr>
          <w:ilvl w:val="0"/>
          <w:numId w:val="18"/>
        </w:numPr>
        <w:jc w:val="both"/>
        <w:rPr>
          <w:rFonts w:ascii="Times New Roman" w:hAnsi="Times New Roman" w:cs="Times New Roman"/>
          <w:sz w:val="24"/>
          <w:szCs w:val="24"/>
          <w:lang w:val="en-US"/>
        </w:rPr>
      </w:pPr>
      <w:r w:rsidRPr="006C16A3">
        <w:rPr>
          <w:rFonts w:ascii="Times New Roman" w:hAnsi="Times New Roman" w:cs="Times New Roman"/>
          <w:sz w:val="24"/>
          <w:szCs w:val="24"/>
          <w:lang w:val="en-US"/>
        </w:rPr>
        <w:t xml:space="preserve">Porter, Michael E. et </w:t>
      </w:r>
      <w:proofErr w:type="spellStart"/>
      <w:r w:rsidRPr="006C16A3">
        <w:rPr>
          <w:rFonts w:ascii="Times New Roman" w:hAnsi="Times New Roman" w:cs="Times New Roman"/>
          <w:sz w:val="24"/>
          <w:szCs w:val="24"/>
          <w:lang w:val="en-US"/>
        </w:rPr>
        <w:t>Claas</w:t>
      </w:r>
      <w:proofErr w:type="spellEnd"/>
      <w:r w:rsidRPr="006C16A3">
        <w:rPr>
          <w:rFonts w:ascii="Times New Roman" w:hAnsi="Times New Roman" w:cs="Times New Roman"/>
          <w:sz w:val="24"/>
          <w:szCs w:val="24"/>
          <w:lang w:val="en-US"/>
        </w:rPr>
        <w:t xml:space="preserve"> van der Linde (1995), « Towards a New Conception of the Environmental- Competitiveness Relationship », Journal of Economic Perspectives, 9, 97-118.</w:t>
      </w:r>
    </w:p>
    <w:p w14:paraId="1E3CA12A" w14:textId="77777777" w:rsidR="00647174" w:rsidRPr="006C16A3" w:rsidRDefault="00647174" w:rsidP="006C16A3">
      <w:pPr>
        <w:pStyle w:val="Paragraphedeliste"/>
        <w:numPr>
          <w:ilvl w:val="0"/>
          <w:numId w:val="18"/>
        </w:numPr>
        <w:jc w:val="both"/>
        <w:rPr>
          <w:rFonts w:ascii="Times New Roman" w:hAnsi="Times New Roman" w:cs="Times New Roman"/>
          <w:sz w:val="24"/>
          <w:szCs w:val="24"/>
          <w:shd w:val="clear" w:color="auto" w:fill="FFFFFF"/>
        </w:rPr>
      </w:pPr>
      <w:r w:rsidRPr="006C16A3">
        <w:rPr>
          <w:rFonts w:ascii="Times New Roman" w:hAnsi="Times New Roman" w:cs="Times New Roman"/>
          <w:sz w:val="24"/>
          <w:szCs w:val="24"/>
          <w:shd w:val="clear" w:color="auto" w:fill="FFFFFF"/>
        </w:rPr>
        <w:t>Prud’homme R. (1980), </w:t>
      </w:r>
      <w:r w:rsidRPr="006C16A3">
        <w:rPr>
          <w:rStyle w:val="Accentuation"/>
          <w:rFonts w:ascii="Times New Roman" w:hAnsi="Times New Roman" w:cs="Times New Roman"/>
          <w:sz w:val="24"/>
          <w:szCs w:val="24"/>
          <w:shd w:val="clear" w:color="auto" w:fill="FFFFFF"/>
        </w:rPr>
        <w:t>Le Ménagement de la Nature: des politiques contre la pollution</w:t>
      </w:r>
      <w:r w:rsidRPr="006C16A3">
        <w:rPr>
          <w:rFonts w:ascii="Times New Roman" w:hAnsi="Times New Roman" w:cs="Times New Roman"/>
          <w:sz w:val="24"/>
          <w:szCs w:val="24"/>
          <w:shd w:val="clear" w:color="auto" w:fill="FFFFFF"/>
        </w:rPr>
        <w:t>, Paris, Dunod.</w:t>
      </w:r>
    </w:p>
    <w:p w14:paraId="16FF828E" w14:textId="77777777" w:rsidR="00647174" w:rsidRPr="00192243" w:rsidRDefault="00647174" w:rsidP="00DC3D52">
      <w:pPr>
        <w:pStyle w:val="Paragraphedeliste"/>
        <w:numPr>
          <w:ilvl w:val="0"/>
          <w:numId w:val="18"/>
        </w:numPr>
        <w:jc w:val="both"/>
        <w:rPr>
          <w:rFonts w:ascii="Times New Roman" w:hAnsi="Times New Roman" w:cs="Times New Roman"/>
          <w:sz w:val="24"/>
          <w:szCs w:val="24"/>
          <w:lang w:val="en-US"/>
        </w:rPr>
      </w:pPr>
      <w:r w:rsidRPr="00192243">
        <w:rPr>
          <w:rFonts w:ascii="Times New Roman" w:hAnsi="Times New Roman" w:cs="Times New Roman"/>
          <w:sz w:val="24"/>
          <w:szCs w:val="24"/>
          <w:lang w:val="en-US"/>
        </w:rPr>
        <w:t>Quadratic minimization. Journal of the American Statistical Association, 66:99–102, Mar. 1971. [p80].</w:t>
      </w:r>
    </w:p>
    <w:p w14:paraId="63404133" w14:textId="6F5CC82D" w:rsidR="00647174" w:rsidRPr="00192243" w:rsidRDefault="00647174" w:rsidP="00DC3D52">
      <w:pPr>
        <w:pStyle w:val="Paragraphedeliste"/>
        <w:numPr>
          <w:ilvl w:val="0"/>
          <w:numId w:val="18"/>
        </w:numPr>
        <w:jc w:val="both"/>
        <w:rPr>
          <w:rFonts w:ascii="Times New Roman" w:hAnsi="Times New Roman" w:cs="Times New Roman"/>
          <w:sz w:val="24"/>
          <w:szCs w:val="24"/>
          <w:lang w:val="en-US"/>
        </w:rPr>
      </w:pPr>
      <w:r w:rsidRPr="00192243">
        <w:rPr>
          <w:rFonts w:ascii="Times New Roman" w:hAnsi="Times New Roman" w:cs="Times New Roman"/>
          <w:sz w:val="24"/>
          <w:szCs w:val="24"/>
          <w:lang w:val="en-US"/>
        </w:rPr>
        <w:lastRenderedPageBreak/>
        <w:t xml:space="preserve">R. B. Fernández. </w:t>
      </w:r>
      <w:r w:rsidR="00D01367">
        <w:rPr>
          <w:rFonts w:ascii="Times New Roman" w:hAnsi="Times New Roman" w:cs="Times New Roman"/>
          <w:sz w:val="24"/>
          <w:szCs w:val="24"/>
          <w:lang w:val="en-US"/>
        </w:rPr>
        <w:t xml:space="preserve">(1980), </w:t>
      </w:r>
      <w:r w:rsidR="00D01367" w:rsidRPr="006C16A3">
        <w:rPr>
          <w:rFonts w:ascii="Times New Roman" w:hAnsi="Times New Roman" w:cs="Times New Roman"/>
          <w:sz w:val="24"/>
          <w:szCs w:val="24"/>
          <w:lang w:val="en-US"/>
        </w:rPr>
        <w:t>«</w:t>
      </w:r>
      <w:r w:rsidR="00D01367">
        <w:rPr>
          <w:rFonts w:ascii="Times New Roman" w:hAnsi="Times New Roman" w:cs="Times New Roman"/>
          <w:sz w:val="24"/>
          <w:szCs w:val="24"/>
          <w:lang w:val="en-US"/>
        </w:rPr>
        <w:t xml:space="preserve"> </w:t>
      </w:r>
      <w:r w:rsidRPr="00192243">
        <w:rPr>
          <w:rFonts w:ascii="Times New Roman" w:hAnsi="Times New Roman" w:cs="Times New Roman"/>
          <w:sz w:val="24"/>
          <w:szCs w:val="24"/>
          <w:lang w:val="en-US"/>
        </w:rPr>
        <w:t>A methodological note on the estimation of time series</w:t>
      </w:r>
      <w:r w:rsidR="00D01367">
        <w:rPr>
          <w:rFonts w:ascii="Times New Roman" w:hAnsi="Times New Roman" w:cs="Times New Roman"/>
          <w:sz w:val="24"/>
          <w:szCs w:val="24"/>
          <w:lang w:val="en-US"/>
        </w:rPr>
        <w:t xml:space="preserve"> </w:t>
      </w:r>
      <w:r w:rsidR="00D01367" w:rsidRPr="006C16A3">
        <w:rPr>
          <w:rFonts w:ascii="Times New Roman" w:hAnsi="Times New Roman" w:cs="Times New Roman"/>
          <w:sz w:val="24"/>
          <w:szCs w:val="24"/>
          <w:lang w:val="en-US"/>
        </w:rPr>
        <w:t>»</w:t>
      </w:r>
      <w:r w:rsidR="00D01367">
        <w:rPr>
          <w:rFonts w:ascii="Times New Roman" w:hAnsi="Times New Roman" w:cs="Times New Roman"/>
          <w:sz w:val="24"/>
          <w:szCs w:val="24"/>
          <w:lang w:val="en-US"/>
        </w:rPr>
        <w:t xml:space="preserve">, </w:t>
      </w:r>
      <w:r w:rsidRPr="00192243">
        <w:rPr>
          <w:rFonts w:ascii="Times New Roman" w:hAnsi="Times New Roman" w:cs="Times New Roman"/>
          <w:sz w:val="24"/>
          <w:szCs w:val="24"/>
          <w:lang w:val="en-US"/>
        </w:rPr>
        <w:t>The Review of Economics and Statistics, 63(3):471–476. [p80].</w:t>
      </w:r>
    </w:p>
    <w:p w14:paraId="33122389" w14:textId="408C982E" w:rsidR="00647174" w:rsidRPr="00192243" w:rsidRDefault="00647174" w:rsidP="00DC3D52">
      <w:pPr>
        <w:pStyle w:val="Paragraphedeliste"/>
        <w:numPr>
          <w:ilvl w:val="0"/>
          <w:numId w:val="18"/>
        </w:numPr>
        <w:jc w:val="both"/>
        <w:rPr>
          <w:rFonts w:ascii="Times New Roman" w:hAnsi="Times New Roman" w:cs="Times New Roman"/>
          <w:sz w:val="24"/>
          <w:szCs w:val="24"/>
          <w:lang w:val="en-US"/>
        </w:rPr>
      </w:pPr>
      <w:r w:rsidRPr="00192243">
        <w:rPr>
          <w:rFonts w:ascii="Times New Roman" w:hAnsi="Times New Roman" w:cs="Times New Roman"/>
          <w:sz w:val="24"/>
          <w:szCs w:val="24"/>
          <w:lang w:val="en-US"/>
        </w:rPr>
        <w:t xml:space="preserve">R. B. </w:t>
      </w:r>
      <w:proofErr w:type="spellStart"/>
      <w:r w:rsidRPr="00192243">
        <w:rPr>
          <w:rFonts w:ascii="Times New Roman" w:hAnsi="Times New Roman" w:cs="Times New Roman"/>
          <w:sz w:val="24"/>
          <w:szCs w:val="24"/>
          <w:lang w:val="en-US"/>
        </w:rPr>
        <w:t>Litterman</w:t>
      </w:r>
      <w:proofErr w:type="spellEnd"/>
      <w:r w:rsidRPr="00192243">
        <w:rPr>
          <w:rFonts w:ascii="Times New Roman" w:hAnsi="Times New Roman" w:cs="Times New Roman"/>
          <w:sz w:val="24"/>
          <w:szCs w:val="24"/>
          <w:lang w:val="en-US"/>
        </w:rPr>
        <w:t>.</w:t>
      </w:r>
      <w:r w:rsidR="001E3786">
        <w:rPr>
          <w:rFonts w:ascii="Times New Roman" w:hAnsi="Times New Roman" w:cs="Times New Roman"/>
          <w:sz w:val="24"/>
          <w:szCs w:val="24"/>
          <w:lang w:val="en-US"/>
        </w:rPr>
        <w:t xml:space="preserve"> (</w:t>
      </w:r>
      <w:r w:rsidR="001E3786" w:rsidRPr="00192243">
        <w:rPr>
          <w:rFonts w:ascii="Times New Roman" w:hAnsi="Times New Roman" w:cs="Times New Roman"/>
          <w:sz w:val="24"/>
          <w:szCs w:val="24"/>
          <w:lang w:val="en-US"/>
        </w:rPr>
        <w:t>1983</w:t>
      </w:r>
      <w:r w:rsidR="001E3786">
        <w:rPr>
          <w:rFonts w:ascii="Times New Roman" w:hAnsi="Times New Roman" w:cs="Times New Roman"/>
          <w:sz w:val="24"/>
          <w:szCs w:val="24"/>
          <w:lang w:val="en-US"/>
        </w:rPr>
        <w:t xml:space="preserve">), </w:t>
      </w:r>
      <w:r w:rsidRPr="00192243">
        <w:rPr>
          <w:rFonts w:ascii="Times New Roman" w:hAnsi="Times New Roman" w:cs="Times New Roman"/>
          <w:sz w:val="24"/>
          <w:szCs w:val="24"/>
          <w:lang w:val="en-US"/>
        </w:rPr>
        <w:t xml:space="preserve"> </w:t>
      </w:r>
      <w:r w:rsidR="00D01367" w:rsidRPr="006C16A3">
        <w:rPr>
          <w:rFonts w:ascii="Times New Roman" w:hAnsi="Times New Roman" w:cs="Times New Roman"/>
          <w:sz w:val="24"/>
          <w:szCs w:val="24"/>
          <w:lang w:val="en-US"/>
        </w:rPr>
        <w:t>«</w:t>
      </w:r>
      <w:r w:rsidR="00D01367">
        <w:rPr>
          <w:rFonts w:ascii="Times New Roman" w:hAnsi="Times New Roman" w:cs="Times New Roman"/>
          <w:sz w:val="24"/>
          <w:szCs w:val="24"/>
          <w:lang w:val="en-US"/>
        </w:rPr>
        <w:t xml:space="preserve"> </w:t>
      </w:r>
      <w:r w:rsidRPr="00192243">
        <w:rPr>
          <w:rFonts w:ascii="Times New Roman" w:hAnsi="Times New Roman" w:cs="Times New Roman"/>
          <w:sz w:val="24"/>
          <w:szCs w:val="24"/>
          <w:lang w:val="en-US"/>
        </w:rPr>
        <w:t>A random walk, Markov model for the distribution of time series</w:t>
      </w:r>
      <w:r w:rsidR="00D01367">
        <w:rPr>
          <w:rFonts w:ascii="Times New Roman" w:hAnsi="Times New Roman" w:cs="Times New Roman"/>
          <w:sz w:val="24"/>
          <w:szCs w:val="24"/>
          <w:lang w:val="en-US"/>
        </w:rPr>
        <w:t xml:space="preserve"> </w:t>
      </w:r>
      <w:r w:rsidR="00D01367" w:rsidRPr="006C16A3">
        <w:rPr>
          <w:rFonts w:ascii="Times New Roman" w:hAnsi="Times New Roman" w:cs="Times New Roman"/>
          <w:sz w:val="24"/>
          <w:szCs w:val="24"/>
          <w:lang w:val="en-US"/>
        </w:rPr>
        <w:t>»</w:t>
      </w:r>
      <w:r w:rsidR="00D01367">
        <w:rPr>
          <w:rFonts w:ascii="Times New Roman" w:hAnsi="Times New Roman" w:cs="Times New Roman"/>
          <w:sz w:val="24"/>
          <w:szCs w:val="24"/>
          <w:lang w:val="en-US"/>
        </w:rPr>
        <w:t>,</w:t>
      </w:r>
      <w:r w:rsidRPr="00192243">
        <w:rPr>
          <w:rFonts w:ascii="Times New Roman" w:hAnsi="Times New Roman" w:cs="Times New Roman"/>
          <w:sz w:val="24"/>
          <w:szCs w:val="24"/>
          <w:lang w:val="en-US"/>
        </w:rPr>
        <w:t xml:space="preserve"> Journal of Business &amp; Economic Statistics, 1(2):169–173. [p80]</w:t>
      </w:r>
      <w:r w:rsidR="00D01367">
        <w:rPr>
          <w:rFonts w:ascii="Times New Roman" w:hAnsi="Times New Roman" w:cs="Times New Roman"/>
          <w:sz w:val="24"/>
          <w:szCs w:val="24"/>
          <w:lang w:val="en-US"/>
        </w:rPr>
        <w:t>.</w:t>
      </w:r>
    </w:p>
    <w:p w14:paraId="59EA08B9" w14:textId="77777777" w:rsidR="00647174" w:rsidRPr="006C16A3" w:rsidRDefault="00647174" w:rsidP="006C16A3">
      <w:pPr>
        <w:pStyle w:val="Paragraphedeliste"/>
        <w:numPr>
          <w:ilvl w:val="0"/>
          <w:numId w:val="18"/>
        </w:numPr>
        <w:jc w:val="both"/>
        <w:rPr>
          <w:rFonts w:ascii="Times New Roman" w:hAnsi="Times New Roman" w:cs="Times New Roman"/>
          <w:sz w:val="24"/>
          <w:szCs w:val="24"/>
          <w:lang w:val="en-US"/>
        </w:rPr>
      </w:pPr>
      <w:proofErr w:type="spellStart"/>
      <w:r w:rsidRPr="006C16A3">
        <w:rPr>
          <w:rFonts w:ascii="Times New Roman" w:hAnsi="Times New Roman" w:cs="Times New Roman"/>
          <w:sz w:val="24"/>
          <w:szCs w:val="24"/>
          <w:lang w:val="en-US"/>
        </w:rPr>
        <w:t>Rexhäuser</w:t>
      </w:r>
      <w:proofErr w:type="spellEnd"/>
      <w:r w:rsidRPr="006C16A3">
        <w:rPr>
          <w:rFonts w:ascii="Times New Roman" w:hAnsi="Times New Roman" w:cs="Times New Roman"/>
          <w:sz w:val="24"/>
          <w:szCs w:val="24"/>
          <w:lang w:val="en-US"/>
        </w:rPr>
        <w:t xml:space="preserve"> S. and Rammer C. (2013), </w:t>
      </w:r>
      <w:r w:rsidRPr="006C16A3">
        <w:rPr>
          <w:rFonts w:ascii="Times New Roman" w:hAnsi="Times New Roman" w:cs="Times New Roman"/>
          <w:sz w:val="24"/>
          <w:szCs w:val="24"/>
          <w:shd w:val="clear" w:color="auto" w:fill="FFFFFF"/>
          <w:lang w:val="en-US"/>
        </w:rPr>
        <w:t>« Environmental</w:t>
      </w:r>
      <w:r w:rsidRPr="006C16A3">
        <w:rPr>
          <w:rFonts w:ascii="Times New Roman" w:hAnsi="Times New Roman" w:cs="Times New Roman"/>
          <w:sz w:val="24"/>
          <w:szCs w:val="24"/>
          <w:lang w:val="en-US"/>
        </w:rPr>
        <w:t xml:space="preserve"> Innovations and Firm Profitability: Unmasking the Porter Hypothesis », Springer, Germany.</w:t>
      </w:r>
    </w:p>
    <w:p w14:paraId="025D85C4" w14:textId="77777777" w:rsidR="00647174" w:rsidRPr="006C16A3" w:rsidRDefault="00647174" w:rsidP="006C16A3">
      <w:pPr>
        <w:pStyle w:val="Paragraphedeliste"/>
        <w:numPr>
          <w:ilvl w:val="0"/>
          <w:numId w:val="18"/>
        </w:numPr>
        <w:jc w:val="both"/>
        <w:rPr>
          <w:rFonts w:ascii="Times New Roman" w:hAnsi="Times New Roman" w:cs="Times New Roman"/>
          <w:sz w:val="24"/>
          <w:szCs w:val="24"/>
          <w:lang w:val="en-US"/>
        </w:rPr>
      </w:pPr>
      <w:proofErr w:type="spellStart"/>
      <w:r w:rsidRPr="006C16A3">
        <w:rPr>
          <w:rFonts w:ascii="Times New Roman" w:hAnsi="Times New Roman" w:cs="Times New Roman"/>
          <w:sz w:val="24"/>
          <w:szCs w:val="24"/>
          <w:lang w:val="en-US"/>
        </w:rPr>
        <w:t>Shadbegian</w:t>
      </w:r>
      <w:proofErr w:type="spellEnd"/>
      <w:r w:rsidRPr="006C16A3">
        <w:rPr>
          <w:rFonts w:ascii="Times New Roman" w:hAnsi="Times New Roman" w:cs="Times New Roman"/>
          <w:sz w:val="24"/>
          <w:szCs w:val="24"/>
          <w:lang w:val="en-US"/>
        </w:rPr>
        <w:t xml:space="preserve"> R.J., Gray W.B. (2005), « Pollution abatement expenditures and plant-level productivity », </w:t>
      </w:r>
      <w:proofErr w:type="spellStart"/>
      <w:r w:rsidRPr="006C16A3">
        <w:rPr>
          <w:rFonts w:ascii="Times New Roman" w:hAnsi="Times New Roman" w:cs="Times New Roman"/>
          <w:sz w:val="24"/>
          <w:szCs w:val="24"/>
          <w:lang w:val="en-US"/>
        </w:rPr>
        <w:t>Ecol</w:t>
      </w:r>
      <w:proofErr w:type="spellEnd"/>
      <w:r w:rsidRPr="006C16A3">
        <w:rPr>
          <w:rFonts w:ascii="Times New Roman" w:hAnsi="Times New Roman" w:cs="Times New Roman"/>
          <w:sz w:val="24"/>
          <w:szCs w:val="24"/>
          <w:lang w:val="en-US"/>
        </w:rPr>
        <w:t xml:space="preserve"> Econ 54(2–3):196–208.</w:t>
      </w:r>
    </w:p>
    <w:p w14:paraId="58E15A89" w14:textId="77777777" w:rsidR="00647174" w:rsidRPr="006C16A3" w:rsidRDefault="00647174" w:rsidP="006C16A3">
      <w:pPr>
        <w:pStyle w:val="Paragraphedeliste"/>
        <w:numPr>
          <w:ilvl w:val="0"/>
          <w:numId w:val="18"/>
        </w:numPr>
        <w:jc w:val="both"/>
        <w:rPr>
          <w:rFonts w:ascii="Times New Roman" w:hAnsi="Times New Roman" w:cs="Times New Roman"/>
          <w:sz w:val="24"/>
          <w:szCs w:val="24"/>
        </w:rPr>
      </w:pPr>
      <w:r w:rsidRPr="006C16A3">
        <w:rPr>
          <w:rFonts w:ascii="Times New Roman" w:hAnsi="Times New Roman" w:cs="Times New Roman"/>
          <w:sz w:val="24"/>
          <w:szCs w:val="24"/>
        </w:rPr>
        <w:t xml:space="preserve">STIF </w:t>
      </w:r>
      <w:bookmarkStart w:id="49" w:name="_Hlk70933884"/>
      <w:r w:rsidRPr="006C16A3">
        <w:rPr>
          <w:rFonts w:ascii="Times New Roman" w:hAnsi="Times New Roman" w:cs="Times New Roman"/>
          <w:sz w:val="24"/>
          <w:szCs w:val="24"/>
        </w:rPr>
        <w:t xml:space="preserve">(Île-de-France mobilités), </w:t>
      </w:r>
      <w:bookmarkEnd w:id="49"/>
      <w:r w:rsidRPr="006C16A3">
        <w:rPr>
          <w:rFonts w:ascii="Times New Roman" w:hAnsi="Times New Roman" w:cs="Times New Roman"/>
          <w:sz w:val="24"/>
          <w:szCs w:val="24"/>
        </w:rPr>
        <w:t>Rapport d’activité 2015.</w:t>
      </w:r>
    </w:p>
    <w:p w14:paraId="585B2BA9" w14:textId="77777777" w:rsidR="00647174" w:rsidRPr="006C16A3" w:rsidRDefault="00647174" w:rsidP="006C16A3">
      <w:pPr>
        <w:pStyle w:val="Paragraphedeliste"/>
        <w:numPr>
          <w:ilvl w:val="0"/>
          <w:numId w:val="18"/>
        </w:numPr>
        <w:jc w:val="both"/>
        <w:rPr>
          <w:rFonts w:ascii="Times New Roman" w:hAnsi="Times New Roman" w:cs="Times New Roman"/>
          <w:sz w:val="24"/>
          <w:szCs w:val="24"/>
        </w:rPr>
      </w:pPr>
      <w:r w:rsidRPr="006C16A3">
        <w:rPr>
          <w:rFonts w:ascii="Times New Roman" w:hAnsi="Times New Roman" w:cs="Times New Roman"/>
          <w:sz w:val="24"/>
          <w:szCs w:val="24"/>
        </w:rPr>
        <w:t>STIF, Compte déplacements de voyageurs en Île-de-France pour l’année 2003, édition 2005.</w:t>
      </w:r>
    </w:p>
    <w:p w14:paraId="3CA6E6D5" w14:textId="77777777" w:rsidR="00647174" w:rsidRPr="006C16A3" w:rsidRDefault="00647174" w:rsidP="006C16A3">
      <w:pPr>
        <w:pStyle w:val="Paragraphedeliste"/>
        <w:numPr>
          <w:ilvl w:val="0"/>
          <w:numId w:val="18"/>
        </w:numPr>
        <w:jc w:val="both"/>
        <w:rPr>
          <w:rFonts w:ascii="Times New Roman" w:hAnsi="Times New Roman" w:cs="Times New Roman"/>
          <w:sz w:val="24"/>
          <w:szCs w:val="24"/>
        </w:rPr>
      </w:pPr>
      <w:r w:rsidRPr="006C16A3">
        <w:rPr>
          <w:rFonts w:ascii="Times New Roman" w:hAnsi="Times New Roman" w:cs="Times New Roman"/>
          <w:sz w:val="24"/>
          <w:szCs w:val="24"/>
        </w:rPr>
        <w:t>STIF, Les Transports en commun en chiffres, Edition 2005, Recueil de statistiques sur les transports en commun d’Ile-de-France.</w:t>
      </w:r>
    </w:p>
    <w:p w14:paraId="69F25D8E" w14:textId="77777777" w:rsidR="00647174" w:rsidRPr="006C16A3" w:rsidRDefault="00647174" w:rsidP="006C16A3">
      <w:pPr>
        <w:pStyle w:val="Paragraphedeliste"/>
        <w:numPr>
          <w:ilvl w:val="0"/>
          <w:numId w:val="18"/>
        </w:numPr>
        <w:jc w:val="both"/>
        <w:rPr>
          <w:rFonts w:ascii="Times New Roman" w:hAnsi="Times New Roman" w:cs="Times New Roman"/>
          <w:sz w:val="24"/>
          <w:szCs w:val="24"/>
          <w:shd w:val="clear" w:color="auto" w:fill="FFFFFF"/>
          <w:lang w:val="en-US"/>
        </w:rPr>
      </w:pPr>
      <w:proofErr w:type="spellStart"/>
      <w:r w:rsidRPr="006C16A3">
        <w:rPr>
          <w:rFonts w:ascii="Times New Roman" w:hAnsi="Times New Roman" w:cs="Times New Roman"/>
          <w:sz w:val="24"/>
          <w:szCs w:val="24"/>
          <w:shd w:val="clear" w:color="auto" w:fill="FFFFFF"/>
          <w:lang w:val="en-US"/>
        </w:rPr>
        <w:t>Suchman</w:t>
      </w:r>
      <w:proofErr w:type="spellEnd"/>
      <w:r w:rsidRPr="006C16A3">
        <w:rPr>
          <w:rFonts w:ascii="Times New Roman" w:hAnsi="Times New Roman" w:cs="Times New Roman"/>
          <w:sz w:val="24"/>
          <w:szCs w:val="24"/>
          <w:shd w:val="clear" w:color="auto" w:fill="FFFFFF"/>
          <w:lang w:val="en-US"/>
        </w:rPr>
        <w:t xml:space="preserve"> M.C. (1995), « Managing Legitimacy: Strategic and Institutional Approaches  », </w:t>
      </w:r>
      <w:r w:rsidRPr="006C16A3">
        <w:rPr>
          <w:rStyle w:val="Accentuation"/>
          <w:rFonts w:ascii="Times New Roman" w:hAnsi="Times New Roman" w:cs="Times New Roman"/>
          <w:sz w:val="24"/>
          <w:szCs w:val="24"/>
          <w:shd w:val="clear" w:color="auto" w:fill="FFFFFF"/>
          <w:lang w:val="en-US"/>
        </w:rPr>
        <w:t>Academy of Management Review</w:t>
      </w:r>
      <w:r w:rsidRPr="006C16A3">
        <w:rPr>
          <w:rFonts w:ascii="Times New Roman" w:hAnsi="Times New Roman" w:cs="Times New Roman"/>
          <w:sz w:val="24"/>
          <w:szCs w:val="24"/>
          <w:shd w:val="clear" w:color="auto" w:fill="FFFFFF"/>
          <w:lang w:val="en-US"/>
        </w:rPr>
        <w:t>, vol. 20, n°. 3, p. 571-610.</w:t>
      </w:r>
    </w:p>
    <w:p w14:paraId="11FC0B2C" w14:textId="77777777" w:rsidR="00647174" w:rsidRPr="006C16A3" w:rsidRDefault="00647174" w:rsidP="006C16A3">
      <w:pPr>
        <w:pStyle w:val="Paragraphedeliste"/>
        <w:numPr>
          <w:ilvl w:val="0"/>
          <w:numId w:val="18"/>
        </w:numPr>
        <w:jc w:val="both"/>
        <w:rPr>
          <w:rFonts w:ascii="Times New Roman" w:hAnsi="Times New Roman" w:cs="Times New Roman"/>
          <w:sz w:val="24"/>
          <w:szCs w:val="24"/>
        </w:rPr>
      </w:pPr>
      <w:r w:rsidRPr="006C16A3">
        <w:rPr>
          <w:rFonts w:ascii="Times New Roman" w:hAnsi="Times New Roman" w:cs="Times New Roman"/>
          <w:sz w:val="24"/>
          <w:szCs w:val="24"/>
        </w:rPr>
        <w:t>Table ronde du 7 mars 2017, STIF (Île-de-France mobilités).</w:t>
      </w:r>
    </w:p>
    <w:p w14:paraId="7FC878F8" w14:textId="77777777" w:rsidR="00343426" w:rsidRDefault="00343426" w:rsidP="00E0629B">
      <w:pPr>
        <w:rPr>
          <w:rFonts w:ascii="Times New Roman" w:hAnsi="Times New Roman" w:cs="Times New Roman"/>
          <w:sz w:val="24"/>
        </w:rPr>
        <w:sectPr w:rsidR="00343426" w:rsidSect="00103218">
          <w:pgSz w:w="12240" w:h="15840"/>
          <w:pgMar w:top="1530" w:right="1440" w:bottom="1440" w:left="1440" w:header="720" w:footer="720" w:gutter="0"/>
          <w:pgNumType w:fmt="lowerRoman" w:start="1"/>
          <w:cols w:space="720"/>
          <w:titlePg/>
          <w:docGrid w:linePitch="360"/>
        </w:sectPr>
      </w:pPr>
    </w:p>
    <w:p w14:paraId="192FD17B" w14:textId="7CAC79C5" w:rsidR="00BD262A" w:rsidRPr="00D77A52" w:rsidRDefault="00BD262A" w:rsidP="00E0629B">
      <w:pPr>
        <w:rPr>
          <w:rFonts w:ascii="Times New Roman" w:hAnsi="Times New Roman" w:cs="Times New Roman"/>
          <w:sz w:val="24"/>
        </w:rPr>
      </w:pPr>
    </w:p>
    <w:p w14:paraId="72071AD9" w14:textId="06915190" w:rsidR="00BD262A" w:rsidRPr="00A71028" w:rsidRDefault="00BD262A" w:rsidP="00F61F98">
      <w:pPr>
        <w:pStyle w:val="Titre1"/>
        <w:rPr>
          <w:rFonts w:ascii="Times New Roman" w:hAnsi="Times New Roman" w:cs="Times New Roman"/>
          <w:b/>
          <w:bCs/>
        </w:rPr>
      </w:pPr>
      <w:bookmarkStart w:id="50" w:name="_Toc70937426"/>
      <w:r w:rsidRPr="00A71028">
        <w:rPr>
          <w:rFonts w:ascii="Times New Roman" w:hAnsi="Times New Roman" w:cs="Times New Roman"/>
          <w:b/>
          <w:bCs/>
        </w:rPr>
        <w:t>ANNEXE</w:t>
      </w:r>
      <w:bookmarkEnd w:id="50"/>
    </w:p>
    <w:p w14:paraId="7459E056" w14:textId="14BE70A1" w:rsidR="00647174" w:rsidRPr="00A71028" w:rsidRDefault="00647174" w:rsidP="00F61F98">
      <w:pPr>
        <w:pStyle w:val="Titre2"/>
        <w:numPr>
          <w:ilvl w:val="0"/>
          <w:numId w:val="17"/>
        </w:numPr>
        <w:rPr>
          <w:rFonts w:ascii="Times New Roman" w:hAnsi="Times New Roman" w:cs="Times New Roman"/>
          <w:b/>
          <w:bCs/>
        </w:rPr>
      </w:pPr>
      <w:bookmarkStart w:id="51" w:name="_Toc70937427"/>
      <w:r w:rsidRPr="00A71028">
        <w:rPr>
          <w:rFonts w:ascii="Times New Roman" w:hAnsi="Times New Roman" w:cs="Times New Roman"/>
          <w:b/>
          <w:bCs/>
        </w:rPr>
        <w:t>Codes utilisés dans le travail</w:t>
      </w:r>
      <w:bookmarkEnd w:id="51"/>
      <w:r w:rsidRPr="00A71028">
        <w:rPr>
          <w:rFonts w:ascii="Times New Roman" w:hAnsi="Times New Roman" w:cs="Times New Roman"/>
          <w:b/>
          <w:bCs/>
        </w:rPr>
        <w:t xml:space="preserve"> </w:t>
      </w:r>
    </w:p>
    <w:p w14:paraId="68F38FA7" w14:textId="5A4FC8F1" w:rsidR="00647174" w:rsidRDefault="00647174" w:rsidP="00647174">
      <w:r>
        <w:rPr>
          <w:noProof/>
          <w:lang w:eastAsia="fr-FR"/>
        </w:rPr>
        <w:drawing>
          <wp:inline distT="0" distB="0" distL="0" distR="0" wp14:anchorId="07DCBCD9" wp14:editId="3F8CD4B3">
            <wp:extent cx="6231467" cy="46310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53443" cy="4647387"/>
                    </a:xfrm>
                    <a:prstGeom prst="rect">
                      <a:avLst/>
                    </a:prstGeom>
                  </pic:spPr>
                </pic:pic>
              </a:graphicData>
            </a:graphic>
          </wp:inline>
        </w:drawing>
      </w:r>
    </w:p>
    <w:p w14:paraId="79ABC10D" w14:textId="26064DF2" w:rsidR="00647174" w:rsidRDefault="00647174" w:rsidP="00647174">
      <w:r>
        <w:rPr>
          <w:noProof/>
          <w:lang w:eastAsia="fr-FR"/>
        </w:rPr>
        <w:lastRenderedPageBreak/>
        <w:drawing>
          <wp:inline distT="0" distB="0" distL="0" distR="0" wp14:anchorId="5AE8FE2D" wp14:editId="3637E9CD">
            <wp:extent cx="6137910" cy="3920066"/>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57377" cy="3932499"/>
                    </a:xfrm>
                    <a:prstGeom prst="rect">
                      <a:avLst/>
                    </a:prstGeom>
                  </pic:spPr>
                </pic:pic>
              </a:graphicData>
            </a:graphic>
          </wp:inline>
        </w:drawing>
      </w:r>
    </w:p>
    <w:p w14:paraId="1A112DE0" w14:textId="275AAE19" w:rsidR="00647174" w:rsidRDefault="00647174" w:rsidP="00647174">
      <w:r>
        <w:rPr>
          <w:noProof/>
          <w:lang w:eastAsia="fr-FR"/>
        </w:rPr>
        <w:drawing>
          <wp:inline distT="0" distB="0" distL="0" distR="0" wp14:anchorId="5CD5BFEF" wp14:editId="34F3F25A">
            <wp:extent cx="6163310" cy="330200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81962" cy="3311993"/>
                    </a:xfrm>
                    <a:prstGeom prst="rect">
                      <a:avLst/>
                    </a:prstGeom>
                  </pic:spPr>
                </pic:pic>
              </a:graphicData>
            </a:graphic>
          </wp:inline>
        </w:drawing>
      </w:r>
    </w:p>
    <w:p w14:paraId="18C8A076" w14:textId="222DF3F4" w:rsidR="00647174" w:rsidRDefault="00647174" w:rsidP="00647174">
      <w:r>
        <w:rPr>
          <w:noProof/>
          <w:lang w:eastAsia="fr-FR"/>
        </w:rPr>
        <w:lastRenderedPageBreak/>
        <w:drawing>
          <wp:inline distT="0" distB="0" distL="0" distR="0" wp14:anchorId="57F493BB" wp14:editId="55ABB473">
            <wp:extent cx="6206067" cy="2225519"/>
            <wp:effectExtent l="0" t="0" r="444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227201" cy="2233098"/>
                    </a:xfrm>
                    <a:prstGeom prst="rect">
                      <a:avLst/>
                    </a:prstGeom>
                  </pic:spPr>
                </pic:pic>
              </a:graphicData>
            </a:graphic>
          </wp:inline>
        </w:drawing>
      </w:r>
    </w:p>
    <w:p w14:paraId="37368B86" w14:textId="547DEC03" w:rsidR="00647174" w:rsidRDefault="00647174" w:rsidP="00647174">
      <w:r>
        <w:rPr>
          <w:noProof/>
          <w:lang w:eastAsia="fr-FR"/>
        </w:rPr>
        <w:drawing>
          <wp:inline distT="0" distB="0" distL="0" distR="0" wp14:anchorId="7DD41D02" wp14:editId="6A93E69E">
            <wp:extent cx="6205855" cy="5701030"/>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209025" cy="5703942"/>
                    </a:xfrm>
                    <a:prstGeom prst="rect">
                      <a:avLst/>
                    </a:prstGeom>
                  </pic:spPr>
                </pic:pic>
              </a:graphicData>
            </a:graphic>
          </wp:inline>
        </w:drawing>
      </w:r>
    </w:p>
    <w:p w14:paraId="47031EC1" w14:textId="3ACE8824" w:rsidR="00647174" w:rsidRDefault="00647174" w:rsidP="00647174">
      <w:r>
        <w:rPr>
          <w:noProof/>
          <w:lang w:eastAsia="fr-FR"/>
        </w:rPr>
        <w:lastRenderedPageBreak/>
        <w:drawing>
          <wp:inline distT="0" distB="0" distL="0" distR="0" wp14:anchorId="204991A4" wp14:editId="61A6BC66">
            <wp:extent cx="6187835" cy="2683933"/>
            <wp:effectExtent l="0" t="0" r="381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237079" cy="2705292"/>
                    </a:xfrm>
                    <a:prstGeom prst="rect">
                      <a:avLst/>
                    </a:prstGeom>
                  </pic:spPr>
                </pic:pic>
              </a:graphicData>
            </a:graphic>
          </wp:inline>
        </w:drawing>
      </w:r>
    </w:p>
    <w:p w14:paraId="4B242ECE" w14:textId="7CF54F81" w:rsidR="00BA5139" w:rsidRDefault="00BA5139" w:rsidP="00647174">
      <w:r>
        <w:rPr>
          <w:noProof/>
          <w:lang w:eastAsia="fr-FR"/>
        </w:rPr>
        <w:drawing>
          <wp:inline distT="0" distB="0" distL="0" distR="0" wp14:anchorId="69F80597" wp14:editId="5468BD09">
            <wp:extent cx="6188075" cy="4525010"/>
            <wp:effectExtent l="0" t="0" r="3175"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91062" cy="4527194"/>
                    </a:xfrm>
                    <a:prstGeom prst="rect">
                      <a:avLst/>
                    </a:prstGeom>
                  </pic:spPr>
                </pic:pic>
              </a:graphicData>
            </a:graphic>
          </wp:inline>
        </w:drawing>
      </w:r>
    </w:p>
    <w:p w14:paraId="5128E3D3" w14:textId="77777777" w:rsidR="00BA5139" w:rsidRDefault="00BA5139" w:rsidP="00647174"/>
    <w:p w14:paraId="2F75EC91" w14:textId="77777777" w:rsidR="00BA5139" w:rsidRPr="00647174" w:rsidRDefault="00BA5139" w:rsidP="00647174"/>
    <w:p w14:paraId="148081E0" w14:textId="3737D7AD" w:rsidR="00133FEC" w:rsidRPr="00D01367" w:rsidRDefault="00F61F98" w:rsidP="00F61F98">
      <w:pPr>
        <w:pStyle w:val="Titre2"/>
        <w:numPr>
          <w:ilvl w:val="0"/>
          <w:numId w:val="17"/>
        </w:numPr>
        <w:rPr>
          <w:rFonts w:ascii="Times New Roman" w:hAnsi="Times New Roman" w:cs="Times New Roman"/>
        </w:rPr>
      </w:pPr>
      <w:bookmarkStart w:id="52" w:name="_Toc70937428"/>
      <w:r w:rsidRPr="00D01367">
        <w:rPr>
          <w:rFonts w:ascii="Times New Roman" w:hAnsi="Times New Roman" w:cs="Times New Roman"/>
        </w:rPr>
        <w:lastRenderedPageBreak/>
        <w:t xml:space="preserve">Codes utilisés dans le travail </w:t>
      </w:r>
      <w:r w:rsidR="00647174" w:rsidRPr="00D01367">
        <w:rPr>
          <w:rFonts w:ascii="Times New Roman" w:hAnsi="Times New Roman" w:cs="Times New Roman"/>
        </w:rPr>
        <w:t>en version texte</w:t>
      </w:r>
      <w:bookmarkEnd w:id="52"/>
      <w:r w:rsidR="00647174" w:rsidRPr="00D01367">
        <w:rPr>
          <w:rFonts w:ascii="Times New Roman" w:hAnsi="Times New Roman" w:cs="Times New Roman"/>
        </w:rPr>
        <w:t xml:space="preserve"> </w:t>
      </w:r>
    </w:p>
    <w:p w14:paraId="29062A08" w14:textId="77777777" w:rsidR="00BD262A" w:rsidRPr="00D977E1" w:rsidRDefault="00BD262A" w:rsidP="00BD262A">
      <w:pPr>
        <w:rPr>
          <w:rFonts w:ascii="Times New Roman" w:hAnsi="Times New Roman" w:cs="Times New Roman"/>
          <w:b/>
          <w:bCs/>
          <w:i/>
        </w:rPr>
      </w:pPr>
      <w:r w:rsidRPr="00D977E1">
        <w:rPr>
          <w:rFonts w:ascii="Times New Roman" w:hAnsi="Times New Roman" w:cs="Times New Roman"/>
          <w:b/>
          <w:bCs/>
          <w:i/>
        </w:rPr>
        <w:t>#Appel des librairies que nous utiliserons</w:t>
      </w:r>
    </w:p>
    <w:p w14:paraId="6C8743F4" w14:textId="77777777" w:rsidR="00BD262A" w:rsidRPr="00BD262A" w:rsidRDefault="00BD262A" w:rsidP="00BD262A">
      <w:pPr>
        <w:rPr>
          <w:rFonts w:ascii="Microsoft YaHei Light" w:eastAsia="Microsoft YaHei Light" w:hAnsi="Microsoft YaHei Light"/>
          <w:lang w:val="en-US"/>
        </w:rPr>
      </w:pPr>
      <w:r w:rsidRPr="00BD262A">
        <w:rPr>
          <w:rFonts w:ascii="Microsoft YaHei Light" w:eastAsia="Microsoft YaHei Light" w:hAnsi="Microsoft YaHei Light"/>
          <w:lang w:val="en-US"/>
        </w:rPr>
        <w:t>library(ggplot2)</w:t>
      </w:r>
    </w:p>
    <w:p w14:paraId="1C46D9AF" w14:textId="77777777" w:rsidR="00BD262A" w:rsidRPr="00BD262A" w:rsidRDefault="00BD262A" w:rsidP="00BD262A">
      <w:pPr>
        <w:rPr>
          <w:rFonts w:ascii="Microsoft YaHei Light" w:eastAsia="Microsoft YaHei Light" w:hAnsi="Microsoft YaHei Light"/>
          <w:lang w:val="en-US"/>
        </w:rPr>
      </w:pPr>
      <w:r w:rsidRPr="00BD262A">
        <w:rPr>
          <w:rFonts w:ascii="Microsoft YaHei Light" w:eastAsia="Microsoft YaHei Light" w:hAnsi="Microsoft YaHei Light"/>
          <w:lang w:val="en-US"/>
        </w:rPr>
        <w:t>library(</w:t>
      </w:r>
      <w:proofErr w:type="spellStart"/>
      <w:r w:rsidRPr="00BD262A">
        <w:rPr>
          <w:rFonts w:ascii="Microsoft YaHei Light" w:eastAsia="Microsoft YaHei Light" w:hAnsi="Microsoft YaHei Light"/>
          <w:lang w:val="en-US"/>
        </w:rPr>
        <w:t>tseries</w:t>
      </w:r>
      <w:proofErr w:type="spellEnd"/>
      <w:r w:rsidRPr="00BD262A">
        <w:rPr>
          <w:rFonts w:ascii="Microsoft YaHei Light" w:eastAsia="Microsoft YaHei Light" w:hAnsi="Microsoft YaHei Light"/>
          <w:lang w:val="en-US"/>
        </w:rPr>
        <w:t>)</w:t>
      </w:r>
    </w:p>
    <w:p w14:paraId="6519D3BB" w14:textId="77777777" w:rsidR="00BD262A" w:rsidRPr="00BD262A" w:rsidRDefault="00BD262A" w:rsidP="00BD262A">
      <w:pPr>
        <w:rPr>
          <w:rFonts w:ascii="Microsoft YaHei Light" w:eastAsia="Microsoft YaHei Light" w:hAnsi="Microsoft YaHei Light"/>
          <w:lang w:val="en-US"/>
        </w:rPr>
      </w:pPr>
      <w:r w:rsidRPr="00BD262A">
        <w:rPr>
          <w:rFonts w:ascii="Microsoft YaHei Light" w:eastAsia="Microsoft YaHei Light" w:hAnsi="Microsoft YaHei Light"/>
          <w:lang w:val="en-US"/>
        </w:rPr>
        <w:t>library(</w:t>
      </w:r>
      <w:proofErr w:type="spellStart"/>
      <w:r w:rsidRPr="00BD262A">
        <w:rPr>
          <w:rFonts w:ascii="Microsoft YaHei Light" w:eastAsia="Microsoft YaHei Light" w:hAnsi="Microsoft YaHei Light"/>
          <w:lang w:val="en-US"/>
        </w:rPr>
        <w:t>aTSA</w:t>
      </w:r>
      <w:proofErr w:type="spellEnd"/>
      <w:r w:rsidRPr="00BD262A">
        <w:rPr>
          <w:rFonts w:ascii="Microsoft YaHei Light" w:eastAsia="Microsoft YaHei Light" w:hAnsi="Microsoft YaHei Light"/>
          <w:lang w:val="en-US"/>
        </w:rPr>
        <w:t>)</w:t>
      </w:r>
    </w:p>
    <w:p w14:paraId="2ADC9FE0" w14:textId="77777777" w:rsidR="00BD262A" w:rsidRPr="00BD262A" w:rsidRDefault="00BD262A" w:rsidP="00BD262A">
      <w:pPr>
        <w:rPr>
          <w:rFonts w:ascii="Microsoft YaHei Light" w:eastAsia="Microsoft YaHei Light" w:hAnsi="Microsoft YaHei Light"/>
          <w:lang w:val="en-US"/>
        </w:rPr>
      </w:pPr>
      <w:r w:rsidRPr="00BD262A">
        <w:rPr>
          <w:rFonts w:ascii="Microsoft YaHei Light" w:eastAsia="Microsoft YaHei Light" w:hAnsi="Microsoft YaHei Light"/>
          <w:lang w:val="en-US"/>
        </w:rPr>
        <w:t>library(ARDL)</w:t>
      </w:r>
    </w:p>
    <w:p w14:paraId="6CEE2046" w14:textId="77777777" w:rsidR="00BD262A" w:rsidRPr="00BD262A" w:rsidRDefault="00BD262A" w:rsidP="00BD262A">
      <w:pPr>
        <w:rPr>
          <w:rFonts w:ascii="Microsoft YaHei Light" w:eastAsia="Microsoft YaHei Light" w:hAnsi="Microsoft YaHei Light"/>
          <w:lang w:val="en-US"/>
        </w:rPr>
      </w:pPr>
      <w:r w:rsidRPr="00BD262A">
        <w:rPr>
          <w:rFonts w:ascii="Microsoft YaHei Light" w:eastAsia="Microsoft YaHei Light" w:hAnsi="Microsoft YaHei Light"/>
          <w:lang w:val="en-US"/>
        </w:rPr>
        <w:t>library(</w:t>
      </w:r>
      <w:proofErr w:type="spellStart"/>
      <w:r w:rsidRPr="00BD262A">
        <w:rPr>
          <w:rFonts w:ascii="Microsoft YaHei Light" w:eastAsia="Microsoft YaHei Light" w:hAnsi="Microsoft YaHei Light"/>
          <w:lang w:val="en-US"/>
        </w:rPr>
        <w:t>dynamac</w:t>
      </w:r>
      <w:proofErr w:type="spellEnd"/>
      <w:r w:rsidRPr="00BD262A">
        <w:rPr>
          <w:rFonts w:ascii="Microsoft YaHei Light" w:eastAsia="Microsoft YaHei Light" w:hAnsi="Microsoft YaHei Light"/>
          <w:lang w:val="en-US"/>
        </w:rPr>
        <w:t>)</w:t>
      </w:r>
    </w:p>
    <w:p w14:paraId="06591DB6" w14:textId="77777777" w:rsidR="00BD262A" w:rsidRPr="00BD262A" w:rsidRDefault="00BD262A" w:rsidP="00BD262A">
      <w:pPr>
        <w:rPr>
          <w:rFonts w:ascii="Microsoft YaHei Light" w:eastAsia="Microsoft YaHei Light" w:hAnsi="Microsoft YaHei Light"/>
          <w:lang w:val="en-US"/>
        </w:rPr>
      </w:pPr>
      <w:r w:rsidRPr="00BD262A">
        <w:rPr>
          <w:rFonts w:ascii="Microsoft YaHei Light" w:eastAsia="Microsoft YaHei Light" w:hAnsi="Microsoft YaHei Light"/>
          <w:lang w:val="en-US"/>
        </w:rPr>
        <w:t>library('</w:t>
      </w:r>
      <w:proofErr w:type="spellStart"/>
      <w:r w:rsidRPr="00BD262A">
        <w:rPr>
          <w:rFonts w:ascii="Microsoft YaHei Light" w:eastAsia="Microsoft YaHei Light" w:hAnsi="Microsoft YaHei Light"/>
          <w:lang w:val="en-US"/>
        </w:rPr>
        <w:t>dLagM</w:t>
      </w:r>
      <w:proofErr w:type="spellEnd"/>
      <w:r w:rsidRPr="00BD262A">
        <w:rPr>
          <w:rFonts w:ascii="Microsoft YaHei Light" w:eastAsia="Microsoft YaHei Light" w:hAnsi="Microsoft YaHei Light"/>
          <w:lang w:val="en-US"/>
        </w:rPr>
        <w:t>')</w:t>
      </w:r>
    </w:p>
    <w:p w14:paraId="23D58165" w14:textId="77777777" w:rsidR="00BD262A" w:rsidRPr="00E9284E" w:rsidRDefault="00BD262A" w:rsidP="00BD262A">
      <w:pPr>
        <w:rPr>
          <w:lang w:val="en-US"/>
        </w:rPr>
      </w:pPr>
      <w:r w:rsidRPr="00E9284E">
        <w:rPr>
          <w:lang w:val="en-US"/>
        </w:rPr>
        <w:t xml:space="preserve">        </w:t>
      </w:r>
    </w:p>
    <w:p w14:paraId="50D1D4F6" w14:textId="77777777" w:rsidR="00BD262A" w:rsidRPr="007F69B7" w:rsidRDefault="00BD262A" w:rsidP="00BD262A">
      <w:pPr>
        <w:rPr>
          <w:b/>
          <w:bCs/>
          <w:i/>
        </w:rPr>
      </w:pPr>
      <w:r w:rsidRPr="007F69B7">
        <w:rPr>
          <w:b/>
          <w:bCs/>
          <w:i/>
        </w:rPr>
        <w:t>#Evolution de la rentabilité</w:t>
      </w:r>
    </w:p>
    <w:p w14:paraId="1CE3AFF8" w14:textId="02A6F7FD" w:rsidR="00BD262A" w:rsidRPr="00BD262A" w:rsidRDefault="00BD262A" w:rsidP="00BD262A">
      <w:pPr>
        <w:rPr>
          <w:i/>
        </w:rPr>
      </w:pPr>
      <w:r>
        <w:t>s</w:t>
      </w:r>
      <w:r w:rsidRPr="00077A16">
        <w:rPr>
          <w:rFonts w:ascii="Microsoft YaHei Light" w:eastAsia="Microsoft YaHei Light" w:hAnsi="Microsoft YaHei Light"/>
        </w:rPr>
        <w:t>erie1&lt;-</w:t>
      </w:r>
      <w:proofErr w:type="spellStart"/>
      <w:r w:rsidRPr="00077A16">
        <w:rPr>
          <w:rFonts w:ascii="Microsoft YaHei Light" w:eastAsia="Microsoft YaHei Light" w:hAnsi="Microsoft YaHei Light"/>
        </w:rPr>
        <w:t>data.frame</w:t>
      </w:r>
      <w:proofErr w:type="spellEnd"/>
      <w:r w:rsidRPr="00077A16">
        <w:rPr>
          <w:rFonts w:ascii="Microsoft YaHei Light" w:eastAsia="Microsoft YaHei Light" w:hAnsi="Microsoft YaHei Light"/>
        </w:rPr>
        <w:t>(x=database1$Periode,y=database1$Rentabilite)</w:t>
      </w:r>
      <w:r>
        <w:t xml:space="preserve"> </w:t>
      </w:r>
      <w:r w:rsidRPr="00BD262A">
        <w:rPr>
          <w:i/>
        </w:rPr>
        <w:t xml:space="preserve">#Variables que nous voulons représenter </w:t>
      </w:r>
    </w:p>
    <w:p w14:paraId="65E28553" w14:textId="77777777" w:rsidR="00BD262A" w:rsidRPr="00BD262A" w:rsidRDefault="00BD262A" w:rsidP="00BD262A">
      <w:pPr>
        <w:rPr>
          <w:rFonts w:ascii="Microsoft YaHei Light" w:eastAsia="Microsoft YaHei Light" w:hAnsi="Microsoft YaHei Light"/>
        </w:rPr>
      </w:pPr>
      <w:r w:rsidRPr="00BD262A">
        <w:rPr>
          <w:rFonts w:ascii="Microsoft YaHei Light" w:eastAsia="Microsoft YaHei Light" w:hAnsi="Microsoft YaHei Light"/>
        </w:rPr>
        <w:t xml:space="preserve">p1 &lt;- </w:t>
      </w:r>
      <w:proofErr w:type="spellStart"/>
      <w:r w:rsidRPr="00BD262A">
        <w:rPr>
          <w:rFonts w:ascii="Microsoft YaHei Light" w:eastAsia="Microsoft YaHei Light" w:hAnsi="Microsoft YaHei Light"/>
        </w:rPr>
        <w:t>ggplot</w:t>
      </w:r>
      <w:proofErr w:type="spellEnd"/>
      <w:r w:rsidRPr="00BD262A">
        <w:rPr>
          <w:rFonts w:ascii="Microsoft YaHei Light" w:eastAsia="Microsoft YaHei Light" w:hAnsi="Microsoft YaHei Light"/>
        </w:rPr>
        <w:t xml:space="preserve">(serie1, </w:t>
      </w:r>
      <w:proofErr w:type="spellStart"/>
      <w:r w:rsidRPr="00BD262A">
        <w:rPr>
          <w:rFonts w:ascii="Microsoft YaHei Light" w:eastAsia="Microsoft YaHei Light" w:hAnsi="Microsoft YaHei Light"/>
        </w:rPr>
        <w:t>aes</w:t>
      </w:r>
      <w:proofErr w:type="spellEnd"/>
      <w:r w:rsidRPr="00BD262A">
        <w:rPr>
          <w:rFonts w:ascii="Microsoft YaHei Light" w:eastAsia="Microsoft YaHei Light" w:hAnsi="Microsoft YaHei Light"/>
        </w:rPr>
        <w:t xml:space="preserve">(x=database1$Periode,y=database1$Rentabilite)) + </w:t>
      </w:r>
      <w:proofErr w:type="spellStart"/>
      <w:r w:rsidRPr="00BD262A">
        <w:rPr>
          <w:rFonts w:ascii="Microsoft YaHei Light" w:eastAsia="Microsoft YaHei Light" w:hAnsi="Microsoft YaHei Light"/>
        </w:rPr>
        <w:t>geom_line</w:t>
      </w:r>
      <w:proofErr w:type="spellEnd"/>
      <w:r w:rsidRPr="00BD262A">
        <w:rPr>
          <w:rFonts w:ascii="Microsoft YaHei Light" w:eastAsia="Microsoft YaHei Light" w:hAnsi="Microsoft YaHei Light"/>
        </w:rPr>
        <w:t xml:space="preserve">() + </w:t>
      </w:r>
      <w:proofErr w:type="spellStart"/>
      <w:r w:rsidRPr="00BD262A">
        <w:rPr>
          <w:rFonts w:ascii="Microsoft YaHei Light" w:eastAsia="Microsoft YaHei Light" w:hAnsi="Microsoft YaHei Light"/>
        </w:rPr>
        <w:t>ggtitle</w:t>
      </w:r>
      <w:proofErr w:type="spellEnd"/>
      <w:r w:rsidRPr="00BD262A">
        <w:rPr>
          <w:rFonts w:ascii="Microsoft YaHei Light" w:eastAsia="Microsoft YaHei Light" w:hAnsi="Microsoft YaHei Light"/>
        </w:rPr>
        <w:t xml:space="preserve">("Evolution de la </w:t>
      </w:r>
      <w:proofErr w:type="spellStart"/>
      <w:r w:rsidRPr="00BD262A">
        <w:rPr>
          <w:rFonts w:ascii="Microsoft YaHei Light" w:eastAsia="Microsoft YaHei Light" w:hAnsi="Microsoft YaHei Light"/>
        </w:rPr>
        <w:t>rentabilite</w:t>
      </w:r>
      <w:proofErr w:type="spellEnd"/>
      <w:r w:rsidRPr="00BD262A">
        <w:rPr>
          <w:rFonts w:ascii="Microsoft YaHei Light" w:eastAsia="Microsoft YaHei Light" w:hAnsi="Microsoft YaHei Light"/>
        </w:rPr>
        <w:t xml:space="preserve">") + </w:t>
      </w:r>
    </w:p>
    <w:p w14:paraId="3E219EE3" w14:textId="66C392E6" w:rsidR="00BD262A" w:rsidRDefault="00BD262A" w:rsidP="00BD262A">
      <w:r w:rsidRPr="00BD262A">
        <w:rPr>
          <w:rFonts w:ascii="Microsoft YaHei Light" w:eastAsia="Microsoft YaHei Light" w:hAnsi="Microsoft YaHei Light"/>
        </w:rPr>
        <w:t xml:space="preserve">  </w:t>
      </w:r>
      <w:proofErr w:type="spellStart"/>
      <w:r w:rsidRPr="00BD262A">
        <w:rPr>
          <w:rFonts w:ascii="Microsoft YaHei Light" w:eastAsia="Microsoft YaHei Light" w:hAnsi="Microsoft YaHei Light"/>
        </w:rPr>
        <w:t>xlab</w:t>
      </w:r>
      <w:proofErr w:type="spellEnd"/>
      <w:r w:rsidRPr="00BD262A">
        <w:rPr>
          <w:rFonts w:ascii="Microsoft YaHei Light" w:eastAsia="Microsoft YaHei Light" w:hAnsi="Microsoft YaHei Light"/>
        </w:rPr>
        <w:t xml:space="preserve">("") + </w:t>
      </w:r>
      <w:proofErr w:type="spellStart"/>
      <w:r w:rsidRPr="00BD262A">
        <w:rPr>
          <w:rFonts w:ascii="Microsoft YaHei Light" w:eastAsia="Microsoft YaHei Light" w:hAnsi="Microsoft YaHei Light"/>
        </w:rPr>
        <w:t>ylab</w:t>
      </w:r>
      <w:proofErr w:type="spellEnd"/>
      <w:r w:rsidRPr="00BD262A">
        <w:rPr>
          <w:rFonts w:ascii="Microsoft YaHei Light" w:eastAsia="Microsoft YaHei Light" w:hAnsi="Microsoft YaHei Light"/>
        </w:rPr>
        <w:t>("value")</w:t>
      </w:r>
      <w:r>
        <w:t xml:space="preserve"> </w:t>
      </w:r>
      <w:r w:rsidRPr="00BD262A">
        <w:rPr>
          <w:i/>
        </w:rPr>
        <w:t xml:space="preserve"> #Graphique </w:t>
      </w:r>
    </w:p>
    <w:p w14:paraId="2AD94D39" w14:textId="77777777" w:rsidR="00BD262A" w:rsidRDefault="00BD262A" w:rsidP="00BD262A">
      <w:r w:rsidRPr="00BD262A">
        <w:rPr>
          <w:rFonts w:ascii="Microsoft YaHei Light" w:eastAsia="Microsoft YaHei Light" w:hAnsi="Microsoft YaHei Light"/>
        </w:rPr>
        <w:t>p1</w:t>
      </w:r>
      <w:r>
        <w:t xml:space="preserve"> </w:t>
      </w:r>
      <w:r w:rsidRPr="00BD262A">
        <w:rPr>
          <w:i/>
        </w:rPr>
        <w:t>#Représentation</w:t>
      </w:r>
      <w:r>
        <w:t xml:space="preserve"> </w:t>
      </w:r>
    </w:p>
    <w:p w14:paraId="6D74469E" w14:textId="77777777" w:rsidR="00BD262A" w:rsidRPr="007F69B7" w:rsidRDefault="00BD262A" w:rsidP="00BD262A">
      <w:pPr>
        <w:rPr>
          <w:b/>
          <w:bCs/>
        </w:rPr>
      </w:pPr>
    </w:p>
    <w:p w14:paraId="20C5FD1B" w14:textId="77777777" w:rsidR="00BD262A" w:rsidRPr="007F69B7" w:rsidRDefault="00BD262A" w:rsidP="00BD262A">
      <w:pPr>
        <w:rPr>
          <w:b/>
          <w:bCs/>
          <w:i/>
        </w:rPr>
      </w:pPr>
      <w:r w:rsidRPr="007F69B7">
        <w:rPr>
          <w:b/>
          <w:bCs/>
          <w:i/>
        </w:rPr>
        <w:t xml:space="preserve">#Evolution de l'investissement </w:t>
      </w:r>
    </w:p>
    <w:p w14:paraId="668BC940" w14:textId="77777777" w:rsidR="00BD262A" w:rsidRPr="00BD262A" w:rsidRDefault="00BD262A" w:rsidP="00BD262A">
      <w:pPr>
        <w:rPr>
          <w:i/>
        </w:rPr>
      </w:pPr>
      <w:r w:rsidRPr="00BD262A">
        <w:rPr>
          <w:rFonts w:ascii="Microsoft YaHei Light" w:eastAsia="Microsoft YaHei Light" w:hAnsi="Microsoft YaHei Light"/>
        </w:rPr>
        <w:t>serie2&lt;-data.frame(x=database1$Periode,y=database1$Investissement</w:t>
      </w:r>
      <w:r>
        <w:t>) #</w:t>
      </w:r>
      <w:r w:rsidRPr="00BD262A">
        <w:rPr>
          <w:i/>
        </w:rPr>
        <w:t>Variables que nous voulons représenter</w:t>
      </w:r>
    </w:p>
    <w:p w14:paraId="1BB4914A" w14:textId="77777777" w:rsidR="00BD262A" w:rsidRPr="00BD262A" w:rsidRDefault="00BD262A" w:rsidP="00BD262A">
      <w:pPr>
        <w:rPr>
          <w:rFonts w:ascii="Microsoft YaHei Light" w:eastAsia="Microsoft YaHei Light" w:hAnsi="Microsoft YaHei Light"/>
        </w:rPr>
      </w:pPr>
      <w:r w:rsidRPr="00BD262A">
        <w:rPr>
          <w:rFonts w:ascii="Microsoft YaHei Light" w:eastAsia="Microsoft YaHei Light" w:hAnsi="Microsoft YaHei Light"/>
        </w:rPr>
        <w:t xml:space="preserve">p2 &lt;- </w:t>
      </w:r>
      <w:proofErr w:type="spellStart"/>
      <w:r w:rsidRPr="00BD262A">
        <w:rPr>
          <w:rFonts w:ascii="Microsoft YaHei Light" w:eastAsia="Microsoft YaHei Light" w:hAnsi="Microsoft YaHei Light"/>
        </w:rPr>
        <w:t>ggplot</w:t>
      </w:r>
      <w:proofErr w:type="spellEnd"/>
      <w:r w:rsidRPr="00BD262A">
        <w:rPr>
          <w:rFonts w:ascii="Microsoft YaHei Light" w:eastAsia="Microsoft YaHei Light" w:hAnsi="Microsoft YaHei Light"/>
        </w:rPr>
        <w:t xml:space="preserve">(serie2, </w:t>
      </w:r>
      <w:proofErr w:type="spellStart"/>
      <w:r w:rsidRPr="00BD262A">
        <w:rPr>
          <w:rFonts w:ascii="Microsoft YaHei Light" w:eastAsia="Microsoft YaHei Light" w:hAnsi="Microsoft YaHei Light"/>
        </w:rPr>
        <w:t>aes</w:t>
      </w:r>
      <w:proofErr w:type="spellEnd"/>
      <w:r w:rsidRPr="00BD262A">
        <w:rPr>
          <w:rFonts w:ascii="Microsoft YaHei Light" w:eastAsia="Microsoft YaHei Light" w:hAnsi="Microsoft YaHei Light"/>
        </w:rPr>
        <w:t xml:space="preserve">(x=database1$Periode,y=database1$Investissement)) + </w:t>
      </w:r>
      <w:proofErr w:type="spellStart"/>
      <w:r w:rsidRPr="00BD262A">
        <w:rPr>
          <w:rFonts w:ascii="Microsoft YaHei Light" w:eastAsia="Microsoft YaHei Light" w:hAnsi="Microsoft YaHei Light"/>
        </w:rPr>
        <w:t>geom_line</w:t>
      </w:r>
      <w:proofErr w:type="spellEnd"/>
      <w:r w:rsidRPr="00BD262A">
        <w:rPr>
          <w:rFonts w:ascii="Microsoft YaHei Light" w:eastAsia="Microsoft YaHei Light" w:hAnsi="Microsoft YaHei Light"/>
        </w:rPr>
        <w:t xml:space="preserve">() + </w:t>
      </w:r>
      <w:proofErr w:type="spellStart"/>
      <w:r w:rsidRPr="00BD262A">
        <w:rPr>
          <w:rFonts w:ascii="Microsoft YaHei Light" w:eastAsia="Microsoft YaHei Light" w:hAnsi="Microsoft YaHei Light"/>
        </w:rPr>
        <w:t>ggtitle</w:t>
      </w:r>
      <w:proofErr w:type="spellEnd"/>
      <w:r w:rsidRPr="00BD262A">
        <w:rPr>
          <w:rFonts w:ascii="Microsoft YaHei Light" w:eastAsia="Microsoft YaHei Light" w:hAnsi="Microsoft YaHei Light"/>
        </w:rPr>
        <w:t xml:space="preserve">("Evolution de l'investissement") + </w:t>
      </w:r>
    </w:p>
    <w:p w14:paraId="79369314" w14:textId="77777777" w:rsidR="00BD262A" w:rsidRDefault="00BD262A" w:rsidP="00BD262A">
      <w:r w:rsidRPr="00BD262A">
        <w:rPr>
          <w:rFonts w:ascii="Microsoft YaHei Light" w:eastAsia="Microsoft YaHei Light" w:hAnsi="Microsoft YaHei Light"/>
        </w:rPr>
        <w:t xml:space="preserve">  </w:t>
      </w:r>
      <w:proofErr w:type="spellStart"/>
      <w:r w:rsidRPr="00BD262A">
        <w:rPr>
          <w:rFonts w:ascii="Microsoft YaHei Light" w:eastAsia="Microsoft YaHei Light" w:hAnsi="Microsoft YaHei Light"/>
        </w:rPr>
        <w:t>xlab</w:t>
      </w:r>
      <w:proofErr w:type="spellEnd"/>
      <w:r w:rsidRPr="00BD262A">
        <w:rPr>
          <w:rFonts w:ascii="Microsoft YaHei Light" w:eastAsia="Microsoft YaHei Light" w:hAnsi="Microsoft YaHei Light"/>
        </w:rPr>
        <w:t xml:space="preserve">("") + </w:t>
      </w:r>
      <w:proofErr w:type="spellStart"/>
      <w:r w:rsidRPr="00BD262A">
        <w:rPr>
          <w:rFonts w:ascii="Microsoft YaHei Light" w:eastAsia="Microsoft YaHei Light" w:hAnsi="Microsoft YaHei Light"/>
        </w:rPr>
        <w:t>ylab</w:t>
      </w:r>
      <w:proofErr w:type="spellEnd"/>
      <w:r w:rsidRPr="00BD262A">
        <w:rPr>
          <w:rFonts w:ascii="Microsoft YaHei Light" w:eastAsia="Microsoft YaHei Light" w:hAnsi="Microsoft YaHei Light"/>
        </w:rPr>
        <w:t>("value")</w:t>
      </w:r>
      <w:r>
        <w:t xml:space="preserve"> </w:t>
      </w:r>
      <w:r w:rsidRPr="00BD262A">
        <w:rPr>
          <w:i/>
        </w:rPr>
        <w:t>#Graphique</w:t>
      </w:r>
      <w:r>
        <w:t xml:space="preserve"> </w:t>
      </w:r>
    </w:p>
    <w:p w14:paraId="3DB5663E" w14:textId="77777777" w:rsidR="00BD262A" w:rsidRDefault="00BD262A" w:rsidP="00BD262A">
      <w:r w:rsidRPr="00BD262A">
        <w:rPr>
          <w:rFonts w:ascii="Microsoft YaHei Light" w:eastAsia="Microsoft YaHei Light" w:hAnsi="Microsoft YaHei Light"/>
        </w:rPr>
        <w:t xml:space="preserve">p2 </w:t>
      </w:r>
      <w:r w:rsidRPr="00BD262A">
        <w:rPr>
          <w:i/>
        </w:rPr>
        <w:t>#Représentation</w:t>
      </w:r>
      <w:r>
        <w:t xml:space="preserve"> </w:t>
      </w:r>
    </w:p>
    <w:p w14:paraId="73203BA7" w14:textId="77777777" w:rsidR="00BD262A" w:rsidRDefault="00BD262A" w:rsidP="00BD262A"/>
    <w:p w14:paraId="1AA5CF01" w14:textId="71C4EA9C" w:rsidR="00BD262A" w:rsidRDefault="00BD262A" w:rsidP="00BD262A"/>
    <w:p w14:paraId="2A695D7B" w14:textId="77777777" w:rsidR="007F69B7" w:rsidRDefault="007F69B7" w:rsidP="00BD262A"/>
    <w:p w14:paraId="369D5B6C" w14:textId="77777777" w:rsidR="00BD262A" w:rsidRPr="007F69B7" w:rsidRDefault="00BD262A" w:rsidP="00BD262A">
      <w:pPr>
        <w:rPr>
          <w:b/>
          <w:bCs/>
          <w:i/>
        </w:rPr>
      </w:pPr>
      <w:r w:rsidRPr="007F69B7">
        <w:rPr>
          <w:b/>
          <w:bCs/>
          <w:i/>
        </w:rPr>
        <w:lastRenderedPageBreak/>
        <w:t>#Evolution des concours publics</w:t>
      </w:r>
    </w:p>
    <w:p w14:paraId="4DC90B7C" w14:textId="77777777" w:rsidR="00BD262A" w:rsidRPr="00BD262A" w:rsidRDefault="00BD262A" w:rsidP="00BD262A">
      <w:pPr>
        <w:rPr>
          <w:rFonts w:ascii="Microsoft YaHei Light" w:eastAsia="Microsoft YaHei Light" w:hAnsi="Microsoft YaHei Light"/>
        </w:rPr>
      </w:pPr>
      <w:r w:rsidRPr="00BD262A">
        <w:rPr>
          <w:rFonts w:ascii="Microsoft YaHei Light" w:eastAsia="Microsoft YaHei Light" w:hAnsi="Microsoft YaHei Light"/>
        </w:rPr>
        <w:t>serie3&lt;-</w:t>
      </w:r>
      <w:proofErr w:type="spellStart"/>
      <w:r w:rsidRPr="00BD262A">
        <w:rPr>
          <w:rFonts w:ascii="Microsoft YaHei Light" w:eastAsia="Microsoft YaHei Light" w:hAnsi="Microsoft YaHei Light"/>
        </w:rPr>
        <w:t>data.frame</w:t>
      </w:r>
      <w:proofErr w:type="spellEnd"/>
      <w:r w:rsidRPr="00BD262A">
        <w:rPr>
          <w:rFonts w:ascii="Microsoft YaHei Light" w:eastAsia="Microsoft YaHei Light" w:hAnsi="Microsoft YaHei Light"/>
        </w:rPr>
        <w:t>(x=database1$Periode,y=database1$`CONCOURS PUBLICS`)</w:t>
      </w:r>
    </w:p>
    <w:p w14:paraId="34CA784D" w14:textId="77777777" w:rsidR="00BD262A" w:rsidRPr="00BD262A" w:rsidRDefault="00BD262A" w:rsidP="00BD262A">
      <w:pPr>
        <w:rPr>
          <w:rFonts w:ascii="Microsoft YaHei Light" w:eastAsia="Microsoft YaHei Light" w:hAnsi="Microsoft YaHei Light"/>
        </w:rPr>
      </w:pPr>
      <w:r w:rsidRPr="00BD262A">
        <w:rPr>
          <w:rFonts w:ascii="Microsoft YaHei Light" w:eastAsia="Microsoft YaHei Light" w:hAnsi="Microsoft YaHei Light"/>
        </w:rPr>
        <w:t xml:space="preserve">p3 &lt;- </w:t>
      </w:r>
      <w:proofErr w:type="spellStart"/>
      <w:r w:rsidRPr="00BD262A">
        <w:rPr>
          <w:rFonts w:ascii="Microsoft YaHei Light" w:eastAsia="Microsoft YaHei Light" w:hAnsi="Microsoft YaHei Light"/>
        </w:rPr>
        <w:t>ggplot</w:t>
      </w:r>
      <w:proofErr w:type="spellEnd"/>
      <w:r w:rsidRPr="00BD262A">
        <w:rPr>
          <w:rFonts w:ascii="Microsoft YaHei Light" w:eastAsia="Microsoft YaHei Light" w:hAnsi="Microsoft YaHei Light"/>
        </w:rPr>
        <w:t xml:space="preserve">(serie3, </w:t>
      </w:r>
      <w:proofErr w:type="spellStart"/>
      <w:r w:rsidRPr="00BD262A">
        <w:rPr>
          <w:rFonts w:ascii="Microsoft YaHei Light" w:eastAsia="Microsoft YaHei Light" w:hAnsi="Microsoft YaHei Light"/>
        </w:rPr>
        <w:t>aes</w:t>
      </w:r>
      <w:proofErr w:type="spellEnd"/>
      <w:r w:rsidRPr="00BD262A">
        <w:rPr>
          <w:rFonts w:ascii="Microsoft YaHei Light" w:eastAsia="Microsoft YaHei Light" w:hAnsi="Microsoft YaHei Light"/>
        </w:rPr>
        <w:t xml:space="preserve">(x=database1$Periode,y=database1$`CONCOURS PUBLICS`)) + </w:t>
      </w:r>
      <w:proofErr w:type="spellStart"/>
      <w:r w:rsidRPr="00BD262A">
        <w:rPr>
          <w:rFonts w:ascii="Microsoft YaHei Light" w:eastAsia="Microsoft YaHei Light" w:hAnsi="Microsoft YaHei Light"/>
        </w:rPr>
        <w:t>geom_line</w:t>
      </w:r>
      <w:proofErr w:type="spellEnd"/>
      <w:r w:rsidRPr="00BD262A">
        <w:rPr>
          <w:rFonts w:ascii="Microsoft YaHei Light" w:eastAsia="Microsoft YaHei Light" w:hAnsi="Microsoft YaHei Light"/>
        </w:rPr>
        <w:t xml:space="preserve">() + </w:t>
      </w:r>
      <w:proofErr w:type="spellStart"/>
      <w:r w:rsidRPr="00BD262A">
        <w:rPr>
          <w:rFonts w:ascii="Microsoft YaHei Light" w:eastAsia="Microsoft YaHei Light" w:hAnsi="Microsoft YaHei Light"/>
        </w:rPr>
        <w:t>ggtitle</w:t>
      </w:r>
      <w:proofErr w:type="spellEnd"/>
      <w:r w:rsidRPr="00BD262A">
        <w:rPr>
          <w:rFonts w:ascii="Microsoft YaHei Light" w:eastAsia="Microsoft YaHei Light" w:hAnsi="Microsoft YaHei Light"/>
        </w:rPr>
        <w:t xml:space="preserve">("Evolution des concours publics") + </w:t>
      </w:r>
    </w:p>
    <w:p w14:paraId="5675FD29" w14:textId="77777777" w:rsidR="00BD262A" w:rsidRPr="00077A16" w:rsidRDefault="00BD262A" w:rsidP="00BD262A">
      <w:pPr>
        <w:rPr>
          <w:rFonts w:ascii="Microsoft YaHei Light" w:eastAsia="Microsoft YaHei Light" w:hAnsi="Microsoft YaHei Light"/>
          <w:lang w:val="it-IT"/>
        </w:rPr>
      </w:pPr>
      <w:r w:rsidRPr="00BD262A">
        <w:rPr>
          <w:rFonts w:ascii="Microsoft YaHei Light" w:eastAsia="Microsoft YaHei Light" w:hAnsi="Microsoft YaHei Light"/>
        </w:rPr>
        <w:t xml:space="preserve">  </w:t>
      </w:r>
      <w:proofErr w:type="spellStart"/>
      <w:r w:rsidRPr="00077A16">
        <w:rPr>
          <w:rFonts w:ascii="Microsoft YaHei Light" w:eastAsia="Microsoft YaHei Light" w:hAnsi="Microsoft YaHei Light"/>
          <w:lang w:val="it-IT"/>
        </w:rPr>
        <w:t>xlab</w:t>
      </w:r>
      <w:proofErr w:type="spellEnd"/>
      <w:r w:rsidRPr="00077A16">
        <w:rPr>
          <w:rFonts w:ascii="Microsoft YaHei Light" w:eastAsia="Microsoft YaHei Light" w:hAnsi="Microsoft YaHei Light"/>
          <w:lang w:val="it-IT"/>
        </w:rPr>
        <w:t xml:space="preserve">("") + </w:t>
      </w:r>
      <w:proofErr w:type="spellStart"/>
      <w:r w:rsidRPr="00077A16">
        <w:rPr>
          <w:rFonts w:ascii="Microsoft YaHei Light" w:eastAsia="Microsoft YaHei Light" w:hAnsi="Microsoft YaHei Light"/>
          <w:lang w:val="it-IT"/>
        </w:rPr>
        <w:t>ylab</w:t>
      </w:r>
      <w:proofErr w:type="spellEnd"/>
      <w:r w:rsidRPr="00077A16">
        <w:rPr>
          <w:rFonts w:ascii="Microsoft YaHei Light" w:eastAsia="Microsoft YaHei Light" w:hAnsi="Microsoft YaHei Light"/>
          <w:lang w:val="it-IT"/>
        </w:rPr>
        <w:t>("</w:t>
      </w:r>
      <w:proofErr w:type="spellStart"/>
      <w:r w:rsidRPr="00077A16">
        <w:rPr>
          <w:rFonts w:ascii="Microsoft YaHei Light" w:eastAsia="Microsoft YaHei Light" w:hAnsi="Microsoft YaHei Light"/>
          <w:lang w:val="it-IT"/>
        </w:rPr>
        <w:t>value</w:t>
      </w:r>
      <w:proofErr w:type="spellEnd"/>
      <w:r w:rsidRPr="00077A16">
        <w:rPr>
          <w:rFonts w:ascii="Microsoft YaHei Light" w:eastAsia="Microsoft YaHei Light" w:hAnsi="Microsoft YaHei Light"/>
          <w:lang w:val="it-IT"/>
        </w:rPr>
        <w:t>")</w:t>
      </w:r>
    </w:p>
    <w:p w14:paraId="04834539" w14:textId="3F8EC6AF" w:rsidR="00BD262A" w:rsidRPr="00077A16" w:rsidRDefault="00BD262A" w:rsidP="00BD262A">
      <w:pPr>
        <w:rPr>
          <w:rFonts w:ascii="Microsoft YaHei Light" w:eastAsia="Microsoft YaHei Light" w:hAnsi="Microsoft YaHei Light"/>
          <w:lang w:val="it-IT"/>
        </w:rPr>
      </w:pPr>
      <w:r w:rsidRPr="00077A16">
        <w:rPr>
          <w:rFonts w:ascii="Microsoft YaHei Light" w:eastAsia="Microsoft YaHei Light" w:hAnsi="Microsoft YaHei Light"/>
          <w:lang w:val="it-IT"/>
        </w:rPr>
        <w:t>p3</w:t>
      </w:r>
    </w:p>
    <w:p w14:paraId="3B034A50" w14:textId="77777777" w:rsidR="00BD262A" w:rsidRPr="00077A16" w:rsidRDefault="00BD262A" w:rsidP="00BD262A">
      <w:pPr>
        <w:rPr>
          <w:rFonts w:ascii="Microsoft YaHei Light" w:eastAsia="Microsoft YaHei Light" w:hAnsi="Microsoft YaHei Light"/>
          <w:lang w:val="it-IT"/>
        </w:rPr>
      </w:pPr>
      <w:r w:rsidRPr="00077A16">
        <w:rPr>
          <w:rFonts w:ascii="Microsoft YaHei Light" w:eastAsia="Microsoft YaHei Light" w:hAnsi="Microsoft YaHei Light"/>
          <w:lang w:val="it-IT"/>
        </w:rPr>
        <w:t>serie4&lt;-</w:t>
      </w:r>
      <w:proofErr w:type="spellStart"/>
      <w:r w:rsidRPr="00077A16">
        <w:rPr>
          <w:rFonts w:ascii="Microsoft YaHei Light" w:eastAsia="Microsoft YaHei Light" w:hAnsi="Microsoft YaHei Light"/>
          <w:lang w:val="it-IT"/>
        </w:rPr>
        <w:t>data.frame</w:t>
      </w:r>
      <w:proofErr w:type="spellEnd"/>
      <w:r w:rsidRPr="00077A16">
        <w:rPr>
          <w:rFonts w:ascii="Microsoft YaHei Light" w:eastAsia="Microsoft YaHei Light" w:hAnsi="Microsoft YaHei Light"/>
          <w:lang w:val="it-IT"/>
        </w:rPr>
        <w:t>(x=database1$Periode,y=database1$`offre commerciale`)</w:t>
      </w:r>
    </w:p>
    <w:p w14:paraId="0846B828" w14:textId="77777777" w:rsidR="00BD262A" w:rsidRPr="00077A16" w:rsidRDefault="00BD262A" w:rsidP="00BD262A">
      <w:pPr>
        <w:rPr>
          <w:rFonts w:ascii="Microsoft YaHei Light" w:eastAsia="Microsoft YaHei Light" w:hAnsi="Microsoft YaHei Light"/>
          <w:lang w:val="it-IT"/>
        </w:rPr>
      </w:pPr>
      <w:r w:rsidRPr="00077A16">
        <w:rPr>
          <w:rFonts w:ascii="Microsoft YaHei Light" w:eastAsia="Microsoft YaHei Light" w:hAnsi="Microsoft YaHei Light"/>
          <w:lang w:val="it-IT"/>
        </w:rPr>
        <w:t xml:space="preserve">p4 &lt;- </w:t>
      </w:r>
      <w:proofErr w:type="spellStart"/>
      <w:r w:rsidRPr="00077A16">
        <w:rPr>
          <w:rFonts w:ascii="Microsoft YaHei Light" w:eastAsia="Microsoft YaHei Light" w:hAnsi="Microsoft YaHei Light"/>
          <w:lang w:val="it-IT"/>
        </w:rPr>
        <w:t>ggplot</w:t>
      </w:r>
      <w:proofErr w:type="spellEnd"/>
      <w:r w:rsidRPr="00077A16">
        <w:rPr>
          <w:rFonts w:ascii="Microsoft YaHei Light" w:eastAsia="Microsoft YaHei Light" w:hAnsi="Microsoft YaHei Light"/>
          <w:lang w:val="it-IT"/>
        </w:rPr>
        <w:t xml:space="preserve">(serie4, </w:t>
      </w:r>
      <w:proofErr w:type="spellStart"/>
      <w:r w:rsidRPr="00077A16">
        <w:rPr>
          <w:rFonts w:ascii="Microsoft YaHei Light" w:eastAsia="Microsoft YaHei Light" w:hAnsi="Microsoft YaHei Light"/>
          <w:lang w:val="it-IT"/>
        </w:rPr>
        <w:t>aes</w:t>
      </w:r>
      <w:proofErr w:type="spellEnd"/>
      <w:r w:rsidRPr="00077A16">
        <w:rPr>
          <w:rFonts w:ascii="Microsoft YaHei Light" w:eastAsia="Microsoft YaHei Light" w:hAnsi="Microsoft YaHei Light"/>
          <w:lang w:val="it-IT"/>
        </w:rPr>
        <w:t xml:space="preserve">(x=database1$Periode,y=database1$`offre commerciale`)) + </w:t>
      </w:r>
      <w:proofErr w:type="spellStart"/>
      <w:r w:rsidRPr="00077A16">
        <w:rPr>
          <w:rFonts w:ascii="Microsoft YaHei Light" w:eastAsia="Microsoft YaHei Light" w:hAnsi="Microsoft YaHei Light"/>
          <w:lang w:val="it-IT"/>
        </w:rPr>
        <w:t>geom_line</w:t>
      </w:r>
      <w:proofErr w:type="spellEnd"/>
      <w:r w:rsidRPr="00077A16">
        <w:rPr>
          <w:rFonts w:ascii="Microsoft YaHei Light" w:eastAsia="Microsoft YaHei Light" w:hAnsi="Microsoft YaHei Light"/>
          <w:lang w:val="it-IT"/>
        </w:rPr>
        <w:t xml:space="preserve">() + </w:t>
      </w:r>
      <w:proofErr w:type="spellStart"/>
      <w:r w:rsidRPr="00077A16">
        <w:rPr>
          <w:rFonts w:ascii="Microsoft YaHei Light" w:eastAsia="Microsoft YaHei Light" w:hAnsi="Microsoft YaHei Light"/>
          <w:lang w:val="it-IT"/>
        </w:rPr>
        <w:t>ggtitle</w:t>
      </w:r>
      <w:proofErr w:type="spellEnd"/>
      <w:r w:rsidRPr="00077A16">
        <w:rPr>
          <w:rFonts w:ascii="Microsoft YaHei Light" w:eastAsia="Microsoft YaHei Light" w:hAnsi="Microsoft YaHei Light"/>
          <w:lang w:val="it-IT"/>
        </w:rPr>
        <w:t>("</w:t>
      </w:r>
      <w:proofErr w:type="spellStart"/>
      <w:r w:rsidRPr="00077A16">
        <w:rPr>
          <w:rFonts w:ascii="Microsoft YaHei Light" w:eastAsia="Microsoft YaHei Light" w:hAnsi="Microsoft YaHei Light"/>
          <w:lang w:val="it-IT"/>
        </w:rPr>
        <w:t>Evolution</w:t>
      </w:r>
      <w:proofErr w:type="spellEnd"/>
      <w:r w:rsidRPr="00077A16">
        <w:rPr>
          <w:rFonts w:ascii="Microsoft YaHei Light" w:eastAsia="Microsoft YaHei Light" w:hAnsi="Microsoft YaHei Light"/>
          <w:lang w:val="it-IT"/>
        </w:rPr>
        <w:t xml:space="preserve"> de l'offre commerciale") + </w:t>
      </w:r>
    </w:p>
    <w:p w14:paraId="1C1388E3" w14:textId="77777777" w:rsidR="00BD262A" w:rsidRPr="00077A16" w:rsidRDefault="00BD262A" w:rsidP="00BD262A">
      <w:pPr>
        <w:rPr>
          <w:rFonts w:ascii="Microsoft YaHei Light" w:eastAsia="Microsoft YaHei Light" w:hAnsi="Microsoft YaHei Light"/>
          <w:lang w:val="it-IT"/>
        </w:rPr>
      </w:pPr>
      <w:r w:rsidRPr="00077A16">
        <w:rPr>
          <w:rFonts w:ascii="Microsoft YaHei Light" w:eastAsia="Microsoft YaHei Light" w:hAnsi="Microsoft YaHei Light"/>
          <w:lang w:val="it-IT"/>
        </w:rPr>
        <w:t xml:space="preserve">  </w:t>
      </w:r>
      <w:proofErr w:type="spellStart"/>
      <w:r w:rsidRPr="00077A16">
        <w:rPr>
          <w:rFonts w:ascii="Microsoft YaHei Light" w:eastAsia="Microsoft YaHei Light" w:hAnsi="Microsoft YaHei Light"/>
          <w:lang w:val="it-IT"/>
        </w:rPr>
        <w:t>xlab</w:t>
      </w:r>
      <w:proofErr w:type="spellEnd"/>
      <w:r w:rsidRPr="00077A16">
        <w:rPr>
          <w:rFonts w:ascii="Microsoft YaHei Light" w:eastAsia="Microsoft YaHei Light" w:hAnsi="Microsoft YaHei Light"/>
          <w:lang w:val="it-IT"/>
        </w:rPr>
        <w:t xml:space="preserve">("") + </w:t>
      </w:r>
      <w:proofErr w:type="spellStart"/>
      <w:r w:rsidRPr="00077A16">
        <w:rPr>
          <w:rFonts w:ascii="Microsoft YaHei Light" w:eastAsia="Microsoft YaHei Light" w:hAnsi="Microsoft YaHei Light"/>
          <w:lang w:val="it-IT"/>
        </w:rPr>
        <w:t>ylab</w:t>
      </w:r>
      <w:proofErr w:type="spellEnd"/>
      <w:r w:rsidRPr="00077A16">
        <w:rPr>
          <w:rFonts w:ascii="Microsoft YaHei Light" w:eastAsia="Microsoft YaHei Light" w:hAnsi="Microsoft YaHei Light"/>
          <w:lang w:val="it-IT"/>
        </w:rPr>
        <w:t>("</w:t>
      </w:r>
      <w:proofErr w:type="spellStart"/>
      <w:r w:rsidRPr="00077A16">
        <w:rPr>
          <w:rFonts w:ascii="Microsoft YaHei Light" w:eastAsia="Microsoft YaHei Light" w:hAnsi="Microsoft YaHei Light"/>
          <w:lang w:val="it-IT"/>
        </w:rPr>
        <w:t>value</w:t>
      </w:r>
      <w:proofErr w:type="spellEnd"/>
      <w:r w:rsidRPr="00077A16">
        <w:rPr>
          <w:rFonts w:ascii="Microsoft YaHei Light" w:eastAsia="Microsoft YaHei Light" w:hAnsi="Microsoft YaHei Light"/>
          <w:lang w:val="it-IT"/>
        </w:rPr>
        <w:t>")</w:t>
      </w:r>
    </w:p>
    <w:p w14:paraId="34772257" w14:textId="77777777" w:rsidR="00BD262A" w:rsidRPr="00BD262A" w:rsidRDefault="00BD262A" w:rsidP="00BD262A">
      <w:pPr>
        <w:rPr>
          <w:rFonts w:ascii="Microsoft YaHei Light" w:eastAsia="Microsoft YaHei Light" w:hAnsi="Microsoft YaHei Light"/>
        </w:rPr>
      </w:pPr>
      <w:r w:rsidRPr="00BD262A">
        <w:rPr>
          <w:rFonts w:ascii="Microsoft YaHei Light" w:eastAsia="Microsoft YaHei Light" w:hAnsi="Microsoft YaHei Light"/>
        </w:rPr>
        <w:t>p4</w:t>
      </w:r>
    </w:p>
    <w:p w14:paraId="596D2E15" w14:textId="77777777" w:rsidR="00BD262A" w:rsidRDefault="00BD262A" w:rsidP="00BD262A"/>
    <w:p w14:paraId="4C8DCA99" w14:textId="77777777" w:rsidR="00BD262A" w:rsidRPr="007F69B7" w:rsidRDefault="00BD262A" w:rsidP="00BD262A">
      <w:pPr>
        <w:rPr>
          <w:b/>
          <w:bCs/>
          <w:i/>
        </w:rPr>
      </w:pPr>
      <w:r w:rsidRPr="007F69B7">
        <w:rPr>
          <w:b/>
          <w:bCs/>
          <w:i/>
        </w:rPr>
        <w:t>#Matrice corrélation entre les variables</w:t>
      </w:r>
    </w:p>
    <w:p w14:paraId="76A229CB" w14:textId="77777777" w:rsidR="00BD262A" w:rsidRPr="00BD262A" w:rsidRDefault="00BD262A" w:rsidP="00BD262A">
      <w:pPr>
        <w:rPr>
          <w:rFonts w:ascii="Microsoft YaHei Light" w:eastAsia="Microsoft YaHei Light" w:hAnsi="Microsoft YaHei Light"/>
        </w:rPr>
      </w:pPr>
      <w:r w:rsidRPr="00BD262A">
        <w:rPr>
          <w:rFonts w:ascii="Microsoft YaHei Light" w:eastAsia="Microsoft YaHei Light" w:hAnsi="Microsoft YaHei Light"/>
        </w:rPr>
        <w:t>matrice&lt;-data.frame(database1$Rentabilite,database1$Investissement,database1$`CONCOURS PUBLICS`,database1$`offre commerciale` )</w:t>
      </w:r>
    </w:p>
    <w:p w14:paraId="462A4542" w14:textId="77777777" w:rsidR="00BD262A" w:rsidRPr="00BD262A" w:rsidRDefault="00BD262A" w:rsidP="00BD262A">
      <w:pPr>
        <w:rPr>
          <w:rFonts w:ascii="Microsoft YaHei Light" w:eastAsia="Microsoft YaHei Light" w:hAnsi="Microsoft YaHei Light"/>
        </w:rPr>
      </w:pPr>
      <w:proofErr w:type="spellStart"/>
      <w:r w:rsidRPr="00BD262A">
        <w:rPr>
          <w:rFonts w:ascii="Microsoft YaHei Light" w:eastAsia="Microsoft YaHei Light" w:hAnsi="Microsoft YaHei Light"/>
        </w:rPr>
        <w:t>mcor</w:t>
      </w:r>
      <w:proofErr w:type="spellEnd"/>
      <w:r w:rsidRPr="00BD262A">
        <w:rPr>
          <w:rFonts w:ascii="Microsoft YaHei Light" w:eastAsia="Microsoft YaHei Light" w:hAnsi="Microsoft YaHei Light"/>
        </w:rPr>
        <w:t xml:space="preserve"> &lt;- cor(matrice)</w:t>
      </w:r>
    </w:p>
    <w:p w14:paraId="5EAFE033" w14:textId="77777777" w:rsidR="00BD262A" w:rsidRPr="00BD262A" w:rsidRDefault="00BD262A" w:rsidP="00BD262A">
      <w:pPr>
        <w:rPr>
          <w:rFonts w:ascii="Microsoft YaHei Light" w:eastAsia="Microsoft YaHei Light" w:hAnsi="Microsoft YaHei Light"/>
        </w:rPr>
      </w:pPr>
      <w:proofErr w:type="spellStart"/>
      <w:r w:rsidRPr="00BD262A">
        <w:rPr>
          <w:rFonts w:ascii="Microsoft YaHei Light" w:eastAsia="Microsoft YaHei Light" w:hAnsi="Microsoft YaHei Light"/>
        </w:rPr>
        <w:t>mcor</w:t>
      </w:r>
      <w:proofErr w:type="spellEnd"/>
    </w:p>
    <w:p w14:paraId="1C38DB99" w14:textId="77777777" w:rsidR="00BD262A" w:rsidRPr="007F69B7" w:rsidRDefault="00BD262A" w:rsidP="00BD262A">
      <w:pPr>
        <w:rPr>
          <w:b/>
          <w:bCs/>
          <w:i/>
        </w:rPr>
      </w:pPr>
      <w:r w:rsidRPr="007F69B7">
        <w:rPr>
          <w:b/>
          <w:bCs/>
          <w:i/>
        </w:rPr>
        <w:t>#Relation entre les variables</w:t>
      </w:r>
    </w:p>
    <w:p w14:paraId="4C4D329B" w14:textId="77777777" w:rsidR="00BD262A" w:rsidRPr="007F69B7" w:rsidRDefault="00BD262A" w:rsidP="00BD262A">
      <w:pPr>
        <w:rPr>
          <w:b/>
          <w:bCs/>
          <w:i/>
        </w:rPr>
      </w:pPr>
      <w:r w:rsidRPr="007F69B7">
        <w:rPr>
          <w:b/>
          <w:bCs/>
          <w:i/>
        </w:rPr>
        <w:t xml:space="preserve">  #Rentabilité et investissement</w:t>
      </w:r>
    </w:p>
    <w:p w14:paraId="489B3CB9" w14:textId="77777777" w:rsidR="00BD262A" w:rsidRPr="00BD262A" w:rsidRDefault="00BD262A" w:rsidP="00BD262A">
      <w:pPr>
        <w:rPr>
          <w:rFonts w:ascii="Microsoft YaHei Light" w:eastAsia="Microsoft YaHei Light" w:hAnsi="Microsoft YaHei Light"/>
        </w:rPr>
      </w:pPr>
      <w:r w:rsidRPr="00BD262A">
        <w:rPr>
          <w:rFonts w:ascii="Microsoft YaHei Light" w:eastAsia="Microsoft YaHei Light" w:hAnsi="Microsoft YaHei Light"/>
        </w:rPr>
        <w:t>relation1&lt;-</w:t>
      </w:r>
      <w:proofErr w:type="spellStart"/>
      <w:r w:rsidRPr="00BD262A">
        <w:rPr>
          <w:rFonts w:ascii="Microsoft YaHei Light" w:eastAsia="Microsoft YaHei Light" w:hAnsi="Microsoft YaHei Light"/>
        </w:rPr>
        <w:t>data.frame</w:t>
      </w:r>
      <w:proofErr w:type="spellEnd"/>
      <w:r w:rsidRPr="00BD262A">
        <w:rPr>
          <w:rFonts w:ascii="Microsoft YaHei Light" w:eastAsia="Microsoft YaHei Light" w:hAnsi="Microsoft YaHei Light"/>
        </w:rPr>
        <w:t>(x= database1$Investissement,y=database1$Rentabilite)</w:t>
      </w:r>
    </w:p>
    <w:p w14:paraId="06756BF0" w14:textId="77777777" w:rsidR="00BD262A" w:rsidRPr="00BD262A" w:rsidRDefault="00BD262A" w:rsidP="00BD262A">
      <w:pPr>
        <w:rPr>
          <w:rFonts w:ascii="Microsoft YaHei Light" w:eastAsia="Microsoft YaHei Light" w:hAnsi="Microsoft YaHei Light"/>
        </w:rPr>
      </w:pPr>
      <w:r w:rsidRPr="00BD262A">
        <w:rPr>
          <w:rFonts w:ascii="Microsoft YaHei Light" w:eastAsia="Microsoft YaHei Light" w:hAnsi="Microsoft YaHei Light"/>
        </w:rPr>
        <w:t>g1&lt;-</w:t>
      </w:r>
      <w:proofErr w:type="spellStart"/>
      <w:r w:rsidRPr="00BD262A">
        <w:rPr>
          <w:rFonts w:ascii="Microsoft YaHei Light" w:eastAsia="Microsoft YaHei Light" w:hAnsi="Microsoft YaHei Light"/>
        </w:rPr>
        <w:t>ggplot</w:t>
      </w:r>
      <w:proofErr w:type="spellEnd"/>
      <w:r w:rsidRPr="00BD262A">
        <w:rPr>
          <w:rFonts w:ascii="Microsoft YaHei Light" w:eastAsia="Microsoft YaHei Light" w:hAnsi="Microsoft YaHei Light"/>
        </w:rPr>
        <w:t xml:space="preserve">(relation1, </w:t>
      </w:r>
      <w:proofErr w:type="spellStart"/>
      <w:r w:rsidRPr="00BD262A">
        <w:rPr>
          <w:rFonts w:ascii="Microsoft YaHei Light" w:eastAsia="Microsoft YaHei Light" w:hAnsi="Microsoft YaHei Light"/>
        </w:rPr>
        <w:t>aes</w:t>
      </w:r>
      <w:proofErr w:type="spellEnd"/>
      <w:r w:rsidRPr="00BD262A">
        <w:rPr>
          <w:rFonts w:ascii="Microsoft YaHei Light" w:eastAsia="Microsoft YaHei Light" w:hAnsi="Microsoft YaHei Light"/>
        </w:rPr>
        <w:t>(</w:t>
      </w:r>
      <w:proofErr w:type="spellStart"/>
      <w:r w:rsidRPr="00BD262A">
        <w:rPr>
          <w:rFonts w:ascii="Microsoft YaHei Light" w:eastAsia="Microsoft YaHei Light" w:hAnsi="Microsoft YaHei Light"/>
        </w:rPr>
        <w:t>x,y</w:t>
      </w:r>
      <w:proofErr w:type="spellEnd"/>
      <w:r w:rsidRPr="00BD262A">
        <w:rPr>
          <w:rFonts w:ascii="Microsoft YaHei Light" w:eastAsia="Microsoft YaHei Light" w:hAnsi="Microsoft YaHei Light"/>
        </w:rPr>
        <w:t xml:space="preserve">)) + </w:t>
      </w:r>
      <w:proofErr w:type="spellStart"/>
      <w:r w:rsidRPr="00BD262A">
        <w:rPr>
          <w:rFonts w:ascii="Microsoft YaHei Light" w:eastAsia="Microsoft YaHei Light" w:hAnsi="Microsoft YaHei Light"/>
        </w:rPr>
        <w:t>geom_point</w:t>
      </w:r>
      <w:proofErr w:type="spellEnd"/>
      <w:r w:rsidRPr="00BD262A">
        <w:rPr>
          <w:rFonts w:ascii="Microsoft YaHei Light" w:eastAsia="Microsoft YaHei Light" w:hAnsi="Microsoft YaHei Light"/>
        </w:rPr>
        <w:t xml:space="preserve">() + </w:t>
      </w:r>
      <w:proofErr w:type="spellStart"/>
      <w:r w:rsidRPr="00BD262A">
        <w:rPr>
          <w:rFonts w:ascii="Microsoft YaHei Light" w:eastAsia="Microsoft YaHei Light" w:hAnsi="Microsoft YaHei Light"/>
        </w:rPr>
        <w:t>ggtitle</w:t>
      </w:r>
      <w:proofErr w:type="spellEnd"/>
      <w:r w:rsidRPr="00BD262A">
        <w:rPr>
          <w:rFonts w:ascii="Microsoft YaHei Light" w:eastAsia="Microsoft YaHei Light" w:hAnsi="Microsoft YaHei Light"/>
        </w:rPr>
        <w:t xml:space="preserve">("Relation entre la rentabilité et les investissements en environnement") + </w:t>
      </w:r>
    </w:p>
    <w:p w14:paraId="61BA8AC9" w14:textId="77777777" w:rsidR="00BD262A" w:rsidRPr="00BD262A" w:rsidRDefault="00BD262A" w:rsidP="00BD262A">
      <w:pPr>
        <w:rPr>
          <w:rFonts w:ascii="Microsoft YaHei Light" w:eastAsia="Microsoft YaHei Light" w:hAnsi="Microsoft YaHei Light"/>
        </w:rPr>
      </w:pPr>
      <w:r w:rsidRPr="00BD262A">
        <w:rPr>
          <w:rFonts w:ascii="Microsoft YaHei Light" w:eastAsia="Microsoft YaHei Light" w:hAnsi="Microsoft YaHei Light"/>
        </w:rPr>
        <w:t xml:space="preserve">  </w:t>
      </w:r>
      <w:proofErr w:type="spellStart"/>
      <w:r w:rsidRPr="00BD262A">
        <w:rPr>
          <w:rFonts w:ascii="Microsoft YaHei Light" w:eastAsia="Microsoft YaHei Light" w:hAnsi="Microsoft YaHei Light"/>
        </w:rPr>
        <w:t>xlab</w:t>
      </w:r>
      <w:proofErr w:type="spellEnd"/>
      <w:r w:rsidRPr="00BD262A">
        <w:rPr>
          <w:rFonts w:ascii="Microsoft YaHei Light" w:eastAsia="Microsoft YaHei Light" w:hAnsi="Microsoft YaHei Light"/>
        </w:rPr>
        <w:t xml:space="preserve">("Investissement") + </w:t>
      </w:r>
      <w:proofErr w:type="spellStart"/>
      <w:r w:rsidRPr="00BD262A">
        <w:rPr>
          <w:rFonts w:ascii="Microsoft YaHei Light" w:eastAsia="Microsoft YaHei Light" w:hAnsi="Microsoft YaHei Light"/>
        </w:rPr>
        <w:t>ylab</w:t>
      </w:r>
      <w:proofErr w:type="spellEnd"/>
      <w:r w:rsidRPr="00BD262A">
        <w:rPr>
          <w:rFonts w:ascii="Microsoft YaHei Light" w:eastAsia="Microsoft YaHei Light" w:hAnsi="Microsoft YaHei Light"/>
        </w:rPr>
        <w:t>("Rentabilité")</w:t>
      </w:r>
    </w:p>
    <w:p w14:paraId="4C6B2E7D" w14:textId="7EEB0543" w:rsidR="00BD262A" w:rsidRDefault="00BD262A" w:rsidP="00BD262A">
      <w:pPr>
        <w:rPr>
          <w:rFonts w:ascii="Microsoft YaHei Light" w:eastAsia="Microsoft YaHei Light" w:hAnsi="Microsoft YaHei Light"/>
        </w:rPr>
      </w:pPr>
      <w:r w:rsidRPr="00BD262A">
        <w:rPr>
          <w:rFonts w:ascii="Microsoft YaHei Light" w:eastAsia="Microsoft YaHei Light" w:hAnsi="Microsoft YaHei Light"/>
        </w:rPr>
        <w:t>g1</w:t>
      </w:r>
    </w:p>
    <w:p w14:paraId="1935E536" w14:textId="77777777" w:rsidR="007F69B7" w:rsidRPr="00BD262A" w:rsidRDefault="007F69B7" w:rsidP="00BD262A">
      <w:pPr>
        <w:rPr>
          <w:rFonts w:ascii="Microsoft YaHei Light" w:eastAsia="Microsoft YaHei Light" w:hAnsi="Microsoft YaHei Light"/>
        </w:rPr>
      </w:pPr>
    </w:p>
    <w:p w14:paraId="46E359B6" w14:textId="77777777" w:rsidR="00BD262A" w:rsidRPr="007F69B7" w:rsidRDefault="00BD262A" w:rsidP="00BD262A">
      <w:pPr>
        <w:rPr>
          <w:b/>
          <w:bCs/>
          <w:i/>
        </w:rPr>
      </w:pPr>
      <w:r w:rsidRPr="007F69B7">
        <w:rPr>
          <w:b/>
          <w:bCs/>
          <w:i/>
        </w:rPr>
        <w:lastRenderedPageBreak/>
        <w:t xml:space="preserve">  #Rentabilité et concours publics</w:t>
      </w:r>
    </w:p>
    <w:p w14:paraId="1AF56EF7" w14:textId="77777777" w:rsidR="00BD262A" w:rsidRPr="00BD262A" w:rsidRDefault="00BD262A" w:rsidP="00BD262A">
      <w:pPr>
        <w:rPr>
          <w:rFonts w:ascii="Microsoft YaHei Light" w:eastAsia="Microsoft YaHei Light" w:hAnsi="Microsoft YaHei Light"/>
        </w:rPr>
      </w:pPr>
      <w:r w:rsidRPr="00BD262A">
        <w:rPr>
          <w:rFonts w:ascii="Microsoft YaHei Light" w:eastAsia="Microsoft YaHei Light" w:hAnsi="Microsoft YaHei Light"/>
        </w:rPr>
        <w:t>relation2&lt;-</w:t>
      </w:r>
      <w:proofErr w:type="spellStart"/>
      <w:r w:rsidRPr="00BD262A">
        <w:rPr>
          <w:rFonts w:ascii="Microsoft YaHei Light" w:eastAsia="Microsoft YaHei Light" w:hAnsi="Microsoft YaHei Light"/>
        </w:rPr>
        <w:t>data.frame</w:t>
      </w:r>
      <w:proofErr w:type="spellEnd"/>
      <w:r w:rsidRPr="00BD262A">
        <w:rPr>
          <w:rFonts w:ascii="Microsoft YaHei Light" w:eastAsia="Microsoft YaHei Light" w:hAnsi="Microsoft YaHei Light"/>
        </w:rPr>
        <w:t xml:space="preserve">(x= database1$`CONCOURS </w:t>
      </w:r>
      <w:proofErr w:type="spellStart"/>
      <w:r w:rsidRPr="00BD262A">
        <w:rPr>
          <w:rFonts w:ascii="Microsoft YaHei Light" w:eastAsia="Microsoft YaHei Light" w:hAnsi="Microsoft YaHei Light"/>
        </w:rPr>
        <w:t>PUBLICS`,y</w:t>
      </w:r>
      <w:proofErr w:type="spellEnd"/>
      <w:r w:rsidRPr="00BD262A">
        <w:rPr>
          <w:rFonts w:ascii="Microsoft YaHei Light" w:eastAsia="Microsoft YaHei Light" w:hAnsi="Microsoft YaHei Light"/>
        </w:rPr>
        <w:t>=database1$Rentabilite)</w:t>
      </w:r>
    </w:p>
    <w:p w14:paraId="54AEB705" w14:textId="77777777" w:rsidR="00BD262A" w:rsidRPr="00BD262A" w:rsidRDefault="00BD262A" w:rsidP="00BD262A">
      <w:pPr>
        <w:rPr>
          <w:rFonts w:ascii="Microsoft YaHei Light" w:eastAsia="Microsoft YaHei Light" w:hAnsi="Microsoft YaHei Light"/>
        </w:rPr>
      </w:pPr>
      <w:r w:rsidRPr="00BD262A">
        <w:rPr>
          <w:rFonts w:ascii="Microsoft YaHei Light" w:eastAsia="Microsoft YaHei Light" w:hAnsi="Microsoft YaHei Light"/>
        </w:rPr>
        <w:t>g2&lt;-</w:t>
      </w:r>
      <w:proofErr w:type="spellStart"/>
      <w:r w:rsidRPr="00BD262A">
        <w:rPr>
          <w:rFonts w:ascii="Microsoft YaHei Light" w:eastAsia="Microsoft YaHei Light" w:hAnsi="Microsoft YaHei Light"/>
        </w:rPr>
        <w:t>ggplot</w:t>
      </w:r>
      <w:proofErr w:type="spellEnd"/>
      <w:r w:rsidRPr="00BD262A">
        <w:rPr>
          <w:rFonts w:ascii="Microsoft YaHei Light" w:eastAsia="Microsoft YaHei Light" w:hAnsi="Microsoft YaHei Light"/>
        </w:rPr>
        <w:t xml:space="preserve">(relation2, </w:t>
      </w:r>
      <w:proofErr w:type="spellStart"/>
      <w:r w:rsidRPr="00BD262A">
        <w:rPr>
          <w:rFonts w:ascii="Microsoft YaHei Light" w:eastAsia="Microsoft YaHei Light" w:hAnsi="Microsoft YaHei Light"/>
        </w:rPr>
        <w:t>aes</w:t>
      </w:r>
      <w:proofErr w:type="spellEnd"/>
      <w:r w:rsidRPr="00BD262A">
        <w:rPr>
          <w:rFonts w:ascii="Microsoft YaHei Light" w:eastAsia="Microsoft YaHei Light" w:hAnsi="Microsoft YaHei Light"/>
        </w:rPr>
        <w:t>(</w:t>
      </w:r>
      <w:proofErr w:type="spellStart"/>
      <w:r w:rsidRPr="00BD262A">
        <w:rPr>
          <w:rFonts w:ascii="Microsoft YaHei Light" w:eastAsia="Microsoft YaHei Light" w:hAnsi="Microsoft YaHei Light"/>
        </w:rPr>
        <w:t>x,y</w:t>
      </w:r>
      <w:proofErr w:type="spellEnd"/>
      <w:r w:rsidRPr="00BD262A">
        <w:rPr>
          <w:rFonts w:ascii="Microsoft YaHei Light" w:eastAsia="Microsoft YaHei Light" w:hAnsi="Microsoft YaHei Light"/>
        </w:rPr>
        <w:t xml:space="preserve">)) + </w:t>
      </w:r>
      <w:proofErr w:type="spellStart"/>
      <w:r w:rsidRPr="00BD262A">
        <w:rPr>
          <w:rFonts w:ascii="Microsoft YaHei Light" w:eastAsia="Microsoft YaHei Light" w:hAnsi="Microsoft YaHei Light"/>
        </w:rPr>
        <w:t>geom_point</w:t>
      </w:r>
      <w:proofErr w:type="spellEnd"/>
      <w:r w:rsidRPr="00BD262A">
        <w:rPr>
          <w:rFonts w:ascii="Microsoft YaHei Light" w:eastAsia="Microsoft YaHei Light" w:hAnsi="Microsoft YaHei Light"/>
        </w:rPr>
        <w:t xml:space="preserve">() + </w:t>
      </w:r>
      <w:proofErr w:type="spellStart"/>
      <w:r w:rsidRPr="00BD262A">
        <w:rPr>
          <w:rFonts w:ascii="Microsoft YaHei Light" w:eastAsia="Microsoft YaHei Light" w:hAnsi="Microsoft YaHei Light"/>
        </w:rPr>
        <w:t>ggtitle</w:t>
      </w:r>
      <w:proofErr w:type="spellEnd"/>
      <w:r w:rsidRPr="00BD262A">
        <w:rPr>
          <w:rFonts w:ascii="Microsoft YaHei Light" w:eastAsia="Microsoft YaHei Light" w:hAnsi="Microsoft YaHei Light"/>
        </w:rPr>
        <w:t xml:space="preserve">("Relation entre la rentabilité et les concours publics") + </w:t>
      </w:r>
    </w:p>
    <w:p w14:paraId="4DB02AFC" w14:textId="77777777" w:rsidR="00BD262A" w:rsidRPr="00BD262A" w:rsidRDefault="00BD262A" w:rsidP="00BD262A">
      <w:pPr>
        <w:rPr>
          <w:rFonts w:ascii="Microsoft YaHei Light" w:eastAsia="Microsoft YaHei Light" w:hAnsi="Microsoft YaHei Light"/>
        </w:rPr>
      </w:pPr>
      <w:r w:rsidRPr="00BD262A">
        <w:rPr>
          <w:rFonts w:ascii="Microsoft YaHei Light" w:eastAsia="Microsoft YaHei Light" w:hAnsi="Microsoft YaHei Light"/>
        </w:rPr>
        <w:t xml:space="preserve">  </w:t>
      </w:r>
      <w:proofErr w:type="spellStart"/>
      <w:r w:rsidRPr="00BD262A">
        <w:rPr>
          <w:rFonts w:ascii="Microsoft YaHei Light" w:eastAsia="Microsoft YaHei Light" w:hAnsi="Microsoft YaHei Light"/>
        </w:rPr>
        <w:t>xlab</w:t>
      </w:r>
      <w:proofErr w:type="spellEnd"/>
      <w:r w:rsidRPr="00BD262A">
        <w:rPr>
          <w:rFonts w:ascii="Microsoft YaHei Light" w:eastAsia="Microsoft YaHei Light" w:hAnsi="Microsoft YaHei Light"/>
        </w:rPr>
        <w:t xml:space="preserve">("Concours Publics") + </w:t>
      </w:r>
      <w:proofErr w:type="spellStart"/>
      <w:r w:rsidRPr="00BD262A">
        <w:rPr>
          <w:rFonts w:ascii="Microsoft YaHei Light" w:eastAsia="Microsoft YaHei Light" w:hAnsi="Microsoft YaHei Light"/>
        </w:rPr>
        <w:t>ylab</w:t>
      </w:r>
      <w:proofErr w:type="spellEnd"/>
      <w:r w:rsidRPr="00BD262A">
        <w:rPr>
          <w:rFonts w:ascii="Microsoft YaHei Light" w:eastAsia="Microsoft YaHei Light" w:hAnsi="Microsoft YaHei Light"/>
        </w:rPr>
        <w:t>("Rentabilité")</w:t>
      </w:r>
    </w:p>
    <w:p w14:paraId="7A6DDC29" w14:textId="77777777" w:rsidR="00BD262A" w:rsidRPr="00BD262A" w:rsidRDefault="00BD262A" w:rsidP="00BD262A">
      <w:pPr>
        <w:rPr>
          <w:rFonts w:ascii="Microsoft YaHei Light" w:eastAsia="Microsoft YaHei Light" w:hAnsi="Microsoft YaHei Light"/>
        </w:rPr>
      </w:pPr>
      <w:r w:rsidRPr="00BD262A">
        <w:rPr>
          <w:rFonts w:ascii="Microsoft YaHei Light" w:eastAsia="Microsoft YaHei Light" w:hAnsi="Microsoft YaHei Light"/>
        </w:rPr>
        <w:t>g2</w:t>
      </w:r>
    </w:p>
    <w:p w14:paraId="63A41032" w14:textId="77777777" w:rsidR="00BD262A" w:rsidRPr="00BD262A" w:rsidRDefault="00BD262A" w:rsidP="00BD262A">
      <w:pPr>
        <w:rPr>
          <w:rFonts w:ascii="Microsoft YaHei Light" w:eastAsia="Microsoft YaHei Light" w:hAnsi="Microsoft YaHei Light"/>
        </w:rPr>
      </w:pPr>
    </w:p>
    <w:p w14:paraId="280E3F62" w14:textId="77777777" w:rsidR="00BD262A" w:rsidRPr="00BD262A" w:rsidRDefault="00BD262A" w:rsidP="00BD262A">
      <w:pPr>
        <w:rPr>
          <w:rFonts w:ascii="Microsoft YaHei Light" w:eastAsia="Microsoft YaHei Light" w:hAnsi="Microsoft YaHei Light"/>
        </w:rPr>
      </w:pPr>
      <w:r w:rsidRPr="00BD262A">
        <w:rPr>
          <w:rFonts w:ascii="Microsoft YaHei Light" w:eastAsia="Microsoft YaHei Light" w:hAnsi="Microsoft YaHei Light"/>
        </w:rPr>
        <w:t>relation3&lt;-</w:t>
      </w:r>
      <w:proofErr w:type="spellStart"/>
      <w:r w:rsidRPr="00BD262A">
        <w:rPr>
          <w:rFonts w:ascii="Microsoft YaHei Light" w:eastAsia="Microsoft YaHei Light" w:hAnsi="Microsoft YaHei Light"/>
        </w:rPr>
        <w:t>data.frame</w:t>
      </w:r>
      <w:proofErr w:type="spellEnd"/>
      <w:r w:rsidRPr="00BD262A">
        <w:rPr>
          <w:rFonts w:ascii="Microsoft YaHei Light" w:eastAsia="Microsoft YaHei Light" w:hAnsi="Microsoft YaHei Light"/>
        </w:rPr>
        <w:t xml:space="preserve">(x= database1$`offre </w:t>
      </w:r>
      <w:proofErr w:type="spellStart"/>
      <w:r w:rsidRPr="00BD262A">
        <w:rPr>
          <w:rFonts w:ascii="Microsoft YaHei Light" w:eastAsia="Microsoft YaHei Light" w:hAnsi="Microsoft YaHei Light"/>
        </w:rPr>
        <w:t>commerciale`,y</w:t>
      </w:r>
      <w:proofErr w:type="spellEnd"/>
      <w:r w:rsidRPr="00BD262A">
        <w:rPr>
          <w:rFonts w:ascii="Microsoft YaHei Light" w:eastAsia="Microsoft YaHei Light" w:hAnsi="Microsoft YaHei Light"/>
        </w:rPr>
        <w:t>=database1$Rentabilite)</w:t>
      </w:r>
    </w:p>
    <w:p w14:paraId="45A257AF" w14:textId="77777777" w:rsidR="00BD262A" w:rsidRPr="00BD262A" w:rsidRDefault="00BD262A" w:rsidP="00BD262A">
      <w:pPr>
        <w:rPr>
          <w:rFonts w:ascii="Microsoft YaHei Light" w:eastAsia="Microsoft YaHei Light" w:hAnsi="Microsoft YaHei Light"/>
        </w:rPr>
      </w:pPr>
      <w:r w:rsidRPr="00BD262A">
        <w:rPr>
          <w:rFonts w:ascii="Microsoft YaHei Light" w:eastAsia="Microsoft YaHei Light" w:hAnsi="Microsoft YaHei Light"/>
        </w:rPr>
        <w:t>g3&lt;-</w:t>
      </w:r>
      <w:proofErr w:type="spellStart"/>
      <w:r w:rsidRPr="00BD262A">
        <w:rPr>
          <w:rFonts w:ascii="Microsoft YaHei Light" w:eastAsia="Microsoft YaHei Light" w:hAnsi="Microsoft YaHei Light"/>
        </w:rPr>
        <w:t>ggplot</w:t>
      </w:r>
      <w:proofErr w:type="spellEnd"/>
      <w:r w:rsidRPr="00BD262A">
        <w:rPr>
          <w:rFonts w:ascii="Microsoft YaHei Light" w:eastAsia="Microsoft YaHei Light" w:hAnsi="Microsoft YaHei Light"/>
        </w:rPr>
        <w:t xml:space="preserve">(relation3, </w:t>
      </w:r>
      <w:proofErr w:type="spellStart"/>
      <w:r w:rsidRPr="00BD262A">
        <w:rPr>
          <w:rFonts w:ascii="Microsoft YaHei Light" w:eastAsia="Microsoft YaHei Light" w:hAnsi="Microsoft YaHei Light"/>
        </w:rPr>
        <w:t>aes</w:t>
      </w:r>
      <w:proofErr w:type="spellEnd"/>
      <w:r w:rsidRPr="00BD262A">
        <w:rPr>
          <w:rFonts w:ascii="Microsoft YaHei Light" w:eastAsia="Microsoft YaHei Light" w:hAnsi="Microsoft YaHei Light"/>
        </w:rPr>
        <w:t>(</w:t>
      </w:r>
      <w:proofErr w:type="spellStart"/>
      <w:r w:rsidRPr="00BD262A">
        <w:rPr>
          <w:rFonts w:ascii="Microsoft YaHei Light" w:eastAsia="Microsoft YaHei Light" w:hAnsi="Microsoft YaHei Light"/>
        </w:rPr>
        <w:t>x,y</w:t>
      </w:r>
      <w:proofErr w:type="spellEnd"/>
      <w:r w:rsidRPr="00BD262A">
        <w:rPr>
          <w:rFonts w:ascii="Microsoft YaHei Light" w:eastAsia="Microsoft YaHei Light" w:hAnsi="Microsoft YaHei Light"/>
        </w:rPr>
        <w:t xml:space="preserve">)) + </w:t>
      </w:r>
      <w:proofErr w:type="spellStart"/>
      <w:r w:rsidRPr="00BD262A">
        <w:rPr>
          <w:rFonts w:ascii="Microsoft YaHei Light" w:eastAsia="Microsoft YaHei Light" w:hAnsi="Microsoft YaHei Light"/>
        </w:rPr>
        <w:t>geom_point</w:t>
      </w:r>
      <w:proofErr w:type="spellEnd"/>
      <w:r w:rsidRPr="00BD262A">
        <w:rPr>
          <w:rFonts w:ascii="Microsoft YaHei Light" w:eastAsia="Microsoft YaHei Light" w:hAnsi="Microsoft YaHei Light"/>
        </w:rPr>
        <w:t xml:space="preserve">() + </w:t>
      </w:r>
      <w:proofErr w:type="spellStart"/>
      <w:r w:rsidRPr="00BD262A">
        <w:rPr>
          <w:rFonts w:ascii="Microsoft YaHei Light" w:eastAsia="Microsoft YaHei Light" w:hAnsi="Microsoft YaHei Light"/>
        </w:rPr>
        <w:t>ggtitle</w:t>
      </w:r>
      <w:proofErr w:type="spellEnd"/>
      <w:r w:rsidRPr="00BD262A">
        <w:rPr>
          <w:rFonts w:ascii="Microsoft YaHei Light" w:eastAsia="Microsoft YaHei Light" w:hAnsi="Microsoft YaHei Light"/>
        </w:rPr>
        <w:t xml:space="preserve">("Relation entre la rentabilité et l'offre commerciale") + </w:t>
      </w:r>
    </w:p>
    <w:p w14:paraId="000AC08D" w14:textId="77777777" w:rsidR="00BD262A" w:rsidRPr="00BD262A" w:rsidRDefault="00BD262A" w:rsidP="00BD262A">
      <w:pPr>
        <w:rPr>
          <w:rFonts w:ascii="Microsoft YaHei Light" w:eastAsia="Microsoft YaHei Light" w:hAnsi="Microsoft YaHei Light"/>
        </w:rPr>
      </w:pPr>
      <w:r w:rsidRPr="00BD262A">
        <w:rPr>
          <w:rFonts w:ascii="Microsoft YaHei Light" w:eastAsia="Microsoft YaHei Light" w:hAnsi="Microsoft YaHei Light"/>
        </w:rPr>
        <w:t xml:space="preserve">  </w:t>
      </w:r>
      <w:proofErr w:type="spellStart"/>
      <w:r w:rsidRPr="00BD262A">
        <w:rPr>
          <w:rFonts w:ascii="Microsoft YaHei Light" w:eastAsia="Microsoft YaHei Light" w:hAnsi="Microsoft YaHei Light"/>
        </w:rPr>
        <w:t>xlab</w:t>
      </w:r>
      <w:proofErr w:type="spellEnd"/>
      <w:r w:rsidRPr="00BD262A">
        <w:rPr>
          <w:rFonts w:ascii="Microsoft YaHei Light" w:eastAsia="Microsoft YaHei Light" w:hAnsi="Microsoft YaHei Light"/>
        </w:rPr>
        <w:t xml:space="preserve">("offre commerciale") + </w:t>
      </w:r>
      <w:proofErr w:type="spellStart"/>
      <w:r w:rsidRPr="00BD262A">
        <w:rPr>
          <w:rFonts w:ascii="Microsoft YaHei Light" w:eastAsia="Microsoft YaHei Light" w:hAnsi="Microsoft YaHei Light"/>
        </w:rPr>
        <w:t>ylab</w:t>
      </w:r>
      <w:proofErr w:type="spellEnd"/>
      <w:r w:rsidRPr="00BD262A">
        <w:rPr>
          <w:rFonts w:ascii="Microsoft YaHei Light" w:eastAsia="Microsoft YaHei Light" w:hAnsi="Microsoft YaHei Light"/>
        </w:rPr>
        <w:t>("Rentabilité")</w:t>
      </w:r>
    </w:p>
    <w:p w14:paraId="37898AE2" w14:textId="77777777" w:rsidR="00BD262A" w:rsidRPr="00BD262A" w:rsidRDefault="00BD262A" w:rsidP="00BD262A">
      <w:pPr>
        <w:rPr>
          <w:rFonts w:ascii="Microsoft YaHei Light" w:eastAsia="Microsoft YaHei Light" w:hAnsi="Microsoft YaHei Light"/>
        </w:rPr>
      </w:pPr>
      <w:r w:rsidRPr="00BD262A">
        <w:rPr>
          <w:rFonts w:ascii="Microsoft YaHei Light" w:eastAsia="Microsoft YaHei Light" w:hAnsi="Microsoft YaHei Light"/>
        </w:rPr>
        <w:t>g3</w:t>
      </w:r>
    </w:p>
    <w:p w14:paraId="06275261" w14:textId="77777777" w:rsidR="00BD262A" w:rsidRDefault="00BD262A" w:rsidP="00BD262A"/>
    <w:p w14:paraId="2D9018FF" w14:textId="05B6A4F1" w:rsidR="00BD262A" w:rsidRPr="007F69B7" w:rsidRDefault="00BD262A" w:rsidP="00BD262A">
      <w:pPr>
        <w:rPr>
          <w:b/>
          <w:bCs/>
          <w:i/>
        </w:rPr>
      </w:pPr>
      <w:r w:rsidRPr="007F69B7">
        <w:rPr>
          <w:b/>
          <w:bCs/>
          <w:i/>
        </w:rPr>
        <w:t>#stationnarité des séries</w:t>
      </w:r>
    </w:p>
    <w:p w14:paraId="0C1BCC9A" w14:textId="77777777" w:rsidR="00BD262A" w:rsidRPr="00BD262A" w:rsidRDefault="00BD262A" w:rsidP="00BD262A">
      <w:pPr>
        <w:rPr>
          <w:i/>
        </w:rPr>
      </w:pPr>
    </w:p>
    <w:p w14:paraId="2184DAE2" w14:textId="1914C9EA" w:rsidR="00BD262A" w:rsidRPr="007F69B7" w:rsidRDefault="00BD262A" w:rsidP="00BD262A">
      <w:pPr>
        <w:rPr>
          <w:b/>
          <w:bCs/>
          <w:i/>
        </w:rPr>
      </w:pPr>
      <w:r w:rsidRPr="007F69B7">
        <w:rPr>
          <w:b/>
          <w:bCs/>
          <w:i/>
        </w:rPr>
        <w:t xml:space="preserve">  #Rentabilité (stationnaire en niveau  sans tendance ni constante)</w:t>
      </w:r>
    </w:p>
    <w:p w14:paraId="00CDC6A7" w14:textId="77777777" w:rsidR="00BD262A" w:rsidRDefault="00BD262A" w:rsidP="00BD262A">
      <w:proofErr w:type="spellStart"/>
      <w:r w:rsidRPr="00BD262A">
        <w:rPr>
          <w:rFonts w:ascii="Microsoft YaHei Light" w:eastAsia="Microsoft YaHei Light" w:hAnsi="Microsoft YaHei Light"/>
        </w:rPr>
        <w:t>stationary.test</w:t>
      </w:r>
      <w:proofErr w:type="spellEnd"/>
      <w:r w:rsidRPr="00BD262A">
        <w:rPr>
          <w:rFonts w:ascii="Microsoft YaHei Light" w:eastAsia="Microsoft YaHei Light" w:hAnsi="Microsoft YaHei Light"/>
        </w:rPr>
        <w:t xml:space="preserve">(database1$Rentabilite) </w:t>
      </w:r>
      <w:r w:rsidRPr="00BD262A">
        <w:rPr>
          <w:i/>
        </w:rPr>
        <w:t xml:space="preserve">#Dickey-Fuller </w:t>
      </w:r>
      <w:proofErr w:type="spellStart"/>
      <w:r w:rsidRPr="00BD262A">
        <w:rPr>
          <w:i/>
        </w:rPr>
        <w:t>Augmented</w:t>
      </w:r>
      <w:proofErr w:type="spellEnd"/>
      <w:r>
        <w:t xml:space="preserve"> </w:t>
      </w:r>
    </w:p>
    <w:p w14:paraId="714AB122" w14:textId="77777777" w:rsidR="00BD262A" w:rsidRDefault="00BD262A" w:rsidP="00BD262A">
      <w:proofErr w:type="spellStart"/>
      <w:r w:rsidRPr="00BD262A">
        <w:rPr>
          <w:rFonts w:ascii="Microsoft YaHei Light" w:eastAsia="Microsoft YaHei Light" w:hAnsi="Microsoft YaHei Light"/>
        </w:rPr>
        <w:t>stationary.test</w:t>
      </w:r>
      <w:proofErr w:type="spellEnd"/>
      <w:r w:rsidRPr="00BD262A">
        <w:rPr>
          <w:rFonts w:ascii="Microsoft YaHei Light" w:eastAsia="Microsoft YaHei Light" w:hAnsi="Microsoft YaHei Light"/>
        </w:rPr>
        <w:t xml:space="preserve">(database1$Rentabilite, </w:t>
      </w:r>
      <w:proofErr w:type="spellStart"/>
      <w:r w:rsidRPr="00BD262A">
        <w:rPr>
          <w:rFonts w:ascii="Microsoft YaHei Light" w:eastAsia="Microsoft YaHei Light" w:hAnsi="Microsoft YaHei Light"/>
        </w:rPr>
        <w:t>method</w:t>
      </w:r>
      <w:proofErr w:type="spellEnd"/>
      <w:r w:rsidRPr="00BD262A">
        <w:rPr>
          <w:rFonts w:ascii="Microsoft YaHei Light" w:eastAsia="Microsoft YaHei Light" w:hAnsi="Microsoft YaHei Light"/>
        </w:rPr>
        <w:t xml:space="preserve"> = "pp")</w:t>
      </w:r>
      <w:r>
        <w:t xml:space="preserve"> </w:t>
      </w:r>
      <w:r w:rsidRPr="00BD262A">
        <w:rPr>
          <w:i/>
        </w:rPr>
        <w:t># Phillipe-Perron</w:t>
      </w:r>
    </w:p>
    <w:p w14:paraId="45329158" w14:textId="1A5B218D" w:rsidR="00BD262A" w:rsidRPr="00BD262A" w:rsidRDefault="00BD262A" w:rsidP="00BD262A">
      <w:pPr>
        <w:rPr>
          <w:rFonts w:ascii="Microsoft YaHei Light" w:eastAsia="Microsoft YaHei Light" w:hAnsi="Microsoft YaHei Light"/>
        </w:rPr>
      </w:pPr>
      <w:proofErr w:type="spellStart"/>
      <w:r w:rsidRPr="00BD262A">
        <w:rPr>
          <w:rFonts w:ascii="Microsoft YaHei Light" w:eastAsia="Microsoft YaHei Light" w:hAnsi="Microsoft YaHei Light"/>
        </w:rPr>
        <w:t>stationary.test</w:t>
      </w:r>
      <w:proofErr w:type="spellEnd"/>
      <w:r w:rsidRPr="00BD262A">
        <w:rPr>
          <w:rFonts w:ascii="Microsoft YaHei Light" w:eastAsia="Microsoft YaHei Light" w:hAnsi="Microsoft YaHei Light"/>
        </w:rPr>
        <w:t>(database1$Rentabilite,</w:t>
      </w:r>
      <w:r>
        <w:rPr>
          <w:rFonts w:ascii="Microsoft YaHei Light" w:eastAsia="Microsoft YaHei Light" w:hAnsi="Microsoft YaHei Light"/>
        </w:rPr>
        <w:t xml:space="preserve"> </w:t>
      </w:r>
      <w:proofErr w:type="spellStart"/>
      <w:r>
        <w:rPr>
          <w:rFonts w:ascii="Microsoft YaHei Light" w:eastAsia="Microsoft YaHei Light" w:hAnsi="Microsoft YaHei Light"/>
        </w:rPr>
        <w:t>method</w:t>
      </w:r>
      <w:proofErr w:type="spellEnd"/>
      <w:r>
        <w:rPr>
          <w:rFonts w:ascii="Microsoft YaHei Light" w:eastAsia="Microsoft YaHei Light" w:hAnsi="Microsoft YaHei Light"/>
        </w:rPr>
        <w:t xml:space="preserve"> = "</w:t>
      </w:r>
      <w:proofErr w:type="spellStart"/>
      <w:r>
        <w:rPr>
          <w:rFonts w:ascii="Microsoft YaHei Light" w:eastAsia="Microsoft YaHei Light" w:hAnsi="Microsoft YaHei Light"/>
        </w:rPr>
        <w:t>kpss</w:t>
      </w:r>
      <w:proofErr w:type="spellEnd"/>
      <w:r>
        <w:rPr>
          <w:rFonts w:ascii="Microsoft YaHei Light" w:eastAsia="Microsoft YaHei Light" w:hAnsi="Microsoft YaHei Light"/>
        </w:rPr>
        <w:t xml:space="preserve">") </w:t>
      </w:r>
    </w:p>
    <w:p w14:paraId="3FFEB0BD" w14:textId="77777777" w:rsidR="00BD262A" w:rsidRPr="0014607D" w:rsidRDefault="00BD262A" w:rsidP="00BD262A">
      <w:pPr>
        <w:rPr>
          <w:b/>
          <w:bCs/>
        </w:rPr>
      </w:pPr>
    </w:p>
    <w:p w14:paraId="28CF1F59" w14:textId="77777777" w:rsidR="00BD262A" w:rsidRPr="0014607D" w:rsidRDefault="00BD262A" w:rsidP="00BD262A">
      <w:pPr>
        <w:rPr>
          <w:b/>
          <w:bCs/>
          <w:i/>
        </w:rPr>
      </w:pPr>
      <w:r w:rsidRPr="0014607D">
        <w:rPr>
          <w:b/>
          <w:bCs/>
          <w:i/>
        </w:rPr>
        <w:t xml:space="preserve">  #Investissement (stationnaire en différence première avec tendance et constante)</w:t>
      </w:r>
    </w:p>
    <w:p w14:paraId="2CF26742" w14:textId="77777777" w:rsidR="00BD262A" w:rsidRPr="00BD262A" w:rsidRDefault="00BD262A" w:rsidP="00BD262A">
      <w:pPr>
        <w:rPr>
          <w:rFonts w:ascii="Microsoft YaHei Light" w:eastAsia="Microsoft YaHei Light" w:hAnsi="Microsoft YaHei Light"/>
        </w:rPr>
      </w:pPr>
      <w:proofErr w:type="spellStart"/>
      <w:r w:rsidRPr="00BD262A">
        <w:rPr>
          <w:rFonts w:ascii="Microsoft YaHei Light" w:eastAsia="Microsoft YaHei Light" w:hAnsi="Microsoft YaHei Light"/>
        </w:rPr>
        <w:t>stationary.test</w:t>
      </w:r>
      <w:proofErr w:type="spellEnd"/>
      <w:r w:rsidRPr="00BD262A">
        <w:rPr>
          <w:rFonts w:ascii="Microsoft YaHei Light" w:eastAsia="Microsoft YaHei Light" w:hAnsi="Microsoft YaHei Light"/>
        </w:rPr>
        <w:t xml:space="preserve">(database1$Investissement) </w:t>
      </w:r>
    </w:p>
    <w:p w14:paraId="6A702537" w14:textId="77777777" w:rsidR="00BD262A" w:rsidRPr="00BD262A" w:rsidRDefault="00BD262A" w:rsidP="00BD262A">
      <w:pPr>
        <w:rPr>
          <w:rFonts w:ascii="Microsoft YaHei Light" w:eastAsia="Microsoft YaHei Light" w:hAnsi="Microsoft YaHei Light"/>
        </w:rPr>
      </w:pPr>
      <w:proofErr w:type="spellStart"/>
      <w:r w:rsidRPr="00BD262A">
        <w:rPr>
          <w:rFonts w:ascii="Microsoft YaHei Light" w:eastAsia="Microsoft YaHei Light" w:hAnsi="Microsoft YaHei Light"/>
        </w:rPr>
        <w:t>stationary.test</w:t>
      </w:r>
      <w:proofErr w:type="spellEnd"/>
      <w:r w:rsidRPr="00BD262A">
        <w:rPr>
          <w:rFonts w:ascii="Microsoft YaHei Light" w:eastAsia="Microsoft YaHei Light" w:hAnsi="Microsoft YaHei Light"/>
        </w:rPr>
        <w:t xml:space="preserve">(database1$Investissement, </w:t>
      </w:r>
      <w:proofErr w:type="spellStart"/>
      <w:r w:rsidRPr="00BD262A">
        <w:rPr>
          <w:rFonts w:ascii="Microsoft YaHei Light" w:eastAsia="Microsoft YaHei Light" w:hAnsi="Microsoft YaHei Light"/>
        </w:rPr>
        <w:t>method</w:t>
      </w:r>
      <w:proofErr w:type="spellEnd"/>
      <w:r w:rsidRPr="00BD262A">
        <w:rPr>
          <w:rFonts w:ascii="Microsoft YaHei Light" w:eastAsia="Microsoft YaHei Light" w:hAnsi="Microsoft YaHei Light"/>
        </w:rPr>
        <w:t xml:space="preserve"> = "pp")</w:t>
      </w:r>
    </w:p>
    <w:p w14:paraId="6B50B1CE" w14:textId="77777777" w:rsidR="00BD262A" w:rsidRPr="00BD262A" w:rsidRDefault="00BD262A" w:rsidP="00BD262A">
      <w:pPr>
        <w:rPr>
          <w:rFonts w:ascii="Microsoft YaHei Light" w:eastAsia="Microsoft YaHei Light" w:hAnsi="Microsoft YaHei Light"/>
        </w:rPr>
      </w:pPr>
      <w:proofErr w:type="spellStart"/>
      <w:r w:rsidRPr="00BD262A">
        <w:rPr>
          <w:rFonts w:ascii="Microsoft YaHei Light" w:eastAsia="Microsoft YaHei Light" w:hAnsi="Microsoft YaHei Light"/>
        </w:rPr>
        <w:t>stationary.test</w:t>
      </w:r>
      <w:proofErr w:type="spellEnd"/>
      <w:r w:rsidRPr="00BD262A">
        <w:rPr>
          <w:rFonts w:ascii="Microsoft YaHei Light" w:eastAsia="Microsoft YaHei Light" w:hAnsi="Microsoft YaHei Light"/>
        </w:rPr>
        <w:t xml:space="preserve">(database1$Investissement, </w:t>
      </w:r>
      <w:proofErr w:type="spellStart"/>
      <w:r w:rsidRPr="00BD262A">
        <w:rPr>
          <w:rFonts w:ascii="Microsoft YaHei Light" w:eastAsia="Microsoft YaHei Light" w:hAnsi="Microsoft YaHei Light"/>
        </w:rPr>
        <w:t>method</w:t>
      </w:r>
      <w:proofErr w:type="spellEnd"/>
      <w:r w:rsidRPr="00BD262A">
        <w:rPr>
          <w:rFonts w:ascii="Microsoft YaHei Light" w:eastAsia="Microsoft YaHei Light" w:hAnsi="Microsoft YaHei Light"/>
        </w:rPr>
        <w:t xml:space="preserve"> = "</w:t>
      </w:r>
      <w:proofErr w:type="spellStart"/>
      <w:r w:rsidRPr="00BD262A">
        <w:rPr>
          <w:rFonts w:ascii="Microsoft YaHei Light" w:eastAsia="Microsoft YaHei Light" w:hAnsi="Microsoft YaHei Light"/>
        </w:rPr>
        <w:t>kpss</w:t>
      </w:r>
      <w:proofErr w:type="spellEnd"/>
      <w:r w:rsidRPr="00BD262A">
        <w:rPr>
          <w:rFonts w:ascii="Microsoft YaHei Light" w:eastAsia="Microsoft YaHei Light" w:hAnsi="Microsoft YaHei Light"/>
        </w:rPr>
        <w:t>")</w:t>
      </w:r>
    </w:p>
    <w:p w14:paraId="11C20B39" w14:textId="77777777" w:rsidR="00BD262A" w:rsidRPr="00BD262A" w:rsidRDefault="00BD262A" w:rsidP="00BD262A">
      <w:pPr>
        <w:rPr>
          <w:i/>
        </w:rPr>
      </w:pPr>
      <w:r w:rsidRPr="00BD262A">
        <w:rPr>
          <w:i/>
        </w:rPr>
        <w:t xml:space="preserve">  #Nous prenons la variable en différence première</w:t>
      </w:r>
    </w:p>
    <w:p w14:paraId="5C354606" w14:textId="77777777" w:rsidR="00BD262A" w:rsidRPr="00BD262A" w:rsidRDefault="00BD262A" w:rsidP="00BD262A">
      <w:pPr>
        <w:rPr>
          <w:rFonts w:ascii="Microsoft YaHei Light" w:eastAsia="Microsoft YaHei Light" w:hAnsi="Microsoft YaHei Light"/>
        </w:rPr>
      </w:pPr>
      <w:proofErr w:type="spellStart"/>
      <w:r w:rsidRPr="00BD262A">
        <w:rPr>
          <w:rFonts w:ascii="Microsoft YaHei Light" w:eastAsia="Microsoft YaHei Light" w:hAnsi="Microsoft YaHei Light"/>
        </w:rPr>
        <w:lastRenderedPageBreak/>
        <w:t>stationary.test</w:t>
      </w:r>
      <w:proofErr w:type="spellEnd"/>
      <w:r w:rsidRPr="00BD262A">
        <w:rPr>
          <w:rFonts w:ascii="Microsoft YaHei Light" w:eastAsia="Microsoft YaHei Light" w:hAnsi="Microsoft YaHei Light"/>
        </w:rPr>
        <w:t xml:space="preserve">(database1$deltaInvestissement) </w:t>
      </w:r>
    </w:p>
    <w:p w14:paraId="02CC367D" w14:textId="77777777" w:rsidR="00BD262A" w:rsidRPr="00BD262A" w:rsidRDefault="00BD262A" w:rsidP="00BD262A">
      <w:pPr>
        <w:rPr>
          <w:rFonts w:ascii="Microsoft YaHei Light" w:eastAsia="Microsoft YaHei Light" w:hAnsi="Microsoft YaHei Light"/>
        </w:rPr>
      </w:pPr>
      <w:proofErr w:type="spellStart"/>
      <w:r w:rsidRPr="00BD262A">
        <w:rPr>
          <w:rFonts w:ascii="Microsoft YaHei Light" w:eastAsia="Microsoft YaHei Light" w:hAnsi="Microsoft YaHei Light"/>
        </w:rPr>
        <w:t>stationary.test</w:t>
      </w:r>
      <w:proofErr w:type="spellEnd"/>
      <w:r w:rsidRPr="00BD262A">
        <w:rPr>
          <w:rFonts w:ascii="Microsoft YaHei Light" w:eastAsia="Microsoft YaHei Light" w:hAnsi="Microsoft YaHei Light"/>
        </w:rPr>
        <w:t xml:space="preserve">(database1$deltaInvestissement, </w:t>
      </w:r>
      <w:proofErr w:type="spellStart"/>
      <w:r w:rsidRPr="00BD262A">
        <w:rPr>
          <w:rFonts w:ascii="Microsoft YaHei Light" w:eastAsia="Microsoft YaHei Light" w:hAnsi="Microsoft YaHei Light"/>
        </w:rPr>
        <w:t>method</w:t>
      </w:r>
      <w:proofErr w:type="spellEnd"/>
      <w:r w:rsidRPr="00BD262A">
        <w:rPr>
          <w:rFonts w:ascii="Microsoft YaHei Light" w:eastAsia="Microsoft YaHei Light" w:hAnsi="Microsoft YaHei Light"/>
        </w:rPr>
        <w:t xml:space="preserve"> = "pp")</w:t>
      </w:r>
    </w:p>
    <w:p w14:paraId="6F5318DF" w14:textId="77777777" w:rsidR="00BD262A" w:rsidRPr="00BD262A" w:rsidRDefault="00BD262A" w:rsidP="00BD262A">
      <w:pPr>
        <w:rPr>
          <w:rFonts w:ascii="Microsoft YaHei Light" w:eastAsia="Microsoft YaHei Light" w:hAnsi="Microsoft YaHei Light"/>
        </w:rPr>
      </w:pPr>
      <w:proofErr w:type="spellStart"/>
      <w:r w:rsidRPr="00BD262A">
        <w:rPr>
          <w:rFonts w:ascii="Microsoft YaHei Light" w:eastAsia="Microsoft YaHei Light" w:hAnsi="Microsoft YaHei Light"/>
        </w:rPr>
        <w:t>stationary.test</w:t>
      </w:r>
      <w:proofErr w:type="spellEnd"/>
      <w:r w:rsidRPr="00BD262A">
        <w:rPr>
          <w:rFonts w:ascii="Microsoft YaHei Light" w:eastAsia="Microsoft YaHei Light" w:hAnsi="Microsoft YaHei Light"/>
        </w:rPr>
        <w:t xml:space="preserve">(database1$deltaInvestissement, </w:t>
      </w:r>
      <w:proofErr w:type="spellStart"/>
      <w:r w:rsidRPr="00BD262A">
        <w:rPr>
          <w:rFonts w:ascii="Microsoft YaHei Light" w:eastAsia="Microsoft YaHei Light" w:hAnsi="Microsoft YaHei Light"/>
        </w:rPr>
        <w:t>method</w:t>
      </w:r>
      <w:proofErr w:type="spellEnd"/>
      <w:r w:rsidRPr="00BD262A">
        <w:rPr>
          <w:rFonts w:ascii="Microsoft YaHei Light" w:eastAsia="Microsoft YaHei Light" w:hAnsi="Microsoft YaHei Light"/>
        </w:rPr>
        <w:t xml:space="preserve"> = "</w:t>
      </w:r>
      <w:proofErr w:type="spellStart"/>
      <w:r w:rsidRPr="00BD262A">
        <w:rPr>
          <w:rFonts w:ascii="Microsoft YaHei Light" w:eastAsia="Microsoft YaHei Light" w:hAnsi="Microsoft YaHei Light"/>
        </w:rPr>
        <w:t>kpss</w:t>
      </w:r>
      <w:proofErr w:type="spellEnd"/>
      <w:r w:rsidRPr="00BD262A">
        <w:rPr>
          <w:rFonts w:ascii="Microsoft YaHei Light" w:eastAsia="Microsoft YaHei Light" w:hAnsi="Microsoft YaHei Light"/>
        </w:rPr>
        <w:t>")</w:t>
      </w:r>
    </w:p>
    <w:p w14:paraId="61EE1D72" w14:textId="77777777" w:rsidR="00BD262A" w:rsidRDefault="00BD262A" w:rsidP="00BD262A"/>
    <w:p w14:paraId="06EC87B1" w14:textId="1ADADDB3" w:rsidR="00BD262A" w:rsidRPr="0014607D" w:rsidRDefault="00BD262A" w:rsidP="00BD262A">
      <w:pPr>
        <w:rPr>
          <w:rFonts w:asciiTheme="majorHAnsi" w:eastAsia="Microsoft YaHei Light" w:hAnsiTheme="majorHAnsi" w:cstheme="majorHAnsi"/>
          <w:b/>
          <w:bCs/>
          <w:i/>
        </w:rPr>
      </w:pPr>
      <w:r w:rsidRPr="0014607D">
        <w:rPr>
          <w:rFonts w:asciiTheme="majorHAnsi" w:eastAsia="Microsoft YaHei Light" w:hAnsiTheme="majorHAnsi" w:cstheme="majorHAnsi"/>
          <w:b/>
          <w:bCs/>
          <w:i/>
        </w:rPr>
        <w:t xml:space="preserve">  #Concours Publics (stationnaire en différence première avec constante sans tendance)</w:t>
      </w:r>
    </w:p>
    <w:p w14:paraId="3B1E4CA5" w14:textId="77777777" w:rsidR="00BD262A" w:rsidRPr="00BD262A" w:rsidRDefault="00BD262A" w:rsidP="00BD262A">
      <w:pPr>
        <w:rPr>
          <w:rFonts w:ascii="Microsoft YaHei Light" w:eastAsia="Microsoft YaHei Light" w:hAnsi="Microsoft YaHei Light"/>
        </w:rPr>
      </w:pPr>
      <w:proofErr w:type="spellStart"/>
      <w:r w:rsidRPr="00BD262A">
        <w:rPr>
          <w:rFonts w:ascii="Microsoft YaHei Light" w:eastAsia="Microsoft YaHei Light" w:hAnsi="Microsoft YaHei Light"/>
        </w:rPr>
        <w:t>stationary.test</w:t>
      </w:r>
      <w:proofErr w:type="spellEnd"/>
      <w:r w:rsidRPr="00BD262A">
        <w:rPr>
          <w:rFonts w:ascii="Microsoft YaHei Light" w:eastAsia="Microsoft YaHei Light" w:hAnsi="Microsoft YaHei Light"/>
        </w:rPr>
        <w:t xml:space="preserve">(database1$`CONCOURS PUBLICS`) </w:t>
      </w:r>
    </w:p>
    <w:p w14:paraId="146F2A63" w14:textId="77777777" w:rsidR="00BD262A" w:rsidRPr="00BD262A" w:rsidRDefault="00BD262A" w:rsidP="00BD262A">
      <w:pPr>
        <w:rPr>
          <w:rFonts w:ascii="Microsoft YaHei Light" w:eastAsia="Microsoft YaHei Light" w:hAnsi="Microsoft YaHei Light"/>
        </w:rPr>
      </w:pPr>
      <w:proofErr w:type="spellStart"/>
      <w:r w:rsidRPr="00BD262A">
        <w:rPr>
          <w:rFonts w:ascii="Microsoft YaHei Light" w:eastAsia="Microsoft YaHei Light" w:hAnsi="Microsoft YaHei Light"/>
        </w:rPr>
        <w:t>stationary.test</w:t>
      </w:r>
      <w:proofErr w:type="spellEnd"/>
      <w:r w:rsidRPr="00BD262A">
        <w:rPr>
          <w:rFonts w:ascii="Microsoft YaHei Light" w:eastAsia="Microsoft YaHei Light" w:hAnsi="Microsoft YaHei Light"/>
        </w:rPr>
        <w:t xml:space="preserve">(database1$`CONCOURS PUBLICS`, </w:t>
      </w:r>
      <w:proofErr w:type="spellStart"/>
      <w:r w:rsidRPr="00BD262A">
        <w:rPr>
          <w:rFonts w:ascii="Microsoft YaHei Light" w:eastAsia="Microsoft YaHei Light" w:hAnsi="Microsoft YaHei Light"/>
        </w:rPr>
        <w:t>method</w:t>
      </w:r>
      <w:proofErr w:type="spellEnd"/>
      <w:r w:rsidRPr="00BD262A">
        <w:rPr>
          <w:rFonts w:ascii="Microsoft YaHei Light" w:eastAsia="Microsoft YaHei Light" w:hAnsi="Microsoft YaHei Light"/>
        </w:rPr>
        <w:t xml:space="preserve"> = "pp")</w:t>
      </w:r>
    </w:p>
    <w:p w14:paraId="07B9E6A5" w14:textId="77777777" w:rsidR="00BD262A" w:rsidRPr="00BD262A" w:rsidRDefault="00BD262A" w:rsidP="00BD262A">
      <w:pPr>
        <w:rPr>
          <w:rFonts w:ascii="Microsoft YaHei Light" w:eastAsia="Microsoft YaHei Light" w:hAnsi="Microsoft YaHei Light"/>
        </w:rPr>
      </w:pPr>
      <w:proofErr w:type="spellStart"/>
      <w:r w:rsidRPr="00BD262A">
        <w:rPr>
          <w:rFonts w:ascii="Microsoft YaHei Light" w:eastAsia="Microsoft YaHei Light" w:hAnsi="Microsoft YaHei Light"/>
        </w:rPr>
        <w:t>stationary.test</w:t>
      </w:r>
      <w:proofErr w:type="spellEnd"/>
      <w:r w:rsidRPr="00BD262A">
        <w:rPr>
          <w:rFonts w:ascii="Microsoft YaHei Light" w:eastAsia="Microsoft YaHei Light" w:hAnsi="Microsoft YaHei Light"/>
        </w:rPr>
        <w:t xml:space="preserve">(database1$`CONCOURS PUBLICS`, </w:t>
      </w:r>
      <w:proofErr w:type="spellStart"/>
      <w:r w:rsidRPr="00BD262A">
        <w:rPr>
          <w:rFonts w:ascii="Microsoft YaHei Light" w:eastAsia="Microsoft YaHei Light" w:hAnsi="Microsoft YaHei Light"/>
        </w:rPr>
        <w:t>method</w:t>
      </w:r>
      <w:proofErr w:type="spellEnd"/>
      <w:r w:rsidRPr="00BD262A">
        <w:rPr>
          <w:rFonts w:ascii="Microsoft YaHei Light" w:eastAsia="Microsoft YaHei Light" w:hAnsi="Microsoft YaHei Light"/>
        </w:rPr>
        <w:t xml:space="preserve"> = "</w:t>
      </w:r>
      <w:proofErr w:type="spellStart"/>
      <w:r w:rsidRPr="00BD262A">
        <w:rPr>
          <w:rFonts w:ascii="Microsoft YaHei Light" w:eastAsia="Microsoft YaHei Light" w:hAnsi="Microsoft YaHei Light"/>
        </w:rPr>
        <w:t>kpss</w:t>
      </w:r>
      <w:proofErr w:type="spellEnd"/>
      <w:r w:rsidRPr="00BD262A">
        <w:rPr>
          <w:rFonts w:ascii="Microsoft YaHei Light" w:eastAsia="Microsoft YaHei Light" w:hAnsi="Microsoft YaHei Light"/>
        </w:rPr>
        <w:t>")</w:t>
      </w:r>
    </w:p>
    <w:p w14:paraId="01D1F0C8" w14:textId="77777777" w:rsidR="00BD262A" w:rsidRPr="00BD262A" w:rsidRDefault="00BD262A" w:rsidP="00BD262A">
      <w:pPr>
        <w:rPr>
          <w:i/>
        </w:rPr>
      </w:pPr>
      <w:r w:rsidRPr="00BD262A">
        <w:rPr>
          <w:i/>
        </w:rPr>
        <w:t xml:space="preserve">  #Différence première</w:t>
      </w:r>
    </w:p>
    <w:p w14:paraId="6E0EDBE8" w14:textId="77777777" w:rsidR="00BD262A" w:rsidRPr="00BD262A" w:rsidRDefault="00BD262A" w:rsidP="00BD262A">
      <w:pPr>
        <w:rPr>
          <w:rFonts w:ascii="Microsoft YaHei Light" w:eastAsia="Microsoft YaHei Light" w:hAnsi="Microsoft YaHei Light"/>
        </w:rPr>
      </w:pPr>
      <w:proofErr w:type="spellStart"/>
      <w:r w:rsidRPr="00BD262A">
        <w:rPr>
          <w:rFonts w:ascii="Microsoft YaHei Light" w:eastAsia="Microsoft YaHei Light" w:hAnsi="Microsoft YaHei Light"/>
        </w:rPr>
        <w:t>stationary.test</w:t>
      </w:r>
      <w:proofErr w:type="spellEnd"/>
      <w:r w:rsidRPr="00BD262A">
        <w:rPr>
          <w:rFonts w:ascii="Microsoft YaHei Light" w:eastAsia="Microsoft YaHei Light" w:hAnsi="Microsoft YaHei Light"/>
        </w:rPr>
        <w:t xml:space="preserve">(database1$`deltaCONCOURS PUBLICS`) </w:t>
      </w:r>
    </w:p>
    <w:p w14:paraId="4B17366A" w14:textId="77777777" w:rsidR="00BD262A" w:rsidRPr="00BD262A" w:rsidRDefault="00BD262A" w:rsidP="00BD262A">
      <w:pPr>
        <w:rPr>
          <w:rFonts w:ascii="Microsoft YaHei Light" w:eastAsia="Microsoft YaHei Light" w:hAnsi="Microsoft YaHei Light"/>
        </w:rPr>
      </w:pPr>
      <w:proofErr w:type="spellStart"/>
      <w:r w:rsidRPr="00BD262A">
        <w:rPr>
          <w:rFonts w:ascii="Microsoft YaHei Light" w:eastAsia="Microsoft YaHei Light" w:hAnsi="Microsoft YaHei Light"/>
        </w:rPr>
        <w:t>stationary.test</w:t>
      </w:r>
      <w:proofErr w:type="spellEnd"/>
      <w:r w:rsidRPr="00BD262A">
        <w:rPr>
          <w:rFonts w:ascii="Microsoft YaHei Light" w:eastAsia="Microsoft YaHei Light" w:hAnsi="Microsoft YaHei Light"/>
        </w:rPr>
        <w:t xml:space="preserve">(database1$`deltaCONCOURS PUBLICS`, </w:t>
      </w:r>
      <w:proofErr w:type="spellStart"/>
      <w:r w:rsidRPr="00BD262A">
        <w:rPr>
          <w:rFonts w:ascii="Microsoft YaHei Light" w:eastAsia="Microsoft YaHei Light" w:hAnsi="Microsoft YaHei Light"/>
        </w:rPr>
        <w:t>method</w:t>
      </w:r>
      <w:proofErr w:type="spellEnd"/>
      <w:r w:rsidRPr="00BD262A">
        <w:rPr>
          <w:rFonts w:ascii="Microsoft YaHei Light" w:eastAsia="Microsoft YaHei Light" w:hAnsi="Microsoft YaHei Light"/>
        </w:rPr>
        <w:t xml:space="preserve"> = "pp")</w:t>
      </w:r>
    </w:p>
    <w:p w14:paraId="548F56E6" w14:textId="77777777" w:rsidR="00BD262A" w:rsidRDefault="00BD262A" w:rsidP="00BD262A">
      <w:pPr>
        <w:rPr>
          <w:rFonts w:ascii="Microsoft YaHei Light" w:eastAsia="Microsoft YaHei Light" w:hAnsi="Microsoft YaHei Light"/>
        </w:rPr>
      </w:pPr>
      <w:proofErr w:type="spellStart"/>
      <w:r w:rsidRPr="00BD262A">
        <w:rPr>
          <w:rFonts w:ascii="Microsoft YaHei Light" w:eastAsia="Microsoft YaHei Light" w:hAnsi="Microsoft YaHei Light"/>
        </w:rPr>
        <w:t>stationary.test</w:t>
      </w:r>
      <w:proofErr w:type="spellEnd"/>
      <w:r w:rsidRPr="00BD262A">
        <w:rPr>
          <w:rFonts w:ascii="Microsoft YaHei Light" w:eastAsia="Microsoft YaHei Light" w:hAnsi="Microsoft YaHei Light"/>
        </w:rPr>
        <w:t xml:space="preserve">(database1$`deltaCONCOURS PUBLICS`, </w:t>
      </w:r>
      <w:proofErr w:type="spellStart"/>
      <w:r w:rsidRPr="00BD262A">
        <w:rPr>
          <w:rFonts w:ascii="Microsoft YaHei Light" w:eastAsia="Microsoft YaHei Light" w:hAnsi="Microsoft YaHei Light"/>
        </w:rPr>
        <w:t>method</w:t>
      </w:r>
      <w:proofErr w:type="spellEnd"/>
      <w:r w:rsidRPr="00BD262A">
        <w:rPr>
          <w:rFonts w:ascii="Microsoft YaHei Light" w:eastAsia="Microsoft YaHei Light" w:hAnsi="Microsoft YaHei Light"/>
        </w:rPr>
        <w:t xml:space="preserve"> = "</w:t>
      </w:r>
      <w:proofErr w:type="spellStart"/>
      <w:r w:rsidRPr="00BD262A">
        <w:rPr>
          <w:rFonts w:ascii="Microsoft YaHei Light" w:eastAsia="Microsoft YaHei Light" w:hAnsi="Microsoft YaHei Light"/>
        </w:rPr>
        <w:t>kpss</w:t>
      </w:r>
      <w:proofErr w:type="spellEnd"/>
      <w:r w:rsidRPr="00BD262A">
        <w:rPr>
          <w:rFonts w:ascii="Microsoft YaHei Light" w:eastAsia="Microsoft YaHei Light" w:hAnsi="Microsoft YaHei Light"/>
        </w:rPr>
        <w:t>")</w:t>
      </w:r>
    </w:p>
    <w:p w14:paraId="3FE6EFF5" w14:textId="77777777" w:rsidR="00BD262A" w:rsidRPr="00BD262A" w:rsidRDefault="00BD262A" w:rsidP="00BD262A">
      <w:pPr>
        <w:rPr>
          <w:rFonts w:ascii="Microsoft YaHei Light" w:eastAsia="Microsoft YaHei Light" w:hAnsi="Microsoft YaHei Light"/>
        </w:rPr>
      </w:pPr>
    </w:p>
    <w:p w14:paraId="2E4C4B06" w14:textId="79C4F4BF" w:rsidR="00BD262A" w:rsidRPr="0014607D" w:rsidRDefault="00BD262A" w:rsidP="00BD262A">
      <w:pPr>
        <w:rPr>
          <w:rFonts w:asciiTheme="majorHAnsi" w:eastAsia="Microsoft YaHei Light" w:hAnsiTheme="majorHAnsi" w:cstheme="majorHAnsi"/>
          <w:b/>
          <w:bCs/>
          <w:i/>
        </w:rPr>
      </w:pPr>
      <w:r w:rsidRPr="0014607D">
        <w:rPr>
          <w:rFonts w:asciiTheme="majorHAnsi" w:eastAsia="Microsoft YaHei Light" w:hAnsiTheme="majorHAnsi" w:cstheme="majorHAnsi"/>
          <w:b/>
          <w:bCs/>
          <w:i/>
        </w:rPr>
        <w:t xml:space="preserve">  #Offre commerciale (stationnaire en différence première sans constante ni tendance)</w:t>
      </w:r>
    </w:p>
    <w:p w14:paraId="64D62AC8" w14:textId="77777777" w:rsidR="00BD262A" w:rsidRPr="00BD262A" w:rsidRDefault="00BD262A" w:rsidP="00BD262A">
      <w:pPr>
        <w:rPr>
          <w:rFonts w:ascii="Microsoft YaHei Light" w:eastAsia="Microsoft YaHei Light" w:hAnsi="Microsoft YaHei Light"/>
        </w:rPr>
      </w:pPr>
    </w:p>
    <w:p w14:paraId="07341E04" w14:textId="77777777" w:rsidR="00BD262A" w:rsidRPr="00BD262A" w:rsidRDefault="00BD262A" w:rsidP="00BD262A">
      <w:pPr>
        <w:rPr>
          <w:rFonts w:ascii="Microsoft YaHei Light" w:eastAsia="Microsoft YaHei Light" w:hAnsi="Microsoft YaHei Light"/>
        </w:rPr>
      </w:pPr>
      <w:proofErr w:type="spellStart"/>
      <w:r w:rsidRPr="00BD262A">
        <w:rPr>
          <w:rFonts w:ascii="Microsoft YaHei Light" w:eastAsia="Microsoft YaHei Light" w:hAnsi="Microsoft YaHei Light"/>
        </w:rPr>
        <w:t>stationary.test</w:t>
      </w:r>
      <w:proofErr w:type="spellEnd"/>
      <w:r w:rsidRPr="00BD262A">
        <w:rPr>
          <w:rFonts w:ascii="Microsoft YaHei Light" w:eastAsia="Microsoft YaHei Light" w:hAnsi="Microsoft YaHei Light"/>
        </w:rPr>
        <w:t xml:space="preserve">(database1$`offre commerciale`) </w:t>
      </w:r>
    </w:p>
    <w:p w14:paraId="75702D62" w14:textId="77777777" w:rsidR="00BD262A" w:rsidRPr="00BD262A" w:rsidRDefault="00BD262A" w:rsidP="00BD262A">
      <w:pPr>
        <w:rPr>
          <w:rFonts w:ascii="Microsoft YaHei Light" w:eastAsia="Microsoft YaHei Light" w:hAnsi="Microsoft YaHei Light"/>
        </w:rPr>
      </w:pPr>
      <w:proofErr w:type="spellStart"/>
      <w:r w:rsidRPr="00BD262A">
        <w:rPr>
          <w:rFonts w:ascii="Microsoft YaHei Light" w:eastAsia="Microsoft YaHei Light" w:hAnsi="Microsoft YaHei Light"/>
        </w:rPr>
        <w:t>stationary.test</w:t>
      </w:r>
      <w:proofErr w:type="spellEnd"/>
      <w:r w:rsidRPr="00BD262A">
        <w:rPr>
          <w:rFonts w:ascii="Microsoft YaHei Light" w:eastAsia="Microsoft YaHei Light" w:hAnsi="Microsoft YaHei Light"/>
        </w:rPr>
        <w:t>(database1$`offre commerciale`,</w:t>
      </w:r>
      <w:proofErr w:type="spellStart"/>
      <w:r w:rsidRPr="00BD262A">
        <w:rPr>
          <w:rFonts w:ascii="Microsoft YaHei Light" w:eastAsia="Microsoft YaHei Light" w:hAnsi="Microsoft YaHei Light"/>
        </w:rPr>
        <w:t>method</w:t>
      </w:r>
      <w:proofErr w:type="spellEnd"/>
      <w:r w:rsidRPr="00BD262A">
        <w:rPr>
          <w:rFonts w:ascii="Microsoft YaHei Light" w:eastAsia="Microsoft YaHei Light" w:hAnsi="Microsoft YaHei Light"/>
        </w:rPr>
        <w:t xml:space="preserve"> = "pp")</w:t>
      </w:r>
    </w:p>
    <w:p w14:paraId="6B89EFB3" w14:textId="77777777" w:rsidR="00BD262A" w:rsidRPr="00BD262A" w:rsidRDefault="00BD262A" w:rsidP="00BD262A">
      <w:pPr>
        <w:rPr>
          <w:rFonts w:ascii="Microsoft YaHei Light" w:eastAsia="Microsoft YaHei Light" w:hAnsi="Microsoft YaHei Light"/>
        </w:rPr>
      </w:pPr>
      <w:proofErr w:type="spellStart"/>
      <w:r w:rsidRPr="00BD262A">
        <w:rPr>
          <w:rFonts w:ascii="Microsoft YaHei Light" w:eastAsia="Microsoft YaHei Light" w:hAnsi="Microsoft YaHei Light"/>
        </w:rPr>
        <w:t>stationary.test</w:t>
      </w:r>
      <w:proofErr w:type="spellEnd"/>
      <w:r w:rsidRPr="00BD262A">
        <w:rPr>
          <w:rFonts w:ascii="Microsoft YaHei Light" w:eastAsia="Microsoft YaHei Light" w:hAnsi="Microsoft YaHei Light"/>
        </w:rPr>
        <w:t xml:space="preserve">(database1$`offre commerciale`, </w:t>
      </w:r>
      <w:proofErr w:type="spellStart"/>
      <w:r w:rsidRPr="00BD262A">
        <w:rPr>
          <w:rFonts w:ascii="Microsoft YaHei Light" w:eastAsia="Microsoft YaHei Light" w:hAnsi="Microsoft YaHei Light"/>
        </w:rPr>
        <w:t>method</w:t>
      </w:r>
      <w:proofErr w:type="spellEnd"/>
      <w:r w:rsidRPr="00BD262A">
        <w:rPr>
          <w:rFonts w:ascii="Microsoft YaHei Light" w:eastAsia="Microsoft YaHei Light" w:hAnsi="Microsoft YaHei Light"/>
        </w:rPr>
        <w:t xml:space="preserve"> = "</w:t>
      </w:r>
      <w:proofErr w:type="spellStart"/>
      <w:r w:rsidRPr="00BD262A">
        <w:rPr>
          <w:rFonts w:ascii="Microsoft YaHei Light" w:eastAsia="Microsoft YaHei Light" w:hAnsi="Microsoft YaHei Light"/>
        </w:rPr>
        <w:t>kpss</w:t>
      </w:r>
      <w:proofErr w:type="spellEnd"/>
      <w:r w:rsidRPr="00BD262A">
        <w:rPr>
          <w:rFonts w:ascii="Microsoft YaHei Light" w:eastAsia="Microsoft YaHei Light" w:hAnsi="Microsoft YaHei Light"/>
        </w:rPr>
        <w:t>")</w:t>
      </w:r>
    </w:p>
    <w:p w14:paraId="25BDA3D5" w14:textId="77777777" w:rsidR="00BD262A" w:rsidRPr="00BD262A" w:rsidRDefault="00BD262A" w:rsidP="00BD262A">
      <w:pPr>
        <w:rPr>
          <w:rFonts w:ascii="Microsoft YaHei Light" w:eastAsia="Microsoft YaHei Light" w:hAnsi="Microsoft YaHei Light"/>
        </w:rPr>
      </w:pPr>
    </w:p>
    <w:p w14:paraId="7742FB51" w14:textId="77777777" w:rsidR="00BD262A" w:rsidRPr="00BD262A" w:rsidRDefault="00BD262A" w:rsidP="00BD262A">
      <w:pPr>
        <w:rPr>
          <w:rFonts w:ascii="Microsoft YaHei Light" w:eastAsia="Microsoft YaHei Light" w:hAnsi="Microsoft YaHei Light"/>
        </w:rPr>
      </w:pPr>
      <w:proofErr w:type="spellStart"/>
      <w:r w:rsidRPr="00BD262A">
        <w:rPr>
          <w:rFonts w:ascii="Microsoft YaHei Light" w:eastAsia="Microsoft YaHei Light" w:hAnsi="Microsoft YaHei Light"/>
        </w:rPr>
        <w:t>stationary.test</w:t>
      </w:r>
      <w:proofErr w:type="spellEnd"/>
      <w:r w:rsidRPr="00BD262A">
        <w:rPr>
          <w:rFonts w:ascii="Microsoft YaHei Light" w:eastAsia="Microsoft YaHei Light" w:hAnsi="Microsoft YaHei Light"/>
        </w:rPr>
        <w:t xml:space="preserve">(database1$`delta offre commerciale`) </w:t>
      </w:r>
    </w:p>
    <w:p w14:paraId="5FB04391" w14:textId="77777777" w:rsidR="00BD262A" w:rsidRPr="00077A16" w:rsidRDefault="00BD262A" w:rsidP="00BD262A">
      <w:pPr>
        <w:rPr>
          <w:rFonts w:ascii="Microsoft YaHei Light" w:eastAsia="Microsoft YaHei Light" w:hAnsi="Microsoft YaHei Light"/>
          <w:lang w:val="it-IT"/>
        </w:rPr>
      </w:pPr>
      <w:proofErr w:type="spellStart"/>
      <w:r w:rsidRPr="00077A16">
        <w:rPr>
          <w:rFonts w:ascii="Microsoft YaHei Light" w:eastAsia="Microsoft YaHei Light" w:hAnsi="Microsoft YaHei Light"/>
          <w:lang w:val="it-IT"/>
        </w:rPr>
        <w:t>stationary.test</w:t>
      </w:r>
      <w:proofErr w:type="spellEnd"/>
      <w:r w:rsidRPr="00077A16">
        <w:rPr>
          <w:rFonts w:ascii="Microsoft YaHei Light" w:eastAsia="Microsoft YaHei Light" w:hAnsi="Microsoft YaHei Light"/>
          <w:lang w:val="it-IT"/>
        </w:rPr>
        <w:t>(database1$`delta offre commerciale`,</w:t>
      </w:r>
      <w:proofErr w:type="spellStart"/>
      <w:r w:rsidRPr="00077A16">
        <w:rPr>
          <w:rFonts w:ascii="Microsoft YaHei Light" w:eastAsia="Microsoft YaHei Light" w:hAnsi="Microsoft YaHei Light"/>
          <w:lang w:val="it-IT"/>
        </w:rPr>
        <w:t>method</w:t>
      </w:r>
      <w:proofErr w:type="spellEnd"/>
      <w:r w:rsidRPr="00077A16">
        <w:rPr>
          <w:rFonts w:ascii="Microsoft YaHei Light" w:eastAsia="Microsoft YaHei Light" w:hAnsi="Microsoft YaHei Light"/>
          <w:lang w:val="it-IT"/>
        </w:rPr>
        <w:t xml:space="preserve"> = "pp")</w:t>
      </w:r>
    </w:p>
    <w:p w14:paraId="081CF64F" w14:textId="77777777" w:rsidR="00BD262A" w:rsidRPr="00077A16" w:rsidRDefault="00BD262A" w:rsidP="00BD262A">
      <w:pPr>
        <w:rPr>
          <w:rFonts w:ascii="Microsoft YaHei Light" w:eastAsia="Microsoft YaHei Light" w:hAnsi="Microsoft YaHei Light"/>
          <w:lang w:val="it-IT"/>
        </w:rPr>
      </w:pPr>
      <w:proofErr w:type="spellStart"/>
      <w:r w:rsidRPr="00077A16">
        <w:rPr>
          <w:rFonts w:ascii="Microsoft YaHei Light" w:eastAsia="Microsoft YaHei Light" w:hAnsi="Microsoft YaHei Light"/>
          <w:lang w:val="it-IT"/>
        </w:rPr>
        <w:t>stationary.test</w:t>
      </w:r>
      <w:proofErr w:type="spellEnd"/>
      <w:r w:rsidRPr="00077A16">
        <w:rPr>
          <w:rFonts w:ascii="Microsoft YaHei Light" w:eastAsia="Microsoft YaHei Light" w:hAnsi="Microsoft YaHei Light"/>
          <w:lang w:val="it-IT"/>
        </w:rPr>
        <w:t xml:space="preserve">(database1$`delta offre commerciale`, </w:t>
      </w:r>
      <w:proofErr w:type="spellStart"/>
      <w:r w:rsidRPr="00077A16">
        <w:rPr>
          <w:rFonts w:ascii="Microsoft YaHei Light" w:eastAsia="Microsoft YaHei Light" w:hAnsi="Microsoft YaHei Light"/>
          <w:lang w:val="it-IT"/>
        </w:rPr>
        <w:t>method</w:t>
      </w:r>
      <w:proofErr w:type="spellEnd"/>
      <w:r w:rsidRPr="00077A16">
        <w:rPr>
          <w:rFonts w:ascii="Microsoft YaHei Light" w:eastAsia="Microsoft YaHei Light" w:hAnsi="Microsoft YaHei Light"/>
          <w:lang w:val="it-IT"/>
        </w:rPr>
        <w:t xml:space="preserve"> = "</w:t>
      </w:r>
      <w:proofErr w:type="spellStart"/>
      <w:r w:rsidRPr="00077A16">
        <w:rPr>
          <w:rFonts w:ascii="Microsoft YaHei Light" w:eastAsia="Microsoft YaHei Light" w:hAnsi="Microsoft YaHei Light"/>
          <w:lang w:val="it-IT"/>
        </w:rPr>
        <w:t>kpss</w:t>
      </w:r>
      <w:proofErr w:type="spellEnd"/>
      <w:r w:rsidRPr="00077A16">
        <w:rPr>
          <w:rFonts w:ascii="Microsoft YaHei Light" w:eastAsia="Microsoft YaHei Light" w:hAnsi="Microsoft YaHei Light"/>
          <w:lang w:val="it-IT"/>
        </w:rPr>
        <w:t>")</w:t>
      </w:r>
    </w:p>
    <w:p w14:paraId="5A21E600" w14:textId="62E169BD" w:rsidR="00BD262A" w:rsidRDefault="00BD262A" w:rsidP="00BD262A">
      <w:pPr>
        <w:rPr>
          <w:lang w:val="it-IT"/>
        </w:rPr>
      </w:pPr>
    </w:p>
    <w:p w14:paraId="7CA25278" w14:textId="77777777" w:rsidR="0014607D" w:rsidRPr="00077A16" w:rsidRDefault="0014607D" w:rsidP="00BD262A">
      <w:pPr>
        <w:rPr>
          <w:lang w:val="it-IT"/>
        </w:rPr>
      </w:pPr>
    </w:p>
    <w:p w14:paraId="61817BC5" w14:textId="77777777" w:rsidR="00BD262A" w:rsidRPr="0014607D" w:rsidRDefault="00BD262A" w:rsidP="00BD262A">
      <w:pPr>
        <w:rPr>
          <w:b/>
          <w:bCs/>
          <w:i/>
          <w:lang w:val="it-IT"/>
        </w:rPr>
      </w:pPr>
      <w:r w:rsidRPr="0014607D">
        <w:rPr>
          <w:b/>
          <w:bCs/>
          <w:i/>
          <w:lang w:val="it-IT"/>
        </w:rPr>
        <w:lastRenderedPageBreak/>
        <w:t xml:space="preserve">#Estimation ARDL </w:t>
      </w:r>
    </w:p>
    <w:p w14:paraId="2FABD69A" w14:textId="4B2FCC76" w:rsidR="00BD262A" w:rsidRPr="00077A16" w:rsidRDefault="00BD262A" w:rsidP="00BD262A">
      <w:pPr>
        <w:rPr>
          <w:rFonts w:ascii="Microsoft YaHei Light" w:eastAsia="Microsoft YaHei Light" w:hAnsi="Microsoft YaHei Light"/>
          <w:lang w:val="it-IT"/>
        </w:rPr>
      </w:pPr>
      <w:r w:rsidRPr="00077A16">
        <w:rPr>
          <w:rFonts w:ascii="Microsoft YaHei Light" w:eastAsia="Microsoft YaHei Light" w:hAnsi="Microsoft YaHei Light"/>
          <w:lang w:val="it-IT"/>
        </w:rPr>
        <w:t>data&lt;-data.frame(x=database1$Rentabilite,y=database1$InvestissementFinal, z=database1$`deltaCONCOURS PUBLICS`, w=datab</w:t>
      </w:r>
      <w:r w:rsidR="00BD4409" w:rsidRPr="00077A16">
        <w:rPr>
          <w:rFonts w:ascii="Microsoft YaHei Light" w:eastAsia="Microsoft YaHei Light" w:hAnsi="Microsoft YaHei Light"/>
          <w:lang w:val="it-IT"/>
        </w:rPr>
        <w:t>ase1$`delta offre commerciale`)</w:t>
      </w:r>
    </w:p>
    <w:p w14:paraId="6E5490BC" w14:textId="77777777" w:rsidR="00BD262A" w:rsidRPr="00FF6DE6" w:rsidRDefault="00BD262A" w:rsidP="00BD262A">
      <w:pPr>
        <w:rPr>
          <w:rFonts w:ascii="Microsoft YaHei Light" w:eastAsia="Microsoft YaHei Light" w:hAnsi="Microsoft YaHei Light"/>
          <w:lang w:val="en-US"/>
        </w:rPr>
      </w:pPr>
      <w:proofErr w:type="spellStart"/>
      <w:r w:rsidRPr="00FF6DE6">
        <w:rPr>
          <w:rFonts w:ascii="Microsoft YaHei Light" w:eastAsia="Microsoft YaHei Light" w:hAnsi="Microsoft YaHei Light"/>
          <w:lang w:val="en-US"/>
        </w:rPr>
        <w:t>modeleChoix</w:t>
      </w:r>
      <w:proofErr w:type="spellEnd"/>
      <w:r w:rsidRPr="00FF6DE6">
        <w:rPr>
          <w:rFonts w:ascii="Microsoft YaHei Light" w:eastAsia="Microsoft YaHei Light" w:hAnsi="Microsoft YaHei Light"/>
          <w:lang w:val="en-US"/>
        </w:rPr>
        <w:t>&lt;-</w:t>
      </w:r>
      <w:proofErr w:type="spellStart"/>
      <w:r w:rsidRPr="00FF6DE6">
        <w:rPr>
          <w:rFonts w:ascii="Microsoft YaHei Light" w:eastAsia="Microsoft YaHei Light" w:hAnsi="Microsoft YaHei Light"/>
          <w:lang w:val="en-US"/>
        </w:rPr>
        <w:t>auto_ardl</w:t>
      </w:r>
      <w:proofErr w:type="spellEnd"/>
      <w:r w:rsidRPr="00FF6DE6">
        <w:rPr>
          <w:rFonts w:ascii="Microsoft YaHei Light" w:eastAsia="Microsoft YaHei Light" w:hAnsi="Microsoft YaHei Light"/>
          <w:lang w:val="en-US"/>
        </w:rPr>
        <w:t>(</w:t>
      </w:r>
      <w:proofErr w:type="spellStart"/>
      <w:r w:rsidRPr="00FF6DE6">
        <w:rPr>
          <w:rFonts w:ascii="Microsoft YaHei Light" w:eastAsia="Microsoft YaHei Light" w:hAnsi="Microsoft YaHei Light"/>
          <w:lang w:val="en-US"/>
        </w:rPr>
        <w:t>x~y+z+w</w:t>
      </w:r>
      <w:proofErr w:type="spellEnd"/>
      <w:r w:rsidRPr="00FF6DE6">
        <w:rPr>
          <w:rFonts w:ascii="Microsoft YaHei Light" w:eastAsia="Microsoft YaHei Light" w:hAnsi="Microsoft YaHei Light"/>
          <w:lang w:val="en-US"/>
        </w:rPr>
        <w:t>, data=</w:t>
      </w:r>
      <w:proofErr w:type="spellStart"/>
      <w:r w:rsidRPr="00FF6DE6">
        <w:rPr>
          <w:rFonts w:ascii="Microsoft YaHei Light" w:eastAsia="Microsoft YaHei Light" w:hAnsi="Microsoft YaHei Light"/>
          <w:lang w:val="en-US"/>
        </w:rPr>
        <w:t>data,max_order</w:t>
      </w:r>
      <w:proofErr w:type="spellEnd"/>
      <w:r w:rsidRPr="00FF6DE6">
        <w:rPr>
          <w:rFonts w:ascii="Microsoft YaHei Light" w:eastAsia="Microsoft YaHei Light" w:hAnsi="Microsoft YaHei Light"/>
          <w:lang w:val="en-US"/>
        </w:rPr>
        <w:t xml:space="preserve"> = c(3,3,3,3))</w:t>
      </w:r>
    </w:p>
    <w:p w14:paraId="3D415E61" w14:textId="77777777" w:rsidR="00BD262A" w:rsidRPr="00FF6DE6" w:rsidRDefault="00BD262A" w:rsidP="00BD262A">
      <w:pPr>
        <w:rPr>
          <w:rFonts w:ascii="Microsoft YaHei Light" w:eastAsia="Microsoft YaHei Light" w:hAnsi="Microsoft YaHei Light"/>
          <w:lang w:val="en-US"/>
        </w:rPr>
      </w:pPr>
      <w:proofErr w:type="spellStart"/>
      <w:r w:rsidRPr="00FF6DE6">
        <w:rPr>
          <w:rFonts w:ascii="Microsoft YaHei Light" w:eastAsia="Microsoft YaHei Light" w:hAnsi="Microsoft YaHei Light"/>
          <w:lang w:val="en-US"/>
        </w:rPr>
        <w:t>modeleChoix$best_order</w:t>
      </w:r>
      <w:proofErr w:type="spellEnd"/>
    </w:p>
    <w:p w14:paraId="0FCE803D" w14:textId="77777777" w:rsidR="00BD262A" w:rsidRPr="00FF6DE6" w:rsidRDefault="00BD262A" w:rsidP="00BD262A">
      <w:pPr>
        <w:rPr>
          <w:rFonts w:ascii="Microsoft YaHei Light" w:eastAsia="Microsoft YaHei Light" w:hAnsi="Microsoft YaHei Light"/>
          <w:lang w:val="en-US"/>
        </w:rPr>
      </w:pPr>
      <w:r w:rsidRPr="00FF6DE6">
        <w:rPr>
          <w:rFonts w:ascii="Microsoft YaHei Light" w:eastAsia="Microsoft YaHei Light" w:hAnsi="Microsoft YaHei Light"/>
          <w:lang w:val="en-US"/>
        </w:rPr>
        <w:t>summary(</w:t>
      </w:r>
      <w:proofErr w:type="spellStart"/>
      <w:r w:rsidRPr="00FF6DE6">
        <w:rPr>
          <w:rFonts w:ascii="Microsoft YaHei Light" w:eastAsia="Microsoft YaHei Light" w:hAnsi="Microsoft YaHei Light"/>
          <w:lang w:val="en-US"/>
        </w:rPr>
        <w:t>modeleChoix$best_model</w:t>
      </w:r>
      <w:proofErr w:type="spellEnd"/>
      <w:r w:rsidRPr="00FF6DE6">
        <w:rPr>
          <w:rFonts w:ascii="Microsoft YaHei Light" w:eastAsia="Microsoft YaHei Light" w:hAnsi="Microsoft YaHei Light"/>
          <w:lang w:val="en-US"/>
        </w:rPr>
        <w:t xml:space="preserve">) # </w:t>
      </w:r>
      <w:proofErr w:type="spellStart"/>
      <w:r w:rsidRPr="00FF6DE6">
        <w:rPr>
          <w:rFonts w:ascii="Microsoft YaHei Light" w:eastAsia="Microsoft YaHei Light" w:hAnsi="Microsoft YaHei Light"/>
          <w:lang w:val="en-US"/>
        </w:rPr>
        <w:t>ordre</w:t>
      </w:r>
      <w:proofErr w:type="spellEnd"/>
      <w:r w:rsidRPr="00FF6DE6">
        <w:rPr>
          <w:rFonts w:ascii="Microsoft YaHei Light" w:eastAsia="Microsoft YaHei Light" w:hAnsi="Microsoft YaHei Light"/>
          <w:lang w:val="en-US"/>
        </w:rPr>
        <w:t xml:space="preserve"> </w:t>
      </w:r>
      <w:proofErr w:type="spellStart"/>
      <w:r w:rsidRPr="00FF6DE6">
        <w:rPr>
          <w:rFonts w:ascii="Microsoft YaHei Light" w:eastAsia="Microsoft YaHei Light" w:hAnsi="Microsoft YaHei Light"/>
          <w:lang w:val="en-US"/>
        </w:rPr>
        <w:t>retenu</w:t>
      </w:r>
      <w:proofErr w:type="spellEnd"/>
      <w:r w:rsidRPr="00FF6DE6">
        <w:rPr>
          <w:rFonts w:ascii="Microsoft YaHei Light" w:eastAsia="Microsoft YaHei Light" w:hAnsi="Microsoft YaHei Light"/>
          <w:lang w:val="en-US"/>
        </w:rPr>
        <w:t xml:space="preserve"> pour ARDL </w:t>
      </w:r>
      <w:proofErr w:type="spellStart"/>
      <w:r w:rsidRPr="00FF6DE6">
        <w:rPr>
          <w:rFonts w:ascii="Microsoft YaHei Light" w:eastAsia="Microsoft YaHei Light" w:hAnsi="Microsoft YaHei Light"/>
          <w:lang w:val="en-US"/>
        </w:rPr>
        <w:t>est</w:t>
      </w:r>
      <w:proofErr w:type="spellEnd"/>
      <w:r w:rsidRPr="00FF6DE6">
        <w:rPr>
          <w:rFonts w:ascii="Microsoft YaHei Light" w:eastAsia="Microsoft YaHei Light" w:hAnsi="Microsoft YaHei Light"/>
          <w:lang w:val="en-US"/>
        </w:rPr>
        <w:t xml:space="preserve"> ARDL(1,0,0,0) </w:t>
      </w:r>
    </w:p>
    <w:p w14:paraId="001A6534" w14:textId="77777777" w:rsidR="00BD262A" w:rsidRPr="0023670F" w:rsidRDefault="00BD262A" w:rsidP="00BD262A">
      <w:pPr>
        <w:rPr>
          <w:rFonts w:ascii="Microsoft YaHei Light" w:eastAsia="Microsoft YaHei Light" w:hAnsi="Microsoft YaHei Light"/>
          <w:lang w:val="en-US"/>
        </w:rPr>
      </w:pPr>
      <w:r w:rsidRPr="0023670F">
        <w:rPr>
          <w:rFonts w:ascii="Microsoft YaHei Light" w:eastAsia="Microsoft YaHei Light" w:hAnsi="Microsoft YaHei Light"/>
          <w:lang w:val="en-US"/>
        </w:rPr>
        <w:t xml:space="preserve">data2&lt;-data.frame(x=database1$Rentabilite,y=database1$InvestissementFinal, z=database1$`CONCOURS PUBLICS`, w=database1$`delta </w:t>
      </w:r>
      <w:proofErr w:type="spellStart"/>
      <w:r w:rsidRPr="0023670F">
        <w:rPr>
          <w:rFonts w:ascii="Microsoft YaHei Light" w:eastAsia="Microsoft YaHei Light" w:hAnsi="Microsoft YaHei Light"/>
          <w:lang w:val="en-US"/>
        </w:rPr>
        <w:t>offre</w:t>
      </w:r>
      <w:proofErr w:type="spellEnd"/>
      <w:r w:rsidRPr="0023670F">
        <w:rPr>
          <w:rFonts w:ascii="Microsoft YaHei Light" w:eastAsia="Microsoft YaHei Light" w:hAnsi="Microsoft YaHei Light"/>
          <w:lang w:val="en-US"/>
        </w:rPr>
        <w:t xml:space="preserve"> </w:t>
      </w:r>
      <w:proofErr w:type="spellStart"/>
      <w:r w:rsidRPr="0023670F">
        <w:rPr>
          <w:rFonts w:ascii="Microsoft YaHei Light" w:eastAsia="Microsoft YaHei Light" w:hAnsi="Microsoft YaHei Light"/>
          <w:lang w:val="en-US"/>
        </w:rPr>
        <w:t>commerciale</w:t>
      </w:r>
      <w:proofErr w:type="spellEnd"/>
      <w:r w:rsidRPr="0023670F">
        <w:rPr>
          <w:rFonts w:ascii="Microsoft YaHei Light" w:eastAsia="Microsoft YaHei Light" w:hAnsi="Microsoft YaHei Light"/>
          <w:lang w:val="en-US"/>
        </w:rPr>
        <w:t>`)</w:t>
      </w:r>
    </w:p>
    <w:p w14:paraId="0FA9227B" w14:textId="77777777" w:rsidR="00BD262A" w:rsidRPr="00FF6DE6" w:rsidRDefault="00BD262A" w:rsidP="00BD262A">
      <w:pPr>
        <w:rPr>
          <w:rFonts w:ascii="Microsoft YaHei Light" w:eastAsia="Microsoft YaHei Light" w:hAnsi="Microsoft YaHei Light"/>
          <w:lang w:val="en-US"/>
        </w:rPr>
      </w:pPr>
      <w:r w:rsidRPr="00FF6DE6">
        <w:rPr>
          <w:rFonts w:ascii="Microsoft YaHei Light" w:eastAsia="Microsoft YaHei Light" w:hAnsi="Microsoft YaHei Light"/>
          <w:lang w:val="en-US"/>
        </w:rPr>
        <w:t xml:space="preserve">res1 &lt;- </w:t>
      </w:r>
      <w:proofErr w:type="spellStart"/>
      <w:r w:rsidRPr="00FF6DE6">
        <w:rPr>
          <w:rFonts w:ascii="Microsoft YaHei Light" w:eastAsia="Microsoft YaHei Light" w:hAnsi="Microsoft YaHei Light"/>
          <w:lang w:val="en-US"/>
        </w:rPr>
        <w:t>dynardl</w:t>
      </w:r>
      <w:proofErr w:type="spellEnd"/>
      <w:r w:rsidRPr="00FF6DE6">
        <w:rPr>
          <w:rFonts w:ascii="Microsoft YaHei Light" w:eastAsia="Microsoft YaHei Light" w:hAnsi="Microsoft YaHei Light"/>
          <w:lang w:val="en-US"/>
        </w:rPr>
        <w:t xml:space="preserve">(x ~ y + </w:t>
      </w:r>
      <w:proofErr w:type="spellStart"/>
      <w:r w:rsidRPr="00FF6DE6">
        <w:rPr>
          <w:rFonts w:ascii="Microsoft YaHei Light" w:eastAsia="Microsoft YaHei Light" w:hAnsi="Microsoft YaHei Light"/>
          <w:lang w:val="en-US"/>
        </w:rPr>
        <w:t>z+w</w:t>
      </w:r>
      <w:proofErr w:type="spellEnd"/>
      <w:r w:rsidRPr="00FF6DE6">
        <w:rPr>
          <w:rFonts w:ascii="Microsoft YaHei Light" w:eastAsia="Microsoft YaHei Light" w:hAnsi="Microsoft YaHei Light"/>
          <w:lang w:val="en-US"/>
        </w:rPr>
        <w:t>, data = data2,</w:t>
      </w:r>
    </w:p>
    <w:p w14:paraId="1F760CDB" w14:textId="1C5DED01" w:rsidR="00BD262A" w:rsidRPr="0023670F" w:rsidRDefault="00BD262A" w:rsidP="00BD262A">
      <w:pPr>
        <w:rPr>
          <w:rFonts w:ascii="Microsoft YaHei Light" w:eastAsia="Microsoft YaHei Light" w:hAnsi="Microsoft YaHei Light"/>
          <w:lang w:val="en-US"/>
        </w:rPr>
      </w:pPr>
      <w:r w:rsidRPr="00077A16">
        <w:rPr>
          <w:rFonts w:ascii="Microsoft YaHei Light" w:eastAsia="Microsoft YaHei Light" w:hAnsi="Microsoft YaHei Light"/>
          <w:lang w:val="en-US"/>
        </w:rPr>
        <w:t xml:space="preserve">                </w:t>
      </w:r>
      <w:r w:rsidRPr="0023670F">
        <w:rPr>
          <w:rFonts w:ascii="Microsoft YaHei Light" w:eastAsia="Microsoft YaHei Light" w:hAnsi="Microsoft YaHei Light"/>
          <w:lang w:val="en-US"/>
        </w:rPr>
        <w:t>lags = list</w:t>
      </w:r>
      <w:r w:rsidR="00BD4409" w:rsidRPr="0023670F">
        <w:rPr>
          <w:rFonts w:ascii="Microsoft YaHei Light" w:eastAsia="Microsoft YaHei Light" w:hAnsi="Microsoft YaHei Light"/>
          <w:lang w:val="en-US"/>
        </w:rPr>
        <w:t>("x" = 1, "y"=3, "z"=3, "w"=3))</w:t>
      </w:r>
    </w:p>
    <w:p w14:paraId="7AEF9078" w14:textId="594A921E" w:rsidR="00BD262A" w:rsidRPr="00BD4409" w:rsidRDefault="00BD4409" w:rsidP="00BD262A">
      <w:pPr>
        <w:rPr>
          <w:rFonts w:ascii="Microsoft YaHei Light" w:eastAsia="Microsoft YaHei Light" w:hAnsi="Microsoft YaHei Light"/>
          <w:lang w:val="en-US"/>
        </w:rPr>
      </w:pPr>
      <w:r>
        <w:rPr>
          <w:rFonts w:ascii="Microsoft YaHei Light" w:eastAsia="Microsoft YaHei Light" w:hAnsi="Microsoft YaHei Light"/>
          <w:lang w:val="en-US"/>
        </w:rPr>
        <w:t>summary(res1)</w:t>
      </w:r>
    </w:p>
    <w:p w14:paraId="538652EA" w14:textId="77777777" w:rsidR="00BD262A" w:rsidRPr="00FF6DE6" w:rsidRDefault="00BD262A" w:rsidP="00BD262A">
      <w:pPr>
        <w:rPr>
          <w:rFonts w:ascii="Microsoft YaHei Light" w:eastAsia="Microsoft YaHei Light" w:hAnsi="Microsoft YaHei Light"/>
          <w:lang w:val="en-US"/>
        </w:rPr>
      </w:pPr>
      <w:r w:rsidRPr="00FF6DE6">
        <w:rPr>
          <w:rFonts w:ascii="Microsoft YaHei Light" w:eastAsia="Microsoft YaHei Light" w:hAnsi="Microsoft YaHei Light"/>
          <w:lang w:val="en-US"/>
        </w:rPr>
        <w:t xml:space="preserve">#Test de co integration </w:t>
      </w:r>
    </w:p>
    <w:p w14:paraId="6327B6A5" w14:textId="77777777" w:rsidR="00BD262A" w:rsidRPr="00FF6DE6" w:rsidRDefault="00BD262A" w:rsidP="00BD262A">
      <w:pPr>
        <w:rPr>
          <w:rFonts w:ascii="Microsoft YaHei Light" w:eastAsia="Microsoft YaHei Light" w:hAnsi="Microsoft YaHei Light"/>
        </w:rPr>
      </w:pPr>
      <w:r w:rsidRPr="00FF6DE6">
        <w:rPr>
          <w:rFonts w:ascii="Microsoft YaHei Light" w:eastAsia="Microsoft YaHei Light" w:hAnsi="Microsoft YaHei Light"/>
          <w:lang w:val="en-US"/>
        </w:rPr>
        <w:t xml:space="preserve">  </w:t>
      </w:r>
      <w:r w:rsidRPr="00FF6DE6">
        <w:rPr>
          <w:rFonts w:ascii="Microsoft YaHei Light" w:eastAsia="Microsoft YaHei Light" w:hAnsi="Microsoft YaHei Light"/>
        </w:rPr>
        <w:t xml:space="preserve">#Estimation du modèle à correction d'erreur </w:t>
      </w:r>
    </w:p>
    <w:p w14:paraId="0596B767" w14:textId="77777777" w:rsidR="00BD262A" w:rsidRPr="0023670F" w:rsidRDefault="00BD262A" w:rsidP="00BD262A">
      <w:pPr>
        <w:rPr>
          <w:rFonts w:ascii="Microsoft YaHei Light" w:eastAsia="Microsoft YaHei Light" w:hAnsi="Microsoft YaHei Light"/>
        </w:rPr>
      </w:pPr>
      <w:r w:rsidRPr="0023670F">
        <w:rPr>
          <w:rFonts w:ascii="Microsoft YaHei Light" w:eastAsia="Microsoft YaHei Light" w:hAnsi="Microsoft YaHei Light"/>
        </w:rPr>
        <w:t xml:space="preserve">res4 &lt;- </w:t>
      </w:r>
      <w:proofErr w:type="spellStart"/>
      <w:r w:rsidRPr="0023670F">
        <w:rPr>
          <w:rFonts w:ascii="Microsoft YaHei Light" w:eastAsia="Microsoft YaHei Light" w:hAnsi="Microsoft YaHei Light"/>
        </w:rPr>
        <w:t>dynardl</w:t>
      </w:r>
      <w:proofErr w:type="spellEnd"/>
      <w:r w:rsidRPr="0023670F">
        <w:rPr>
          <w:rFonts w:ascii="Microsoft YaHei Light" w:eastAsia="Microsoft YaHei Light" w:hAnsi="Microsoft YaHei Light"/>
        </w:rPr>
        <w:t xml:space="preserve">(x ~ y + </w:t>
      </w:r>
      <w:proofErr w:type="spellStart"/>
      <w:r w:rsidRPr="0023670F">
        <w:rPr>
          <w:rFonts w:ascii="Microsoft YaHei Light" w:eastAsia="Microsoft YaHei Light" w:hAnsi="Microsoft YaHei Light"/>
        </w:rPr>
        <w:t>z+w</w:t>
      </w:r>
      <w:proofErr w:type="spellEnd"/>
      <w:r w:rsidRPr="0023670F">
        <w:rPr>
          <w:rFonts w:ascii="Microsoft YaHei Light" w:eastAsia="Microsoft YaHei Light" w:hAnsi="Microsoft YaHei Light"/>
        </w:rPr>
        <w:t>, data = data2,</w:t>
      </w:r>
    </w:p>
    <w:p w14:paraId="0206ADA2" w14:textId="77777777" w:rsidR="00BD262A" w:rsidRPr="00FF6DE6" w:rsidRDefault="00BD262A" w:rsidP="00BD262A">
      <w:pPr>
        <w:rPr>
          <w:rFonts w:ascii="Microsoft YaHei Light" w:eastAsia="Microsoft YaHei Light" w:hAnsi="Microsoft YaHei Light"/>
        </w:rPr>
      </w:pPr>
      <w:r w:rsidRPr="0023670F">
        <w:rPr>
          <w:rFonts w:ascii="Microsoft YaHei Light" w:eastAsia="Microsoft YaHei Light" w:hAnsi="Microsoft YaHei Light"/>
        </w:rPr>
        <w:t xml:space="preserve">                </w:t>
      </w:r>
      <w:r w:rsidRPr="00FF6DE6">
        <w:rPr>
          <w:rFonts w:ascii="Microsoft YaHei Light" w:eastAsia="Microsoft YaHei Light" w:hAnsi="Microsoft YaHei Light"/>
        </w:rPr>
        <w:t xml:space="preserve">lags = </w:t>
      </w:r>
      <w:proofErr w:type="spellStart"/>
      <w:r w:rsidRPr="00FF6DE6">
        <w:rPr>
          <w:rFonts w:ascii="Microsoft YaHei Light" w:eastAsia="Microsoft YaHei Light" w:hAnsi="Microsoft YaHei Light"/>
        </w:rPr>
        <w:t>list</w:t>
      </w:r>
      <w:proofErr w:type="spellEnd"/>
      <w:r w:rsidRPr="00FF6DE6">
        <w:rPr>
          <w:rFonts w:ascii="Microsoft YaHei Light" w:eastAsia="Microsoft YaHei Light" w:hAnsi="Microsoft YaHei Light"/>
        </w:rPr>
        <w:t>("x" = 1, "y"=1, "z"=1, "w"=1), diffs = c("</w:t>
      </w:r>
      <w:proofErr w:type="spellStart"/>
      <w:r w:rsidRPr="00FF6DE6">
        <w:rPr>
          <w:rFonts w:ascii="Microsoft YaHei Light" w:eastAsia="Microsoft YaHei Light" w:hAnsi="Microsoft YaHei Light"/>
        </w:rPr>
        <w:t>y","z</w:t>
      </w:r>
      <w:proofErr w:type="spellEnd"/>
      <w:r w:rsidRPr="00FF6DE6">
        <w:rPr>
          <w:rFonts w:ascii="Microsoft YaHei Light" w:eastAsia="Microsoft YaHei Light" w:hAnsi="Microsoft YaHei Light"/>
        </w:rPr>
        <w:t xml:space="preserve">"), </w:t>
      </w:r>
      <w:proofErr w:type="spellStart"/>
      <w:r w:rsidRPr="00FF6DE6">
        <w:rPr>
          <w:rFonts w:ascii="Microsoft YaHei Light" w:eastAsia="Microsoft YaHei Light" w:hAnsi="Microsoft YaHei Light"/>
        </w:rPr>
        <w:t>ec</w:t>
      </w:r>
      <w:proofErr w:type="spellEnd"/>
      <w:r w:rsidRPr="00FF6DE6">
        <w:rPr>
          <w:rFonts w:ascii="Microsoft YaHei Light" w:eastAsia="Microsoft YaHei Light" w:hAnsi="Microsoft YaHei Light"/>
        </w:rPr>
        <w:t>=TRUE)</w:t>
      </w:r>
    </w:p>
    <w:p w14:paraId="0C3673B8" w14:textId="355D59CB" w:rsidR="00BD262A" w:rsidRPr="00FF6DE6" w:rsidRDefault="00BD262A" w:rsidP="00BD262A">
      <w:pPr>
        <w:rPr>
          <w:rFonts w:ascii="Microsoft YaHei Light" w:eastAsia="Microsoft YaHei Light" w:hAnsi="Microsoft YaHei Light"/>
          <w:lang w:val="en-US"/>
        </w:rPr>
      </w:pPr>
      <w:r w:rsidRPr="00FF6DE6">
        <w:rPr>
          <w:rFonts w:ascii="Microsoft YaHei Light" w:eastAsia="Microsoft YaHei Light" w:hAnsi="Microsoft YaHei Light"/>
          <w:lang w:val="en-US"/>
        </w:rPr>
        <w:t>summ</w:t>
      </w:r>
      <w:r w:rsidR="00BD4409">
        <w:rPr>
          <w:rFonts w:ascii="Microsoft YaHei Light" w:eastAsia="Microsoft YaHei Light" w:hAnsi="Microsoft YaHei Light"/>
          <w:lang w:val="en-US"/>
        </w:rPr>
        <w:t>ary(res4)</w:t>
      </w:r>
    </w:p>
    <w:p w14:paraId="20021AA9" w14:textId="77777777" w:rsidR="00BD262A" w:rsidRPr="00FF6DE6" w:rsidRDefault="00BD262A" w:rsidP="00BD262A">
      <w:pPr>
        <w:rPr>
          <w:rFonts w:ascii="Microsoft YaHei Light" w:eastAsia="Microsoft YaHei Light" w:hAnsi="Microsoft YaHei Light"/>
          <w:lang w:val="en-US"/>
        </w:rPr>
      </w:pPr>
      <w:proofErr w:type="spellStart"/>
      <w:r w:rsidRPr="00FF6DE6">
        <w:rPr>
          <w:rFonts w:ascii="Microsoft YaHei Light" w:eastAsia="Microsoft YaHei Light" w:hAnsi="Microsoft YaHei Light"/>
          <w:lang w:val="en-US"/>
        </w:rPr>
        <w:t>dynardl.auto.correlated</w:t>
      </w:r>
      <w:proofErr w:type="spellEnd"/>
      <w:r w:rsidRPr="00FF6DE6">
        <w:rPr>
          <w:rFonts w:ascii="Microsoft YaHei Light" w:eastAsia="Microsoft YaHei Light" w:hAnsi="Microsoft YaHei Light"/>
          <w:lang w:val="en-US"/>
        </w:rPr>
        <w:t>(res4)</w:t>
      </w:r>
    </w:p>
    <w:p w14:paraId="0BC57D72" w14:textId="77777777" w:rsidR="00BD262A" w:rsidRPr="00FF6DE6" w:rsidRDefault="00BD262A" w:rsidP="00BD262A">
      <w:pPr>
        <w:rPr>
          <w:rFonts w:ascii="Microsoft YaHei Light" w:eastAsia="Microsoft YaHei Light" w:hAnsi="Microsoft YaHei Light"/>
          <w:lang w:val="en-US"/>
        </w:rPr>
      </w:pPr>
      <w:proofErr w:type="spellStart"/>
      <w:r w:rsidRPr="00FF6DE6">
        <w:rPr>
          <w:rFonts w:ascii="Microsoft YaHei Light" w:eastAsia="Microsoft YaHei Light" w:hAnsi="Microsoft YaHei Light"/>
          <w:lang w:val="en-US"/>
        </w:rPr>
        <w:t>pssbounds</w:t>
      </w:r>
      <w:proofErr w:type="spellEnd"/>
      <w:r w:rsidRPr="00FF6DE6">
        <w:rPr>
          <w:rFonts w:ascii="Microsoft YaHei Light" w:eastAsia="Microsoft YaHei Light" w:hAnsi="Microsoft YaHei Light"/>
          <w:lang w:val="en-US"/>
        </w:rPr>
        <w:t>(res4)</w:t>
      </w:r>
    </w:p>
    <w:p w14:paraId="326A2CCC" w14:textId="77777777" w:rsidR="00BD262A" w:rsidRPr="00FF6DE6" w:rsidRDefault="00BD262A" w:rsidP="00BD262A">
      <w:pPr>
        <w:rPr>
          <w:rFonts w:ascii="Microsoft YaHei Light" w:eastAsia="Microsoft YaHei Light" w:hAnsi="Microsoft YaHei Light"/>
          <w:lang w:val="en-US"/>
        </w:rPr>
      </w:pPr>
      <w:r w:rsidRPr="00FF6DE6">
        <w:rPr>
          <w:rFonts w:ascii="Microsoft YaHei Light" w:eastAsia="Microsoft YaHei Light" w:hAnsi="Microsoft YaHei Light"/>
          <w:lang w:val="en-US"/>
        </w:rPr>
        <w:t>models2=</w:t>
      </w:r>
      <w:proofErr w:type="spellStart"/>
      <w:r w:rsidRPr="00FF6DE6">
        <w:rPr>
          <w:rFonts w:ascii="Microsoft YaHei Light" w:eastAsia="Microsoft YaHei Light" w:hAnsi="Microsoft YaHei Light"/>
          <w:lang w:val="en-US"/>
        </w:rPr>
        <w:t>ardlDlm</w:t>
      </w:r>
      <w:proofErr w:type="spellEnd"/>
      <w:r w:rsidRPr="00FF6DE6">
        <w:rPr>
          <w:rFonts w:ascii="Microsoft YaHei Light" w:eastAsia="Microsoft YaHei Light" w:hAnsi="Microsoft YaHei Light"/>
          <w:lang w:val="en-US"/>
        </w:rPr>
        <w:t>(x ~ y +</w:t>
      </w:r>
      <w:proofErr w:type="spellStart"/>
      <w:r w:rsidRPr="00FF6DE6">
        <w:rPr>
          <w:rFonts w:ascii="Microsoft YaHei Light" w:eastAsia="Microsoft YaHei Light" w:hAnsi="Microsoft YaHei Light"/>
          <w:lang w:val="en-US"/>
        </w:rPr>
        <w:t>z+w,data</w:t>
      </w:r>
      <w:proofErr w:type="spellEnd"/>
      <w:r w:rsidRPr="00FF6DE6">
        <w:rPr>
          <w:rFonts w:ascii="Microsoft YaHei Light" w:eastAsia="Microsoft YaHei Light" w:hAnsi="Microsoft YaHei Light"/>
          <w:lang w:val="en-US"/>
        </w:rPr>
        <w:t xml:space="preserve"> = data2, p=3, q=3 )</w:t>
      </w:r>
    </w:p>
    <w:p w14:paraId="2E45524C" w14:textId="77777777" w:rsidR="00BD262A" w:rsidRPr="00FF6DE6" w:rsidRDefault="00BD262A" w:rsidP="00BD262A">
      <w:pPr>
        <w:rPr>
          <w:rFonts w:ascii="Microsoft YaHei Light" w:eastAsia="Microsoft YaHei Light" w:hAnsi="Microsoft YaHei Light"/>
        </w:rPr>
      </w:pPr>
      <w:proofErr w:type="spellStart"/>
      <w:r w:rsidRPr="00FF6DE6">
        <w:rPr>
          <w:rFonts w:ascii="Microsoft YaHei Light" w:eastAsia="Microsoft YaHei Light" w:hAnsi="Microsoft YaHei Light"/>
        </w:rPr>
        <w:t>summary</w:t>
      </w:r>
      <w:proofErr w:type="spellEnd"/>
      <w:r w:rsidRPr="00FF6DE6">
        <w:rPr>
          <w:rFonts w:ascii="Microsoft YaHei Light" w:eastAsia="Microsoft YaHei Light" w:hAnsi="Microsoft YaHei Light"/>
        </w:rPr>
        <w:t>(models2)</w:t>
      </w:r>
    </w:p>
    <w:p w14:paraId="3472EC53" w14:textId="77777777" w:rsidR="00BD262A" w:rsidRDefault="00BD262A" w:rsidP="00BD262A"/>
    <w:p w14:paraId="37E10744" w14:textId="77777777" w:rsidR="00BD262A" w:rsidRDefault="00BD262A" w:rsidP="00BD262A">
      <w:pPr>
        <w:rPr>
          <w:b/>
        </w:rPr>
      </w:pPr>
      <w:r w:rsidRPr="00E9284E">
        <w:rPr>
          <w:b/>
        </w:rPr>
        <w:t xml:space="preserve">Mensualisation des séries et modélisation </w:t>
      </w:r>
    </w:p>
    <w:p w14:paraId="33F75C58" w14:textId="02C65857" w:rsidR="00FF6DE6" w:rsidRPr="0014607D" w:rsidRDefault="00BD262A" w:rsidP="00BD262A">
      <w:pPr>
        <w:rPr>
          <w:b/>
          <w:bCs/>
          <w:i/>
        </w:rPr>
      </w:pPr>
      <w:r w:rsidRPr="0014607D">
        <w:rPr>
          <w:b/>
          <w:bCs/>
          <w:i/>
        </w:rPr>
        <w:t>#mensualisation de la rentabilité</w:t>
      </w:r>
    </w:p>
    <w:p w14:paraId="181DCF73" w14:textId="6DAD7F3E" w:rsidR="00BD262A" w:rsidRPr="0014607D" w:rsidRDefault="00FF6DE6" w:rsidP="00BD262A">
      <w:pPr>
        <w:rPr>
          <w:b/>
          <w:bCs/>
        </w:rPr>
      </w:pPr>
      <w:r w:rsidRPr="0014607D">
        <w:rPr>
          <w:b/>
          <w:bCs/>
        </w:rPr>
        <w:t>#Transformation en série temporelle</w:t>
      </w:r>
    </w:p>
    <w:p w14:paraId="4AAC1D02" w14:textId="5977D837" w:rsidR="00BD262A" w:rsidRDefault="00BD262A" w:rsidP="00BD262A">
      <w:pPr>
        <w:rPr>
          <w:rFonts w:ascii="Microsoft YaHei Light" w:eastAsia="Microsoft YaHei Light" w:hAnsi="Microsoft YaHei Light"/>
        </w:rPr>
      </w:pPr>
      <w:proofErr w:type="spellStart"/>
      <w:r w:rsidRPr="00FF6DE6">
        <w:rPr>
          <w:rFonts w:ascii="Microsoft YaHei Light" w:eastAsia="Microsoft YaHei Light" w:hAnsi="Microsoft YaHei Light"/>
        </w:rPr>
        <w:t>rentabilite_mensuelle</w:t>
      </w:r>
      <w:proofErr w:type="spellEnd"/>
      <w:r w:rsidRPr="00FF6DE6">
        <w:rPr>
          <w:rFonts w:ascii="Microsoft YaHei Light" w:eastAsia="Microsoft YaHei Light" w:hAnsi="Microsoft YaHei Light"/>
        </w:rPr>
        <w:t xml:space="preserve"> &lt;- </w:t>
      </w:r>
      <w:proofErr w:type="spellStart"/>
      <w:r w:rsidRPr="00FF6DE6">
        <w:rPr>
          <w:rFonts w:ascii="Microsoft YaHei Light" w:eastAsia="Microsoft YaHei Light" w:hAnsi="Microsoft YaHei Light"/>
        </w:rPr>
        <w:t>ts</w:t>
      </w:r>
      <w:proofErr w:type="spellEnd"/>
      <w:r w:rsidRPr="00FF6DE6">
        <w:rPr>
          <w:rFonts w:ascii="Microsoft YaHei Light" w:eastAsia="Microsoft YaHei Light" w:hAnsi="Microsoft YaHei Light"/>
        </w:rPr>
        <w:t xml:space="preserve">(database1$Rentabilite,start=2000) </w:t>
      </w:r>
    </w:p>
    <w:p w14:paraId="61704650" w14:textId="2B464B46" w:rsidR="00BD4409" w:rsidRPr="0014607D" w:rsidRDefault="00BD4409" w:rsidP="00BD262A">
      <w:pPr>
        <w:rPr>
          <w:rFonts w:ascii="Microsoft YaHei Light" w:eastAsia="Microsoft YaHei Light" w:hAnsi="Microsoft YaHei Light"/>
          <w:b/>
          <w:bCs/>
          <w:i/>
        </w:rPr>
      </w:pPr>
      <w:r w:rsidRPr="0014607D">
        <w:rPr>
          <w:b/>
          <w:bCs/>
          <w:i/>
        </w:rPr>
        <w:lastRenderedPageBreak/>
        <w:t>#désagrégation de la série</w:t>
      </w:r>
    </w:p>
    <w:p w14:paraId="42C27899" w14:textId="74AB87D1" w:rsidR="00BD4409" w:rsidRDefault="00BD262A" w:rsidP="00BD262A">
      <w:proofErr w:type="spellStart"/>
      <w:r w:rsidRPr="00FF6DE6">
        <w:rPr>
          <w:rFonts w:ascii="Microsoft YaHei Light" w:eastAsia="Microsoft YaHei Light" w:hAnsi="Microsoft YaHei Light"/>
        </w:rPr>
        <w:t>rentabilite_mensuelle</w:t>
      </w:r>
      <w:proofErr w:type="spellEnd"/>
      <w:r w:rsidRPr="00FF6DE6">
        <w:rPr>
          <w:rFonts w:ascii="Microsoft YaHei Light" w:eastAsia="Microsoft YaHei Light" w:hAnsi="Microsoft YaHei Light"/>
        </w:rPr>
        <w:t xml:space="preserve"> &lt;- </w:t>
      </w:r>
      <w:proofErr w:type="spellStart"/>
      <w:r w:rsidRPr="00FF6DE6">
        <w:rPr>
          <w:rFonts w:ascii="Microsoft YaHei Light" w:eastAsia="Microsoft YaHei Light" w:hAnsi="Microsoft YaHei Light"/>
        </w:rPr>
        <w:t>predict</w:t>
      </w:r>
      <w:proofErr w:type="spellEnd"/>
      <w:r w:rsidRPr="00FF6DE6">
        <w:rPr>
          <w:rFonts w:ascii="Microsoft YaHei Light" w:eastAsia="Microsoft YaHei Light" w:hAnsi="Microsoft YaHei Light"/>
        </w:rPr>
        <w:t>(td(</w:t>
      </w:r>
      <w:proofErr w:type="spellStart"/>
      <w:r w:rsidRPr="00FF6DE6">
        <w:rPr>
          <w:rFonts w:ascii="Microsoft YaHei Light" w:eastAsia="Microsoft YaHei Light" w:hAnsi="Microsoft YaHei Light"/>
        </w:rPr>
        <w:t>rentabilite_mensuelle</w:t>
      </w:r>
      <w:proofErr w:type="spellEnd"/>
      <w:r w:rsidRPr="00FF6DE6">
        <w:rPr>
          <w:rFonts w:ascii="Microsoft YaHei Light" w:eastAsia="Microsoft YaHei Light" w:hAnsi="Microsoft YaHei Light"/>
        </w:rPr>
        <w:t>~ 1,to="</w:t>
      </w:r>
      <w:proofErr w:type="spellStart"/>
      <w:r w:rsidRPr="00FF6DE6">
        <w:rPr>
          <w:rFonts w:ascii="Microsoft YaHei Light" w:eastAsia="Microsoft YaHei Light" w:hAnsi="Microsoft YaHei Light"/>
        </w:rPr>
        <w:t>monthly</w:t>
      </w:r>
      <w:proofErr w:type="spellEnd"/>
      <w:r w:rsidRPr="00FF6DE6">
        <w:rPr>
          <w:rFonts w:ascii="Microsoft YaHei Light" w:eastAsia="Microsoft YaHei Light" w:hAnsi="Microsoft YaHei Light"/>
        </w:rPr>
        <w:t>",</w:t>
      </w:r>
      <w:proofErr w:type="spellStart"/>
      <w:r w:rsidRPr="00FF6DE6">
        <w:rPr>
          <w:rFonts w:ascii="Microsoft YaHei Light" w:eastAsia="Microsoft YaHei Light" w:hAnsi="Microsoft YaHei Light"/>
        </w:rPr>
        <w:t>method</w:t>
      </w:r>
      <w:proofErr w:type="spellEnd"/>
      <w:r w:rsidRPr="00FF6DE6">
        <w:rPr>
          <w:rFonts w:ascii="Microsoft YaHei Light" w:eastAsia="Microsoft YaHei Light" w:hAnsi="Microsoft YaHei Light"/>
        </w:rPr>
        <w:t xml:space="preserve"> = "</w:t>
      </w:r>
      <w:proofErr w:type="spellStart"/>
      <w:r w:rsidRPr="00FF6DE6">
        <w:rPr>
          <w:rFonts w:ascii="Microsoft YaHei Light" w:eastAsia="Microsoft YaHei Light" w:hAnsi="Microsoft YaHei Light"/>
        </w:rPr>
        <w:t>denton</w:t>
      </w:r>
      <w:proofErr w:type="spellEnd"/>
      <w:r w:rsidRPr="00FF6DE6">
        <w:rPr>
          <w:rFonts w:ascii="Microsoft YaHei Light" w:eastAsia="Microsoft YaHei Light" w:hAnsi="Microsoft YaHei Light"/>
        </w:rPr>
        <w:t>-</w:t>
      </w:r>
      <w:r w:rsidRPr="00BD4409">
        <w:rPr>
          <w:rFonts w:ascii="Microsoft YaHei Light" w:eastAsia="Microsoft YaHei Light" w:hAnsi="Microsoft YaHei Light"/>
        </w:rPr>
        <w:t>cholette", conversion = "</w:t>
      </w:r>
      <w:proofErr w:type="spellStart"/>
      <w:r w:rsidRPr="00BD4409">
        <w:rPr>
          <w:rFonts w:ascii="Microsoft YaHei Light" w:eastAsia="Microsoft YaHei Light" w:hAnsi="Microsoft YaHei Light"/>
        </w:rPr>
        <w:t>average</w:t>
      </w:r>
      <w:proofErr w:type="spellEnd"/>
      <w:r w:rsidRPr="00BD4409">
        <w:rPr>
          <w:rFonts w:ascii="Microsoft YaHei Light" w:eastAsia="Microsoft YaHei Light" w:hAnsi="Microsoft YaHei Light"/>
        </w:rPr>
        <w:t>"))</w:t>
      </w:r>
      <w:r>
        <w:t xml:space="preserve"> </w:t>
      </w:r>
    </w:p>
    <w:p w14:paraId="0DF999E9" w14:textId="3B923FEF" w:rsidR="00BD4409" w:rsidRPr="0014607D" w:rsidRDefault="00BD4409" w:rsidP="00BD262A">
      <w:pPr>
        <w:rPr>
          <w:b/>
          <w:bCs/>
        </w:rPr>
      </w:pPr>
      <w:r w:rsidRPr="0014607D">
        <w:rPr>
          <w:b/>
          <w:bCs/>
        </w:rPr>
        <w:t>#Ecriture du fichier en csv</w:t>
      </w:r>
    </w:p>
    <w:p w14:paraId="2701C0AE" w14:textId="62CA37AA" w:rsidR="00BD262A" w:rsidRDefault="00BD262A" w:rsidP="00BD262A">
      <w:proofErr w:type="spellStart"/>
      <w:r>
        <w:t>rentabilite</w:t>
      </w:r>
      <w:proofErr w:type="spellEnd"/>
      <w:r>
        <w:t>=write.csv(</w:t>
      </w:r>
      <w:proofErr w:type="spellStart"/>
      <w:r>
        <w:t>rentabilite_mensuelle,"rentabilite.csv</w:t>
      </w:r>
      <w:proofErr w:type="spellEnd"/>
      <w:r>
        <w:t xml:space="preserve">") </w:t>
      </w:r>
    </w:p>
    <w:p w14:paraId="65171BBA" w14:textId="55D4E10B" w:rsidR="00BD262A" w:rsidRPr="0014607D" w:rsidRDefault="00BD262A" w:rsidP="00BD262A">
      <w:pPr>
        <w:rPr>
          <w:b/>
          <w:bCs/>
          <w:i/>
          <w:iCs/>
        </w:rPr>
      </w:pPr>
      <w:r w:rsidRPr="0014607D">
        <w:rPr>
          <w:b/>
          <w:bCs/>
          <w:i/>
          <w:iCs/>
        </w:rPr>
        <w:t xml:space="preserve">#mensualisation de </w:t>
      </w:r>
      <w:r w:rsidR="00BD4409" w:rsidRPr="0014607D">
        <w:rPr>
          <w:b/>
          <w:bCs/>
          <w:i/>
          <w:iCs/>
        </w:rPr>
        <w:t xml:space="preserve">l'investissement </w:t>
      </w:r>
    </w:p>
    <w:p w14:paraId="428FA5C8" w14:textId="77777777" w:rsidR="00BD262A" w:rsidRPr="00BD4409" w:rsidRDefault="00BD262A" w:rsidP="00BD262A">
      <w:pPr>
        <w:rPr>
          <w:rFonts w:ascii="Microsoft YaHei Light" w:eastAsia="Microsoft YaHei Light" w:hAnsi="Microsoft YaHei Light"/>
        </w:rPr>
      </w:pPr>
      <w:r w:rsidRPr="00BD4409">
        <w:rPr>
          <w:rFonts w:ascii="Microsoft YaHei Light" w:eastAsia="Microsoft YaHei Light" w:hAnsi="Microsoft YaHei Light"/>
        </w:rPr>
        <w:t>investissement&lt;-</w:t>
      </w:r>
      <w:proofErr w:type="spellStart"/>
      <w:r w:rsidRPr="00BD4409">
        <w:rPr>
          <w:rFonts w:ascii="Microsoft YaHei Light" w:eastAsia="Microsoft YaHei Light" w:hAnsi="Microsoft YaHei Light"/>
        </w:rPr>
        <w:t>ts</w:t>
      </w:r>
      <w:proofErr w:type="spellEnd"/>
      <w:r w:rsidRPr="00BD4409">
        <w:rPr>
          <w:rFonts w:ascii="Microsoft YaHei Light" w:eastAsia="Microsoft YaHei Light" w:hAnsi="Microsoft YaHei Light"/>
        </w:rPr>
        <w:t>(database1$Investissement,start=2000)</w:t>
      </w:r>
    </w:p>
    <w:p w14:paraId="1BD7C320" w14:textId="77777777" w:rsidR="00BD262A" w:rsidRPr="00BD4409" w:rsidRDefault="00BD262A" w:rsidP="00BD262A">
      <w:pPr>
        <w:rPr>
          <w:rFonts w:ascii="Microsoft YaHei Light" w:eastAsia="Microsoft YaHei Light" w:hAnsi="Microsoft YaHei Light"/>
        </w:rPr>
      </w:pPr>
      <w:proofErr w:type="spellStart"/>
      <w:r w:rsidRPr="00BD4409">
        <w:rPr>
          <w:rFonts w:ascii="Microsoft YaHei Light" w:eastAsia="Microsoft YaHei Light" w:hAnsi="Microsoft YaHei Light"/>
        </w:rPr>
        <w:t>investissement_mensuel</w:t>
      </w:r>
      <w:proofErr w:type="spellEnd"/>
      <w:r w:rsidRPr="00BD4409">
        <w:rPr>
          <w:rFonts w:ascii="Microsoft YaHei Light" w:eastAsia="Microsoft YaHei Light" w:hAnsi="Microsoft YaHei Light"/>
        </w:rPr>
        <w:t xml:space="preserve"> &lt;- </w:t>
      </w:r>
      <w:proofErr w:type="spellStart"/>
      <w:r w:rsidRPr="00BD4409">
        <w:rPr>
          <w:rFonts w:ascii="Microsoft YaHei Light" w:eastAsia="Microsoft YaHei Light" w:hAnsi="Microsoft YaHei Light"/>
        </w:rPr>
        <w:t>predict</w:t>
      </w:r>
      <w:proofErr w:type="spellEnd"/>
      <w:r w:rsidRPr="00BD4409">
        <w:rPr>
          <w:rFonts w:ascii="Microsoft YaHei Light" w:eastAsia="Microsoft YaHei Light" w:hAnsi="Microsoft YaHei Light"/>
        </w:rPr>
        <w:t>(td(investissement~ 1,to="</w:t>
      </w:r>
      <w:proofErr w:type="spellStart"/>
      <w:r w:rsidRPr="00BD4409">
        <w:rPr>
          <w:rFonts w:ascii="Microsoft YaHei Light" w:eastAsia="Microsoft YaHei Light" w:hAnsi="Microsoft YaHei Light"/>
        </w:rPr>
        <w:t>monthly</w:t>
      </w:r>
      <w:proofErr w:type="spellEnd"/>
      <w:r w:rsidRPr="00BD4409">
        <w:rPr>
          <w:rFonts w:ascii="Microsoft YaHei Light" w:eastAsia="Microsoft YaHei Light" w:hAnsi="Microsoft YaHei Light"/>
        </w:rPr>
        <w:t>",</w:t>
      </w:r>
      <w:proofErr w:type="spellStart"/>
      <w:r w:rsidRPr="00BD4409">
        <w:rPr>
          <w:rFonts w:ascii="Microsoft YaHei Light" w:eastAsia="Microsoft YaHei Light" w:hAnsi="Microsoft YaHei Light"/>
        </w:rPr>
        <w:t>method</w:t>
      </w:r>
      <w:proofErr w:type="spellEnd"/>
      <w:r w:rsidRPr="00BD4409">
        <w:rPr>
          <w:rFonts w:ascii="Microsoft YaHei Light" w:eastAsia="Microsoft YaHei Light" w:hAnsi="Microsoft YaHei Light"/>
        </w:rPr>
        <w:t xml:space="preserve"> = "</w:t>
      </w:r>
      <w:proofErr w:type="spellStart"/>
      <w:r w:rsidRPr="00BD4409">
        <w:rPr>
          <w:rFonts w:ascii="Microsoft YaHei Light" w:eastAsia="Microsoft YaHei Light" w:hAnsi="Microsoft YaHei Light"/>
        </w:rPr>
        <w:t>denton</w:t>
      </w:r>
      <w:proofErr w:type="spellEnd"/>
      <w:r w:rsidRPr="00BD4409">
        <w:rPr>
          <w:rFonts w:ascii="Microsoft YaHei Light" w:eastAsia="Microsoft YaHei Light" w:hAnsi="Microsoft YaHei Light"/>
        </w:rPr>
        <w:t>-cholette", conversion = "</w:t>
      </w:r>
      <w:proofErr w:type="spellStart"/>
      <w:r w:rsidRPr="00BD4409">
        <w:rPr>
          <w:rFonts w:ascii="Microsoft YaHei Light" w:eastAsia="Microsoft YaHei Light" w:hAnsi="Microsoft YaHei Light"/>
        </w:rPr>
        <w:t>average</w:t>
      </w:r>
      <w:proofErr w:type="spellEnd"/>
      <w:r w:rsidRPr="00BD4409">
        <w:rPr>
          <w:rFonts w:ascii="Microsoft YaHei Light" w:eastAsia="Microsoft YaHei Light" w:hAnsi="Microsoft YaHei Light"/>
        </w:rPr>
        <w:t>"))</w:t>
      </w:r>
    </w:p>
    <w:p w14:paraId="2CF2BD23" w14:textId="252C9B3D" w:rsidR="00BD262A" w:rsidRPr="00BD4409" w:rsidRDefault="00BD262A" w:rsidP="00BD262A">
      <w:pPr>
        <w:rPr>
          <w:rFonts w:ascii="Microsoft YaHei Light" w:eastAsia="Microsoft YaHei Light" w:hAnsi="Microsoft YaHei Light"/>
        </w:rPr>
      </w:pPr>
      <w:r w:rsidRPr="00BD4409">
        <w:rPr>
          <w:rFonts w:ascii="Microsoft YaHei Light" w:eastAsia="Microsoft YaHei Light" w:hAnsi="Microsoft YaHei Light"/>
        </w:rPr>
        <w:t>investissement_mensuel=write.csv(investissement_mensuel,"inv</w:t>
      </w:r>
      <w:r w:rsidR="00BD4409">
        <w:rPr>
          <w:rFonts w:ascii="Microsoft YaHei Light" w:eastAsia="Microsoft YaHei Light" w:hAnsi="Microsoft YaHei Light"/>
        </w:rPr>
        <w:t>estissement.csv")</w:t>
      </w:r>
    </w:p>
    <w:p w14:paraId="215ECD8A" w14:textId="446AAD38" w:rsidR="00BD262A" w:rsidRPr="00BD4409" w:rsidRDefault="00BD262A" w:rsidP="00BD262A">
      <w:pPr>
        <w:rPr>
          <w:i/>
        </w:rPr>
      </w:pPr>
      <w:r w:rsidRPr="00BD4409">
        <w:rPr>
          <w:i/>
        </w:rPr>
        <w:t>#mensu</w:t>
      </w:r>
      <w:r w:rsidR="00BD4409">
        <w:rPr>
          <w:i/>
        </w:rPr>
        <w:t xml:space="preserve">alisation des concours publics </w:t>
      </w:r>
    </w:p>
    <w:p w14:paraId="4CFFE732" w14:textId="77777777" w:rsidR="00BD262A" w:rsidRPr="00BD4409" w:rsidRDefault="00BD262A" w:rsidP="00BD262A">
      <w:pPr>
        <w:rPr>
          <w:rFonts w:ascii="Microsoft YaHei Light" w:eastAsia="Microsoft YaHei Light" w:hAnsi="Microsoft YaHei Light"/>
        </w:rPr>
      </w:pPr>
      <w:proofErr w:type="spellStart"/>
      <w:r w:rsidRPr="00BD4409">
        <w:rPr>
          <w:rFonts w:ascii="Microsoft YaHei Light" w:eastAsia="Microsoft YaHei Light" w:hAnsi="Microsoft YaHei Light"/>
        </w:rPr>
        <w:t>concoursPublics</w:t>
      </w:r>
      <w:proofErr w:type="spellEnd"/>
      <w:r w:rsidRPr="00BD4409">
        <w:rPr>
          <w:rFonts w:ascii="Microsoft YaHei Light" w:eastAsia="Microsoft YaHei Light" w:hAnsi="Microsoft YaHei Light"/>
        </w:rPr>
        <w:t>&lt;-</w:t>
      </w:r>
      <w:proofErr w:type="spellStart"/>
      <w:r w:rsidRPr="00BD4409">
        <w:rPr>
          <w:rFonts w:ascii="Microsoft YaHei Light" w:eastAsia="Microsoft YaHei Light" w:hAnsi="Microsoft YaHei Light"/>
        </w:rPr>
        <w:t>ts</w:t>
      </w:r>
      <w:proofErr w:type="spellEnd"/>
      <w:r w:rsidRPr="00BD4409">
        <w:rPr>
          <w:rFonts w:ascii="Microsoft YaHei Light" w:eastAsia="Microsoft YaHei Light" w:hAnsi="Microsoft YaHei Light"/>
        </w:rPr>
        <w:t xml:space="preserve">(database1$`CONCOURS </w:t>
      </w:r>
      <w:proofErr w:type="spellStart"/>
      <w:r w:rsidRPr="00BD4409">
        <w:rPr>
          <w:rFonts w:ascii="Microsoft YaHei Light" w:eastAsia="Microsoft YaHei Light" w:hAnsi="Microsoft YaHei Light"/>
        </w:rPr>
        <w:t>PUBLICS`,start</w:t>
      </w:r>
      <w:proofErr w:type="spellEnd"/>
      <w:r w:rsidRPr="00BD4409">
        <w:rPr>
          <w:rFonts w:ascii="Microsoft YaHei Light" w:eastAsia="Microsoft YaHei Light" w:hAnsi="Microsoft YaHei Light"/>
        </w:rPr>
        <w:t>=2000)</w:t>
      </w:r>
    </w:p>
    <w:p w14:paraId="10554E9F" w14:textId="77777777" w:rsidR="00BD262A" w:rsidRPr="00BD4409" w:rsidRDefault="00BD262A" w:rsidP="00BD262A">
      <w:pPr>
        <w:rPr>
          <w:rFonts w:ascii="Microsoft YaHei Light" w:eastAsia="Microsoft YaHei Light" w:hAnsi="Microsoft YaHei Light"/>
          <w:lang w:val="en-US"/>
        </w:rPr>
      </w:pPr>
      <w:proofErr w:type="spellStart"/>
      <w:r w:rsidRPr="00BD4409">
        <w:rPr>
          <w:rFonts w:ascii="Microsoft YaHei Light" w:eastAsia="Microsoft YaHei Light" w:hAnsi="Microsoft YaHei Light"/>
          <w:lang w:val="en-US"/>
        </w:rPr>
        <w:t>concoursPublicsMensuel</w:t>
      </w:r>
      <w:proofErr w:type="spellEnd"/>
      <w:r w:rsidRPr="00BD4409">
        <w:rPr>
          <w:rFonts w:ascii="Microsoft YaHei Light" w:eastAsia="Microsoft YaHei Light" w:hAnsi="Microsoft YaHei Light"/>
          <w:lang w:val="en-US"/>
        </w:rPr>
        <w:t>&lt;-predict(td(</w:t>
      </w:r>
      <w:proofErr w:type="spellStart"/>
      <w:r w:rsidRPr="00BD4409">
        <w:rPr>
          <w:rFonts w:ascii="Microsoft YaHei Light" w:eastAsia="Microsoft YaHei Light" w:hAnsi="Microsoft YaHei Light"/>
          <w:lang w:val="en-US"/>
        </w:rPr>
        <w:t>concoursPublics</w:t>
      </w:r>
      <w:proofErr w:type="spellEnd"/>
      <w:r w:rsidRPr="00BD4409">
        <w:rPr>
          <w:rFonts w:ascii="Microsoft YaHei Light" w:eastAsia="Microsoft YaHei Light" w:hAnsi="Microsoft YaHei Light"/>
          <w:lang w:val="en-US"/>
        </w:rPr>
        <w:t>~ 1,to="</w:t>
      </w:r>
      <w:proofErr w:type="spellStart"/>
      <w:r w:rsidRPr="00BD4409">
        <w:rPr>
          <w:rFonts w:ascii="Microsoft YaHei Light" w:eastAsia="Microsoft YaHei Light" w:hAnsi="Microsoft YaHei Light"/>
          <w:lang w:val="en-US"/>
        </w:rPr>
        <w:t>monthly",method</w:t>
      </w:r>
      <w:proofErr w:type="spellEnd"/>
      <w:r w:rsidRPr="00BD4409">
        <w:rPr>
          <w:rFonts w:ascii="Microsoft YaHei Light" w:eastAsia="Microsoft YaHei Light" w:hAnsi="Microsoft YaHei Light"/>
          <w:lang w:val="en-US"/>
        </w:rPr>
        <w:t xml:space="preserve"> = "</w:t>
      </w:r>
      <w:proofErr w:type="spellStart"/>
      <w:r w:rsidRPr="00BD4409">
        <w:rPr>
          <w:rFonts w:ascii="Microsoft YaHei Light" w:eastAsia="Microsoft YaHei Light" w:hAnsi="Microsoft YaHei Light"/>
          <w:lang w:val="en-US"/>
        </w:rPr>
        <w:t>denton-cholette</w:t>
      </w:r>
      <w:proofErr w:type="spellEnd"/>
      <w:r w:rsidRPr="00BD4409">
        <w:rPr>
          <w:rFonts w:ascii="Microsoft YaHei Light" w:eastAsia="Microsoft YaHei Light" w:hAnsi="Microsoft YaHei Light"/>
          <w:lang w:val="en-US"/>
        </w:rPr>
        <w:t>", conversion = "average"))</w:t>
      </w:r>
    </w:p>
    <w:p w14:paraId="629F02B6" w14:textId="788EF20A" w:rsidR="00BD262A" w:rsidRPr="00BD4409" w:rsidRDefault="00BD262A" w:rsidP="00BD262A">
      <w:pPr>
        <w:rPr>
          <w:rFonts w:ascii="Microsoft YaHei Light" w:eastAsia="Microsoft YaHei Light" w:hAnsi="Microsoft YaHei Light"/>
        </w:rPr>
      </w:pPr>
      <w:r w:rsidRPr="00BD4409">
        <w:rPr>
          <w:rFonts w:ascii="Microsoft YaHei Light" w:eastAsia="Microsoft YaHei Light" w:hAnsi="Microsoft YaHei Light"/>
        </w:rPr>
        <w:t>concoursPublicsMensuel=write.csv(concoursPubli</w:t>
      </w:r>
      <w:r w:rsidR="00BD4409">
        <w:rPr>
          <w:rFonts w:ascii="Microsoft YaHei Light" w:eastAsia="Microsoft YaHei Light" w:hAnsi="Microsoft YaHei Light"/>
        </w:rPr>
        <w:t>csMensuel,"concoursPublic.csv")</w:t>
      </w:r>
    </w:p>
    <w:p w14:paraId="0937E20D" w14:textId="77777777" w:rsidR="00BD262A" w:rsidRPr="0014607D" w:rsidRDefault="00BD262A" w:rsidP="00BD262A">
      <w:pPr>
        <w:rPr>
          <w:rFonts w:ascii="Microsoft YaHei Light" w:eastAsia="Microsoft YaHei Light" w:hAnsi="Microsoft YaHei Light"/>
          <w:b/>
          <w:bCs/>
          <w:i/>
          <w:iCs/>
        </w:rPr>
      </w:pPr>
      <w:r w:rsidRPr="0014607D">
        <w:rPr>
          <w:rFonts w:ascii="Microsoft YaHei Light" w:eastAsia="Microsoft YaHei Light" w:hAnsi="Microsoft YaHei Light"/>
          <w:b/>
          <w:bCs/>
          <w:i/>
          <w:iCs/>
        </w:rPr>
        <w:t xml:space="preserve">#mensualisation de l'offre commerciale </w:t>
      </w:r>
    </w:p>
    <w:p w14:paraId="3FE7CFB5" w14:textId="77777777" w:rsidR="00BD262A" w:rsidRPr="00BD4409" w:rsidRDefault="00BD262A" w:rsidP="00BD262A">
      <w:pPr>
        <w:rPr>
          <w:rFonts w:ascii="Microsoft YaHei Light" w:eastAsia="Microsoft YaHei Light" w:hAnsi="Microsoft YaHei Light"/>
        </w:rPr>
      </w:pPr>
      <w:proofErr w:type="spellStart"/>
      <w:r w:rsidRPr="00BD4409">
        <w:rPr>
          <w:rFonts w:ascii="Microsoft YaHei Light" w:eastAsia="Microsoft YaHei Light" w:hAnsi="Microsoft YaHei Light"/>
        </w:rPr>
        <w:t>offreCommercial</w:t>
      </w:r>
      <w:proofErr w:type="spellEnd"/>
      <w:r w:rsidRPr="00BD4409">
        <w:rPr>
          <w:rFonts w:ascii="Microsoft YaHei Light" w:eastAsia="Microsoft YaHei Light" w:hAnsi="Microsoft YaHei Light"/>
        </w:rPr>
        <w:t>&lt;-</w:t>
      </w:r>
      <w:proofErr w:type="spellStart"/>
      <w:r w:rsidRPr="00BD4409">
        <w:rPr>
          <w:rFonts w:ascii="Microsoft YaHei Light" w:eastAsia="Microsoft YaHei Light" w:hAnsi="Microsoft YaHei Light"/>
        </w:rPr>
        <w:t>ts</w:t>
      </w:r>
      <w:proofErr w:type="spellEnd"/>
      <w:r w:rsidRPr="00BD4409">
        <w:rPr>
          <w:rFonts w:ascii="Microsoft YaHei Light" w:eastAsia="Microsoft YaHei Light" w:hAnsi="Microsoft YaHei Light"/>
        </w:rPr>
        <w:t xml:space="preserve">(database1$`offre </w:t>
      </w:r>
      <w:proofErr w:type="spellStart"/>
      <w:r w:rsidRPr="00BD4409">
        <w:rPr>
          <w:rFonts w:ascii="Microsoft YaHei Light" w:eastAsia="Microsoft YaHei Light" w:hAnsi="Microsoft YaHei Light"/>
        </w:rPr>
        <w:t>commerciale`,start</w:t>
      </w:r>
      <w:proofErr w:type="spellEnd"/>
      <w:r w:rsidRPr="00BD4409">
        <w:rPr>
          <w:rFonts w:ascii="Microsoft YaHei Light" w:eastAsia="Microsoft YaHei Light" w:hAnsi="Microsoft YaHei Light"/>
        </w:rPr>
        <w:t>=2000)</w:t>
      </w:r>
    </w:p>
    <w:p w14:paraId="3B183B6E" w14:textId="77777777" w:rsidR="00BD262A" w:rsidRPr="00BD4409" w:rsidRDefault="00BD262A" w:rsidP="00BD262A">
      <w:pPr>
        <w:rPr>
          <w:rFonts w:ascii="Microsoft YaHei Light" w:eastAsia="Microsoft YaHei Light" w:hAnsi="Microsoft YaHei Light"/>
        </w:rPr>
      </w:pPr>
      <w:proofErr w:type="spellStart"/>
      <w:r w:rsidRPr="00BD4409">
        <w:rPr>
          <w:rFonts w:ascii="Microsoft YaHei Light" w:eastAsia="Microsoft YaHei Light" w:hAnsi="Microsoft YaHei Light"/>
        </w:rPr>
        <w:t>offreCommercialMensuel</w:t>
      </w:r>
      <w:proofErr w:type="spellEnd"/>
      <w:r w:rsidRPr="00BD4409">
        <w:rPr>
          <w:rFonts w:ascii="Microsoft YaHei Light" w:eastAsia="Microsoft YaHei Light" w:hAnsi="Microsoft YaHei Light"/>
        </w:rPr>
        <w:t>&lt;-</w:t>
      </w:r>
      <w:proofErr w:type="spellStart"/>
      <w:r w:rsidRPr="00BD4409">
        <w:rPr>
          <w:rFonts w:ascii="Microsoft YaHei Light" w:eastAsia="Microsoft YaHei Light" w:hAnsi="Microsoft YaHei Light"/>
        </w:rPr>
        <w:t>predict</w:t>
      </w:r>
      <w:proofErr w:type="spellEnd"/>
      <w:r w:rsidRPr="00BD4409">
        <w:rPr>
          <w:rFonts w:ascii="Microsoft YaHei Light" w:eastAsia="Microsoft YaHei Light" w:hAnsi="Microsoft YaHei Light"/>
        </w:rPr>
        <w:t>(td(</w:t>
      </w:r>
      <w:proofErr w:type="spellStart"/>
      <w:r w:rsidRPr="00BD4409">
        <w:rPr>
          <w:rFonts w:ascii="Microsoft YaHei Light" w:eastAsia="Microsoft YaHei Light" w:hAnsi="Microsoft YaHei Light"/>
        </w:rPr>
        <w:t>offreCommercial</w:t>
      </w:r>
      <w:proofErr w:type="spellEnd"/>
      <w:r w:rsidRPr="00BD4409">
        <w:rPr>
          <w:rFonts w:ascii="Microsoft YaHei Light" w:eastAsia="Microsoft YaHei Light" w:hAnsi="Microsoft YaHei Light"/>
        </w:rPr>
        <w:t>~ 1,to="</w:t>
      </w:r>
      <w:proofErr w:type="spellStart"/>
      <w:r w:rsidRPr="00BD4409">
        <w:rPr>
          <w:rFonts w:ascii="Microsoft YaHei Light" w:eastAsia="Microsoft YaHei Light" w:hAnsi="Microsoft YaHei Light"/>
        </w:rPr>
        <w:t>monthly</w:t>
      </w:r>
      <w:proofErr w:type="spellEnd"/>
      <w:r w:rsidRPr="00BD4409">
        <w:rPr>
          <w:rFonts w:ascii="Microsoft YaHei Light" w:eastAsia="Microsoft YaHei Light" w:hAnsi="Microsoft YaHei Light"/>
        </w:rPr>
        <w:t>",</w:t>
      </w:r>
      <w:proofErr w:type="spellStart"/>
      <w:r w:rsidRPr="00BD4409">
        <w:rPr>
          <w:rFonts w:ascii="Microsoft YaHei Light" w:eastAsia="Microsoft YaHei Light" w:hAnsi="Microsoft YaHei Light"/>
        </w:rPr>
        <w:t>method</w:t>
      </w:r>
      <w:proofErr w:type="spellEnd"/>
      <w:r w:rsidRPr="00BD4409">
        <w:rPr>
          <w:rFonts w:ascii="Microsoft YaHei Light" w:eastAsia="Microsoft YaHei Light" w:hAnsi="Microsoft YaHei Light"/>
        </w:rPr>
        <w:t xml:space="preserve"> = "</w:t>
      </w:r>
      <w:proofErr w:type="spellStart"/>
      <w:r w:rsidRPr="00BD4409">
        <w:rPr>
          <w:rFonts w:ascii="Microsoft YaHei Light" w:eastAsia="Microsoft YaHei Light" w:hAnsi="Microsoft YaHei Light"/>
        </w:rPr>
        <w:t>denton</w:t>
      </w:r>
      <w:proofErr w:type="spellEnd"/>
      <w:r w:rsidRPr="00BD4409">
        <w:rPr>
          <w:rFonts w:ascii="Microsoft YaHei Light" w:eastAsia="Microsoft YaHei Light" w:hAnsi="Microsoft YaHei Light"/>
        </w:rPr>
        <w:t>-cholette", conversion = "</w:t>
      </w:r>
      <w:proofErr w:type="spellStart"/>
      <w:r w:rsidRPr="00BD4409">
        <w:rPr>
          <w:rFonts w:ascii="Microsoft YaHei Light" w:eastAsia="Microsoft YaHei Light" w:hAnsi="Microsoft YaHei Light"/>
        </w:rPr>
        <w:t>average</w:t>
      </w:r>
      <w:proofErr w:type="spellEnd"/>
      <w:r w:rsidRPr="00BD4409">
        <w:rPr>
          <w:rFonts w:ascii="Microsoft YaHei Light" w:eastAsia="Microsoft YaHei Light" w:hAnsi="Microsoft YaHei Light"/>
        </w:rPr>
        <w:t>"))</w:t>
      </w:r>
    </w:p>
    <w:p w14:paraId="2BACBB49" w14:textId="77777777" w:rsidR="00BD262A" w:rsidRPr="00BD4409" w:rsidRDefault="00BD262A" w:rsidP="00BD262A">
      <w:pPr>
        <w:rPr>
          <w:rFonts w:ascii="Microsoft YaHei Light" w:eastAsia="Microsoft YaHei Light" w:hAnsi="Microsoft YaHei Light"/>
        </w:rPr>
      </w:pPr>
      <w:r w:rsidRPr="00BD4409">
        <w:rPr>
          <w:rFonts w:ascii="Microsoft YaHei Light" w:eastAsia="Microsoft YaHei Light" w:hAnsi="Microsoft YaHei Light"/>
        </w:rPr>
        <w:t>offreCommercialsMensuel=write.csv(offreCommercialMensuel,"offreCommercial.csv")</w:t>
      </w:r>
    </w:p>
    <w:p w14:paraId="0E37C472" w14:textId="77777777" w:rsidR="00BD4409" w:rsidRDefault="00BD4409" w:rsidP="00BD262A"/>
    <w:p w14:paraId="0C77FDCB" w14:textId="77777777" w:rsidR="00BD4409" w:rsidRDefault="00BD4409" w:rsidP="00BD262A"/>
    <w:p w14:paraId="4ECAE2B7" w14:textId="77777777" w:rsidR="00BD262A" w:rsidRPr="00971686" w:rsidRDefault="00BD262A" w:rsidP="00BD262A">
      <w:pPr>
        <w:rPr>
          <w:b/>
          <w:bCs/>
          <w:i/>
        </w:rPr>
      </w:pPr>
      <w:r w:rsidRPr="00971686">
        <w:rPr>
          <w:b/>
          <w:bCs/>
          <w:i/>
        </w:rPr>
        <w:t>#Stationnarité pour la rentabilité</w:t>
      </w:r>
    </w:p>
    <w:p w14:paraId="586871DA" w14:textId="77777777" w:rsidR="00BD262A" w:rsidRPr="00BD4409" w:rsidRDefault="00BD262A" w:rsidP="00BD262A">
      <w:pPr>
        <w:rPr>
          <w:rFonts w:ascii="Microsoft YaHei Light" w:eastAsia="Microsoft YaHei Light" w:hAnsi="Microsoft YaHei Light"/>
        </w:rPr>
      </w:pPr>
      <w:proofErr w:type="spellStart"/>
      <w:r w:rsidRPr="00BD4409">
        <w:rPr>
          <w:rFonts w:ascii="Microsoft YaHei Light" w:eastAsia="Microsoft YaHei Light" w:hAnsi="Microsoft YaHei Light"/>
        </w:rPr>
        <w:t>stationary.test</w:t>
      </w:r>
      <w:proofErr w:type="spellEnd"/>
      <w:r w:rsidRPr="00BD4409">
        <w:rPr>
          <w:rFonts w:ascii="Microsoft YaHei Light" w:eastAsia="Microsoft YaHei Light" w:hAnsi="Microsoft YaHei Light"/>
        </w:rPr>
        <w:t>(</w:t>
      </w:r>
      <w:proofErr w:type="spellStart"/>
      <w:r w:rsidRPr="00BD4409">
        <w:rPr>
          <w:rFonts w:ascii="Microsoft YaHei Light" w:eastAsia="Microsoft YaHei Light" w:hAnsi="Microsoft YaHei Light"/>
        </w:rPr>
        <w:t>databaseFinale$Rentabilite</w:t>
      </w:r>
      <w:proofErr w:type="spellEnd"/>
      <w:r w:rsidRPr="00BD4409">
        <w:rPr>
          <w:rFonts w:ascii="Microsoft YaHei Light" w:eastAsia="Microsoft YaHei Light" w:hAnsi="Microsoft YaHei Light"/>
        </w:rPr>
        <w:t xml:space="preserve">) </w:t>
      </w:r>
    </w:p>
    <w:p w14:paraId="39E49D33" w14:textId="77777777" w:rsidR="00BD262A" w:rsidRPr="00BD4409" w:rsidRDefault="00BD262A" w:rsidP="00BD262A">
      <w:pPr>
        <w:rPr>
          <w:rFonts w:ascii="Microsoft YaHei Light" w:eastAsia="Microsoft YaHei Light" w:hAnsi="Microsoft YaHei Light"/>
        </w:rPr>
      </w:pPr>
      <w:proofErr w:type="spellStart"/>
      <w:r w:rsidRPr="00BD4409">
        <w:rPr>
          <w:rFonts w:ascii="Microsoft YaHei Light" w:eastAsia="Microsoft YaHei Light" w:hAnsi="Microsoft YaHei Light"/>
        </w:rPr>
        <w:t>stationary.test</w:t>
      </w:r>
      <w:proofErr w:type="spellEnd"/>
      <w:r w:rsidRPr="00BD4409">
        <w:rPr>
          <w:rFonts w:ascii="Microsoft YaHei Light" w:eastAsia="Microsoft YaHei Light" w:hAnsi="Microsoft YaHei Light"/>
        </w:rPr>
        <w:t>(</w:t>
      </w:r>
      <w:proofErr w:type="spellStart"/>
      <w:r w:rsidRPr="00BD4409">
        <w:rPr>
          <w:rFonts w:ascii="Microsoft YaHei Light" w:eastAsia="Microsoft YaHei Light" w:hAnsi="Microsoft YaHei Light"/>
        </w:rPr>
        <w:t>databaseFinale$Rentabilite</w:t>
      </w:r>
      <w:proofErr w:type="spellEnd"/>
      <w:r w:rsidRPr="00BD4409">
        <w:rPr>
          <w:rFonts w:ascii="Microsoft YaHei Light" w:eastAsia="Microsoft YaHei Light" w:hAnsi="Microsoft YaHei Light"/>
        </w:rPr>
        <w:t xml:space="preserve">, </w:t>
      </w:r>
      <w:proofErr w:type="spellStart"/>
      <w:r w:rsidRPr="00BD4409">
        <w:rPr>
          <w:rFonts w:ascii="Microsoft YaHei Light" w:eastAsia="Microsoft YaHei Light" w:hAnsi="Microsoft YaHei Light"/>
        </w:rPr>
        <w:t>method</w:t>
      </w:r>
      <w:proofErr w:type="spellEnd"/>
      <w:r w:rsidRPr="00BD4409">
        <w:rPr>
          <w:rFonts w:ascii="Microsoft YaHei Light" w:eastAsia="Microsoft YaHei Light" w:hAnsi="Microsoft YaHei Light"/>
        </w:rPr>
        <w:t xml:space="preserve"> = "pp")</w:t>
      </w:r>
    </w:p>
    <w:p w14:paraId="126F81AD" w14:textId="77777777" w:rsidR="00BD262A" w:rsidRPr="00BD4409" w:rsidRDefault="00BD262A" w:rsidP="00BD262A">
      <w:pPr>
        <w:rPr>
          <w:rFonts w:ascii="Microsoft YaHei Light" w:eastAsia="Microsoft YaHei Light" w:hAnsi="Microsoft YaHei Light"/>
        </w:rPr>
      </w:pPr>
      <w:proofErr w:type="spellStart"/>
      <w:r w:rsidRPr="00BD4409">
        <w:rPr>
          <w:rFonts w:ascii="Microsoft YaHei Light" w:eastAsia="Microsoft YaHei Light" w:hAnsi="Microsoft YaHei Light"/>
        </w:rPr>
        <w:t>stationary.test</w:t>
      </w:r>
      <w:proofErr w:type="spellEnd"/>
      <w:r w:rsidRPr="00BD4409">
        <w:rPr>
          <w:rFonts w:ascii="Microsoft YaHei Light" w:eastAsia="Microsoft YaHei Light" w:hAnsi="Microsoft YaHei Light"/>
        </w:rPr>
        <w:t>(</w:t>
      </w:r>
      <w:proofErr w:type="spellStart"/>
      <w:r w:rsidRPr="00BD4409">
        <w:rPr>
          <w:rFonts w:ascii="Microsoft YaHei Light" w:eastAsia="Microsoft YaHei Light" w:hAnsi="Microsoft YaHei Light"/>
        </w:rPr>
        <w:t>databaseFinale$Rentabilite</w:t>
      </w:r>
      <w:proofErr w:type="spellEnd"/>
      <w:r w:rsidRPr="00BD4409">
        <w:rPr>
          <w:rFonts w:ascii="Microsoft YaHei Light" w:eastAsia="Microsoft YaHei Light" w:hAnsi="Microsoft YaHei Light"/>
        </w:rPr>
        <w:t xml:space="preserve">, </w:t>
      </w:r>
      <w:proofErr w:type="spellStart"/>
      <w:r w:rsidRPr="00BD4409">
        <w:rPr>
          <w:rFonts w:ascii="Microsoft YaHei Light" w:eastAsia="Microsoft YaHei Light" w:hAnsi="Microsoft YaHei Light"/>
        </w:rPr>
        <w:t>method</w:t>
      </w:r>
      <w:proofErr w:type="spellEnd"/>
      <w:r w:rsidRPr="00BD4409">
        <w:rPr>
          <w:rFonts w:ascii="Microsoft YaHei Light" w:eastAsia="Microsoft YaHei Light" w:hAnsi="Microsoft YaHei Light"/>
        </w:rPr>
        <w:t xml:space="preserve"> = "</w:t>
      </w:r>
      <w:proofErr w:type="spellStart"/>
      <w:r w:rsidRPr="00BD4409">
        <w:rPr>
          <w:rFonts w:ascii="Microsoft YaHei Light" w:eastAsia="Microsoft YaHei Light" w:hAnsi="Microsoft YaHei Light"/>
        </w:rPr>
        <w:t>kpss</w:t>
      </w:r>
      <w:proofErr w:type="spellEnd"/>
      <w:r w:rsidRPr="00BD4409">
        <w:rPr>
          <w:rFonts w:ascii="Microsoft YaHei Light" w:eastAsia="Microsoft YaHei Light" w:hAnsi="Microsoft YaHei Light"/>
        </w:rPr>
        <w:t>")</w:t>
      </w:r>
    </w:p>
    <w:p w14:paraId="5ACE7CA6" w14:textId="77777777" w:rsidR="00BD262A" w:rsidRDefault="00BD262A" w:rsidP="00BD262A"/>
    <w:p w14:paraId="3E90CBFD" w14:textId="77777777" w:rsidR="00BD262A" w:rsidRPr="00971686" w:rsidRDefault="00BD262A" w:rsidP="00BD262A">
      <w:pPr>
        <w:rPr>
          <w:b/>
          <w:bCs/>
          <w:i/>
        </w:rPr>
      </w:pPr>
      <w:r w:rsidRPr="00971686">
        <w:rPr>
          <w:b/>
          <w:bCs/>
          <w:i/>
        </w:rPr>
        <w:t xml:space="preserve">#Stationnarité pour l'investissement </w:t>
      </w:r>
    </w:p>
    <w:p w14:paraId="53EE8106" w14:textId="77777777" w:rsidR="00BD262A" w:rsidRPr="00BD4409" w:rsidRDefault="00BD262A" w:rsidP="00BD262A">
      <w:pPr>
        <w:rPr>
          <w:rFonts w:ascii="Microsoft YaHei Light" w:eastAsia="Microsoft YaHei Light" w:hAnsi="Microsoft YaHei Light"/>
        </w:rPr>
      </w:pPr>
      <w:proofErr w:type="spellStart"/>
      <w:r w:rsidRPr="00BD4409">
        <w:rPr>
          <w:rFonts w:ascii="Microsoft YaHei Light" w:eastAsia="Microsoft YaHei Light" w:hAnsi="Microsoft YaHei Light"/>
        </w:rPr>
        <w:t>stationary.test</w:t>
      </w:r>
      <w:proofErr w:type="spellEnd"/>
      <w:r w:rsidRPr="00BD4409">
        <w:rPr>
          <w:rFonts w:ascii="Microsoft YaHei Light" w:eastAsia="Microsoft YaHei Light" w:hAnsi="Microsoft YaHei Light"/>
        </w:rPr>
        <w:t>(</w:t>
      </w:r>
      <w:proofErr w:type="spellStart"/>
      <w:r w:rsidRPr="00BD4409">
        <w:rPr>
          <w:rFonts w:ascii="Microsoft YaHei Light" w:eastAsia="Microsoft YaHei Light" w:hAnsi="Microsoft YaHei Light"/>
        </w:rPr>
        <w:t>databaseFinale$Investissement</w:t>
      </w:r>
      <w:proofErr w:type="spellEnd"/>
      <w:r w:rsidRPr="00BD4409">
        <w:rPr>
          <w:rFonts w:ascii="Microsoft YaHei Light" w:eastAsia="Microsoft YaHei Light" w:hAnsi="Microsoft YaHei Light"/>
        </w:rPr>
        <w:t xml:space="preserve">) </w:t>
      </w:r>
    </w:p>
    <w:p w14:paraId="7FD8B465" w14:textId="77777777" w:rsidR="00BD262A" w:rsidRPr="00BD4409" w:rsidRDefault="00BD262A" w:rsidP="00BD262A">
      <w:pPr>
        <w:rPr>
          <w:rFonts w:ascii="Microsoft YaHei Light" w:eastAsia="Microsoft YaHei Light" w:hAnsi="Microsoft YaHei Light"/>
        </w:rPr>
      </w:pPr>
      <w:proofErr w:type="spellStart"/>
      <w:r w:rsidRPr="00BD4409">
        <w:rPr>
          <w:rFonts w:ascii="Microsoft YaHei Light" w:eastAsia="Microsoft YaHei Light" w:hAnsi="Microsoft YaHei Light"/>
        </w:rPr>
        <w:t>stationary.test</w:t>
      </w:r>
      <w:proofErr w:type="spellEnd"/>
      <w:r w:rsidRPr="00BD4409">
        <w:rPr>
          <w:rFonts w:ascii="Microsoft YaHei Light" w:eastAsia="Microsoft YaHei Light" w:hAnsi="Microsoft YaHei Light"/>
        </w:rPr>
        <w:t>(</w:t>
      </w:r>
      <w:proofErr w:type="spellStart"/>
      <w:r w:rsidRPr="00BD4409">
        <w:rPr>
          <w:rFonts w:ascii="Microsoft YaHei Light" w:eastAsia="Microsoft YaHei Light" w:hAnsi="Microsoft YaHei Light"/>
        </w:rPr>
        <w:t>databaseFinale$Investissement</w:t>
      </w:r>
      <w:proofErr w:type="spellEnd"/>
      <w:r w:rsidRPr="00BD4409">
        <w:rPr>
          <w:rFonts w:ascii="Microsoft YaHei Light" w:eastAsia="Microsoft YaHei Light" w:hAnsi="Microsoft YaHei Light"/>
        </w:rPr>
        <w:t xml:space="preserve">, </w:t>
      </w:r>
      <w:proofErr w:type="spellStart"/>
      <w:r w:rsidRPr="00BD4409">
        <w:rPr>
          <w:rFonts w:ascii="Microsoft YaHei Light" w:eastAsia="Microsoft YaHei Light" w:hAnsi="Microsoft YaHei Light"/>
        </w:rPr>
        <w:t>method</w:t>
      </w:r>
      <w:proofErr w:type="spellEnd"/>
      <w:r w:rsidRPr="00BD4409">
        <w:rPr>
          <w:rFonts w:ascii="Microsoft YaHei Light" w:eastAsia="Microsoft YaHei Light" w:hAnsi="Microsoft YaHei Light"/>
        </w:rPr>
        <w:t xml:space="preserve"> = "pp")</w:t>
      </w:r>
    </w:p>
    <w:p w14:paraId="378D7224" w14:textId="77777777" w:rsidR="00BD262A" w:rsidRPr="00BD4409" w:rsidRDefault="00BD262A" w:rsidP="00BD262A">
      <w:pPr>
        <w:rPr>
          <w:rFonts w:ascii="Microsoft YaHei Light" w:eastAsia="Microsoft YaHei Light" w:hAnsi="Microsoft YaHei Light"/>
        </w:rPr>
      </w:pPr>
      <w:proofErr w:type="spellStart"/>
      <w:r w:rsidRPr="00BD4409">
        <w:rPr>
          <w:rFonts w:ascii="Microsoft YaHei Light" w:eastAsia="Microsoft YaHei Light" w:hAnsi="Microsoft YaHei Light"/>
        </w:rPr>
        <w:t>stationary.test</w:t>
      </w:r>
      <w:proofErr w:type="spellEnd"/>
      <w:r w:rsidRPr="00BD4409">
        <w:rPr>
          <w:rFonts w:ascii="Microsoft YaHei Light" w:eastAsia="Microsoft YaHei Light" w:hAnsi="Microsoft YaHei Light"/>
        </w:rPr>
        <w:t>(</w:t>
      </w:r>
      <w:proofErr w:type="spellStart"/>
      <w:r w:rsidRPr="00BD4409">
        <w:rPr>
          <w:rFonts w:ascii="Microsoft YaHei Light" w:eastAsia="Microsoft YaHei Light" w:hAnsi="Microsoft YaHei Light"/>
        </w:rPr>
        <w:t>databaseFinale$Investissement</w:t>
      </w:r>
      <w:proofErr w:type="spellEnd"/>
      <w:r w:rsidRPr="00BD4409">
        <w:rPr>
          <w:rFonts w:ascii="Microsoft YaHei Light" w:eastAsia="Microsoft YaHei Light" w:hAnsi="Microsoft YaHei Light"/>
        </w:rPr>
        <w:t xml:space="preserve">, </w:t>
      </w:r>
      <w:proofErr w:type="spellStart"/>
      <w:r w:rsidRPr="00BD4409">
        <w:rPr>
          <w:rFonts w:ascii="Microsoft YaHei Light" w:eastAsia="Microsoft YaHei Light" w:hAnsi="Microsoft YaHei Light"/>
        </w:rPr>
        <w:t>method</w:t>
      </w:r>
      <w:proofErr w:type="spellEnd"/>
      <w:r w:rsidRPr="00BD4409">
        <w:rPr>
          <w:rFonts w:ascii="Microsoft YaHei Light" w:eastAsia="Microsoft YaHei Light" w:hAnsi="Microsoft YaHei Light"/>
        </w:rPr>
        <w:t xml:space="preserve"> = "</w:t>
      </w:r>
      <w:proofErr w:type="spellStart"/>
      <w:r w:rsidRPr="00BD4409">
        <w:rPr>
          <w:rFonts w:ascii="Microsoft YaHei Light" w:eastAsia="Microsoft YaHei Light" w:hAnsi="Microsoft YaHei Light"/>
        </w:rPr>
        <w:t>kpss</w:t>
      </w:r>
      <w:proofErr w:type="spellEnd"/>
      <w:r w:rsidRPr="00BD4409">
        <w:rPr>
          <w:rFonts w:ascii="Microsoft YaHei Light" w:eastAsia="Microsoft YaHei Light" w:hAnsi="Microsoft YaHei Light"/>
        </w:rPr>
        <w:t>")</w:t>
      </w:r>
    </w:p>
    <w:p w14:paraId="486094D6" w14:textId="77777777" w:rsidR="00BD262A" w:rsidRPr="00BD4409" w:rsidRDefault="00BD262A" w:rsidP="00BD262A">
      <w:pPr>
        <w:rPr>
          <w:i/>
        </w:rPr>
      </w:pPr>
      <w:r w:rsidRPr="00BD4409">
        <w:rPr>
          <w:i/>
        </w:rPr>
        <w:t>#En différence première</w:t>
      </w:r>
    </w:p>
    <w:p w14:paraId="3C3AB3B4" w14:textId="77777777" w:rsidR="00BD262A" w:rsidRPr="00BD4409" w:rsidRDefault="00BD262A" w:rsidP="00BD262A">
      <w:pPr>
        <w:rPr>
          <w:rFonts w:ascii="Microsoft YaHei Light" w:eastAsia="Microsoft YaHei Light" w:hAnsi="Microsoft YaHei Light"/>
        </w:rPr>
      </w:pPr>
      <w:proofErr w:type="spellStart"/>
      <w:r w:rsidRPr="00BD4409">
        <w:rPr>
          <w:rFonts w:ascii="Microsoft YaHei Light" w:eastAsia="Microsoft YaHei Light" w:hAnsi="Microsoft YaHei Light"/>
        </w:rPr>
        <w:t>stationary.test</w:t>
      </w:r>
      <w:proofErr w:type="spellEnd"/>
      <w:r w:rsidRPr="00BD4409">
        <w:rPr>
          <w:rFonts w:ascii="Microsoft YaHei Light" w:eastAsia="Microsoft YaHei Light" w:hAnsi="Microsoft YaHei Light"/>
        </w:rPr>
        <w:t>(</w:t>
      </w:r>
      <w:proofErr w:type="spellStart"/>
      <w:r w:rsidRPr="00BD4409">
        <w:rPr>
          <w:rFonts w:ascii="Microsoft YaHei Light" w:eastAsia="Microsoft YaHei Light" w:hAnsi="Microsoft YaHei Light"/>
        </w:rPr>
        <w:t>databaseFinale$deltaInvestissement</w:t>
      </w:r>
      <w:proofErr w:type="spellEnd"/>
      <w:r w:rsidRPr="00BD4409">
        <w:rPr>
          <w:rFonts w:ascii="Microsoft YaHei Light" w:eastAsia="Microsoft YaHei Light" w:hAnsi="Microsoft YaHei Light"/>
        </w:rPr>
        <w:t xml:space="preserve">) </w:t>
      </w:r>
    </w:p>
    <w:p w14:paraId="330CD1B0" w14:textId="77777777" w:rsidR="00BD262A" w:rsidRPr="00BD4409" w:rsidRDefault="00BD262A" w:rsidP="00BD262A">
      <w:pPr>
        <w:rPr>
          <w:rFonts w:ascii="Microsoft YaHei Light" w:eastAsia="Microsoft YaHei Light" w:hAnsi="Microsoft YaHei Light"/>
        </w:rPr>
      </w:pPr>
      <w:proofErr w:type="spellStart"/>
      <w:r w:rsidRPr="00BD4409">
        <w:rPr>
          <w:rFonts w:ascii="Microsoft YaHei Light" w:eastAsia="Microsoft YaHei Light" w:hAnsi="Microsoft YaHei Light"/>
        </w:rPr>
        <w:t>stationary.test</w:t>
      </w:r>
      <w:proofErr w:type="spellEnd"/>
      <w:r w:rsidRPr="00BD4409">
        <w:rPr>
          <w:rFonts w:ascii="Microsoft YaHei Light" w:eastAsia="Microsoft YaHei Light" w:hAnsi="Microsoft YaHei Light"/>
        </w:rPr>
        <w:t>(</w:t>
      </w:r>
      <w:proofErr w:type="spellStart"/>
      <w:r w:rsidRPr="00BD4409">
        <w:rPr>
          <w:rFonts w:ascii="Microsoft YaHei Light" w:eastAsia="Microsoft YaHei Light" w:hAnsi="Microsoft YaHei Light"/>
        </w:rPr>
        <w:t>databaseFinale$deltaInvestissement</w:t>
      </w:r>
      <w:proofErr w:type="spellEnd"/>
      <w:r w:rsidRPr="00BD4409">
        <w:rPr>
          <w:rFonts w:ascii="Microsoft YaHei Light" w:eastAsia="Microsoft YaHei Light" w:hAnsi="Microsoft YaHei Light"/>
        </w:rPr>
        <w:t xml:space="preserve">, </w:t>
      </w:r>
      <w:proofErr w:type="spellStart"/>
      <w:r w:rsidRPr="00BD4409">
        <w:rPr>
          <w:rFonts w:ascii="Microsoft YaHei Light" w:eastAsia="Microsoft YaHei Light" w:hAnsi="Microsoft YaHei Light"/>
        </w:rPr>
        <w:t>method</w:t>
      </w:r>
      <w:proofErr w:type="spellEnd"/>
      <w:r w:rsidRPr="00BD4409">
        <w:rPr>
          <w:rFonts w:ascii="Microsoft YaHei Light" w:eastAsia="Microsoft YaHei Light" w:hAnsi="Microsoft YaHei Light"/>
        </w:rPr>
        <w:t xml:space="preserve"> = "pp")</w:t>
      </w:r>
    </w:p>
    <w:p w14:paraId="0DD529DA" w14:textId="77777777" w:rsidR="00BD262A" w:rsidRPr="00BD4409" w:rsidRDefault="00BD262A" w:rsidP="00BD262A">
      <w:pPr>
        <w:rPr>
          <w:rFonts w:ascii="Microsoft YaHei Light" w:eastAsia="Microsoft YaHei Light" w:hAnsi="Microsoft YaHei Light"/>
        </w:rPr>
      </w:pPr>
      <w:proofErr w:type="spellStart"/>
      <w:r w:rsidRPr="00BD4409">
        <w:rPr>
          <w:rFonts w:ascii="Microsoft YaHei Light" w:eastAsia="Microsoft YaHei Light" w:hAnsi="Microsoft YaHei Light"/>
        </w:rPr>
        <w:t>stationary.test</w:t>
      </w:r>
      <w:proofErr w:type="spellEnd"/>
      <w:r w:rsidRPr="00BD4409">
        <w:rPr>
          <w:rFonts w:ascii="Microsoft YaHei Light" w:eastAsia="Microsoft YaHei Light" w:hAnsi="Microsoft YaHei Light"/>
        </w:rPr>
        <w:t>(</w:t>
      </w:r>
      <w:proofErr w:type="spellStart"/>
      <w:r w:rsidRPr="00BD4409">
        <w:rPr>
          <w:rFonts w:ascii="Microsoft YaHei Light" w:eastAsia="Microsoft YaHei Light" w:hAnsi="Microsoft YaHei Light"/>
        </w:rPr>
        <w:t>databaseFinale$deltaInvestissement</w:t>
      </w:r>
      <w:proofErr w:type="spellEnd"/>
      <w:r w:rsidRPr="00BD4409">
        <w:rPr>
          <w:rFonts w:ascii="Microsoft YaHei Light" w:eastAsia="Microsoft YaHei Light" w:hAnsi="Microsoft YaHei Light"/>
        </w:rPr>
        <w:t xml:space="preserve">, </w:t>
      </w:r>
      <w:proofErr w:type="spellStart"/>
      <w:r w:rsidRPr="00BD4409">
        <w:rPr>
          <w:rFonts w:ascii="Microsoft YaHei Light" w:eastAsia="Microsoft YaHei Light" w:hAnsi="Microsoft YaHei Light"/>
        </w:rPr>
        <w:t>method</w:t>
      </w:r>
      <w:proofErr w:type="spellEnd"/>
      <w:r w:rsidRPr="00BD4409">
        <w:rPr>
          <w:rFonts w:ascii="Microsoft YaHei Light" w:eastAsia="Microsoft YaHei Light" w:hAnsi="Microsoft YaHei Light"/>
        </w:rPr>
        <w:t xml:space="preserve"> = "</w:t>
      </w:r>
      <w:proofErr w:type="spellStart"/>
      <w:r w:rsidRPr="00BD4409">
        <w:rPr>
          <w:rFonts w:ascii="Microsoft YaHei Light" w:eastAsia="Microsoft YaHei Light" w:hAnsi="Microsoft YaHei Light"/>
        </w:rPr>
        <w:t>kpss</w:t>
      </w:r>
      <w:proofErr w:type="spellEnd"/>
      <w:r w:rsidRPr="00BD4409">
        <w:rPr>
          <w:rFonts w:ascii="Microsoft YaHei Light" w:eastAsia="Microsoft YaHei Light" w:hAnsi="Microsoft YaHei Light"/>
        </w:rPr>
        <w:t>")</w:t>
      </w:r>
    </w:p>
    <w:p w14:paraId="45B34CAA" w14:textId="77777777" w:rsidR="00BD262A" w:rsidRDefault="00BD262A" w:rsidP="00BD262A"/>
    <w:p w14:paraId="0A90DFA4" w14:textId="77777777" w:rsidR="00BD262A" w:rsidRPr="00971686" w:rsidRDefault="00BD262A" w:rsidP="00BD262A">
      <w:pPr>
        <w:rPr>
          <w:b/>
          <w:bCs/>
          <w:i/>
        </w:rPr>
      </w:pPr>
      <w:r w:rsidRPr="00971686">
        <w:rPr>
          <w:b/>
          <w:bCs/>
          <w:i/>
        </w:rPr>
        <w:t xml:space="preserve">#Stationnarité pour les concours publics </w:t>
      </w:r>
    </w:p>
    <w:p w14:paraId="72E04DCC" w14:textId="77777777" w:rsidR="00BD262A" w:rsidRPr="00BD4409" w:rsidRDefault="00BD262A" w:rsidP="00BD262A">
      <w:pPr>
        <w:rPr>
          <w:rFonts w:ascii="Microsoft YaHei Light" w:eastAsia="Microsoft YaHei Light" w:hAnsi="Microsoft YaHei Light"/>
        </w:rPr>
      </w:pPr>
      <w:proofErr w:type="spellStart"/>
      <w:r w:rsidRPr="00BD4409">
        <w:rPr>
          <w:rFonts w:ascii="Microsoft YaHei Light" w:eastAsia="Microsoft YaHei Light" w:hAnsi="Microsoft YaHei Light"/>
        </w:rPr>
        <w:t>stationary.test</w:t>
      </w:r>
      <w:proofErr w:type="spellEnd"/>
      <w:r w:rsidRPr="00BD4409">
        <w:rPr>
          <w:rFonts w:ascii="Microsoft YaHei Light" w:eastAsia="Microsoft YaHei Light" w:hAnsi="Microsoft YaHei Light"/>
        </w:rPr>
        <w:t>(</w:t>
      </w:r>
      <w:proofErr w:type="spellStart"/>
      <w:r w:rsidRPr="00BD4409">
        <w:rPr>
          <w:rFonts w:ascii="Microsoft YaHei Light" w:eastAsia="Microsoft YaHei Light" w:hAnsi="Microsoft YaHei Light"/>
        </w:rPr>
        <w:t>databaseFinale$concoursPublics</w:t>
      </w:r>
      <w:proofErr w:type="spellEnd"/>
      <w:r w:rsidRPr="00BD4409">
        <w:rPr>
          <w:rFonts w:ascii="Microsoft YaHei Light" w:eastAsia="Microsoft YaHei Light" w:hAnsi="Microsoft YaHei Light"/>
        </w:rPr>
        <w:t xml:space="preserve">) </w:t>
      </w:r>
    </w:p>
    <w:p w14:paraId="2215864B" w14:textId="77777777" w:rsidR="00BD262A" w:rsidRPr="00BD4409" w:rsidRDefault="00BD262A" w:rsidP="00BD262A">
      <w:pPr>
        <w:rPr>
          <w:rFonts w:ascii="Microsoft YaHei Light" w:eastAsia="Microsoft YaHei Light" w:hAnsi="Microsoft YaHei Light"/>
        </w:rPr>
      </w:pPr>
      <w:proofErr w:type="spellStart"/>
      <w:r w:rsidRPr="00BD4409">
        <w:rPr>
          <w:rFonts w:ascii="Microsoft YaHei Light" w:eastAsia="Microsoft YaHei Light" w:hAnsi="Microsoft YaHei Light"/>
        </w:rPr>
        <w:t>stationary.test</w:t>
      </w:r>
      <w:proofErr w:type="spellEnd"/>
      <w:r w:rsidRPr="00BD4409">
        <w:rPr>
          <w:rFonts w:ascii="Microsoft YaHei Light" w:eastAsia="Microsoft YaHei Light" w:hAnsi="Microsoft YaHei Light"/>
        </w:rPr>
        <w:t>(</w:t>
      </w:r>
      <w:proofErr w:type="spellStart"/>
      <w:r w:rsidRPr="00BD4409">
        <w:rPr>
          <w:rFonts w:ascii="Microsoft YaHei Light" w:eastAsia="Microsoft YaHei Light" w:hAnsi="Microsoft YaHei Light"/>
        </w:rPr>
        <w:t>databaseFinale$concoursPublics</w:t>
      </w:r>
      <w:proofErr w:type="spellEnd"/>
      <w:r w:rsidRPr="00BD4409">
        <w:rPr>
          <w:rFonts w:ascii="Microsoft YaHei Light" w:eastAsia="Microsoft YaHei Light" w:hAnsi="Microsoft YaHei Light"/>
        </w:rPr>
        <w:t xml:space="preserve">, </w:t>
      </w:r>
      <w:proofErr w:type="spellStart"/>
      <w:r w:rsidRPr="00BD4409">
        <w:rPr>
          <w:rFonts w:ascii="Microsoft YaHei Light" w:eastAsia="Microsoft YaHei Light" w:hAnsi="Microsoft YaHei Light"/>
        </w:rPr>
        <w:t>method</w:t>
      </w:r>
      <w:proofErr w:type="spellEnd"/>
      <w:r w:rsidRPr="00BD4409">
        <w:rPr>
          <w:rFonts w:ascii="Microsoft YaHei Light" w:eastAsia="Microsoft YaHei Light" w:hAnsi="Microsoft YaHei Light"/>
        </w:rPr>
        <w:t xml:space="preserve"> = "pp")</w:t>
      </w:r>
    </w:p>
    <w:p w14:paraId="2ECDB667" w14:textId="77777777" w:rsidR="00BD262A" w:rsidRPr="00BD4409" w:rsidRDefault="00BD262A" w:rsidP="00BD262A">
      <w:pPr>
        <w:rPr>
          <w:rFonts w:ascii="Microsoft YaHei Light" w:eastAsia="Microsoft YaHei Light" w:hAnsi="Microsoft YaHei Light"/>
        </w:rPr>
      </w:pPr>
      <w:proofErr w:type="spellStart"/>
      <w:r w:rsidRPr="00BD4409">
        <w:rPr>
          <w:rFonts w:ascii="Microsoft YaHei Light" w:eastAsia="Microsoft YaHei Light" w:hAnsi="Microsoft YaHei Light"/>
        </w:rPr>
        <w:t>stationary.test</w:t>
      </w:r>
      <w:proofErr w:type="spellEnd"/>
      <w:r w:rsidRPr="00BD4409">
        <w:rPr>
          <w:rFonts w:ascii="Microsoft YaHei Light" w:eastAsia="Microsoft YaHei Light" w:hAnsi="Microsoft YaHei Light"/>
        </w:rPr>
        <w:t>(</w:t>
      </w:r>
      <w:proofErr w:type="spellStart"/>
      <w:r w:rsidRPr="00BD4409">
        <w:rPr>
          <w:rFonts w:ascii="Microsoft YaHei Light" w:eastAsia="Microsoft YaHei Light" w:hAnsi="Microsoft YaHei Light"/>
        </w:rPr>
        <w:t>databaseFinale$concoursPublics</w:t>
      </w:r>
      <w:proofErr w:type="spellEnd"/>
      <w:r w:rsidRPr="00BD4409">
        <w:rPr>
          <w:rFonts w:ascii="Microsoft YaHei Light" w:eastAsia="Microsoft YaHei Light" w:hAnsi="Microsoft YaHei Light"/>
        </w:rPr>
        <w:t xml:space="preserve">, </w:t>
      </w:r>
      <w:proofErr w:type="spellStart"/>
      <w:r w:rsidRPr="00BD4409">
        <w:rPr>
          <w:rFonts w:ascii="Microsoft YaHei Light" w:eastAsia="Microsoft YaHei Light" w:hAnsi="Microsoft YaHei Light"/>
        </w:rPr>
        <w:t>method</w:t>
      </w:r>
      <w:proofErr w:type="spellEnd"/>
      <w:r w:rsidRPr="00BD4409">
        <w:rPr>
          <w:rFonts w:ascii="Microsoft YaHei Light" w:eastAsia="Microsoft YaHei Light" w:hAnsi="Microsoft YaHei Light"/>
        </w:rPr>
        <w:t xml:space="preserve"> = "</w:t>
      </w:r>
      <w:proofErr w:type="spellStart"/>
      <w:r w:rsidRPr="00BD4409">
        <w:rPr>
          <w:rFonts w:ascii="Microsoft YaHei Light" w:eastAsia="Microsoft YaHei Light" w:hAnsi="Microsoft YaHei Light"/>
        </w:rPr>
        <w:t>kpss</w:t>
      </w:r>
      <w:proofErr w:type="spellEnd"/>
      <w:r w:rsidRPr="00BD4409">
        <w:rPr>
          <w:rFonts w:ascii="Microsoft YaHei Light" w:eastAsia="Microsoft YaHei Light" w:hAnsi="Microsoft YaHei Light"/>
        </w:rPr>
        <w:t>")</w:t>
      </w:r>
    </w:p>
    <w:p w14:paraId="24DB4804" w14:textId="77777777" w:rsidR="00BD262A" w:rsidRPr="00971686" w:rsidRDefault="00BD262A" w:rsidP="00BD262A">
      <w:pPr>
        <w:rPr>
          <w:b/>
          <w:bCs/>
          <w:i/>
        </w:rPr>
      </w:pPr>
      <w:r w:rsidRPr="00971686">
        <w:rPr>
          <w:b/>
          <w:bCs/>
          <w:i/>
        </w:rPr>
        <w:t>#En différence première</w:t>
      </w:r>
    </w:p>
    <w:p w14:paraId="0B667695" w14:textId="77777777" w:rsidR="00BD262A" w:rsidRPr="00BD4409" w:rsidRDefault="00BD262A" w:rsidP="00BD262A">
      <w:pPr>
        <w:rPr>
          <w:rFonts w:ascii="Microsoft YaHei Light" w:eastAsia="Microsoft YaHei Light" w:hAnsi="Microsoft YaHei Light"/>
        </w:rPr>
      </w:pPr>
      <w:proofErr w:type="spellStart"/>
      <w:r w:rsidRPr="00BD4409">
        <w:rPr>
          <w:rFonts w:ascii="Microsoft YaHei Light" w:eastAsia="Microsoft YaHei Light" w:hAnsi="Microsoft YaHei Light"/>
        </w:rPr>
        <w:t>stationary.test</w:t>
      </w:r>
      <w:proofErr w:type="spellEnd"/>
      <w:r w:rsidRPr="00BD4409">
        <w:rPr>
          <w:rFonts w:ascii="Microsoft YaHei Light" w:eastAsia="Microsoft YaHei Light" w:hAnsi="Microsoft YaHei Light"/>
        </w:rPr>
        <w:t>(</w:t>
      </w:r>
      <w:proofErr w:type="spellStart"/>
      <w:r w:rsidRPr="00BD4409">
        <w:rPr>
          <w:rFonts w:ascii="Microsoft YaHei Light" w:eastAsia="Microsoft YaHei Light" w:hAnsi="Microsoft YaHei Light"/>
        </w:rPr>
        <w:t>databaseFinale$deltaConcoursPublics</w:t>
      </w:r>
      <w:proofErr w:type="spellEnd"/>
      <w:r w:rsidRPr="00BD4409">
        <w:rPr>
          <w:rFonts w:ascii="Microsoft YaHei Light" w:eastAsia="Microsoft YaHei Light" w:hAnsi="Microsoft YaHei Light"/>
        </w:rPr>
        <w:t xml:space="preserve">) </w:t>
      </w:r>
    </w:p>
    <w:p w14:paraId="74DFDD49" w14:textId="77777777" w:rsidR="00BD262A" w:rsidRPr="00BD4409" w:rsidRDefault="00BD262A" w:rsidP="00BD262A">
      <w:pPr>
        <w:rPr>
          <w:rFonts w:ascii="Microsoft YaHei Light" w:eastAsia="Microsoft YaHei Light" w:hAnsi="Microsoft YaHei Light"/>
        </w:rPr>
      </w:pPr>
      <w:proofErr w:type="spellStart"/>
      <w:r w:rsidRPr="00BD4409">
        <w:rPr>
          <w:rFonts w:ascii="Microsoft YaHei Light" w:eastAsia="Microsoft YaHei Light" w:hAnsi="Microsoft YaHei Light"/>
        </w:rPr>
        <w:t>stationary.test</w:t>
      </w:r>
      <w:proofErr w:type="spellEnd"/>
      <w:r w:rsidRPr="00BD4409">
        <w:rPr>
          <w:rFonts w:ascii="Microsoft YaHei Light" w:eastAsia="Microsoft YaHei Light" w:hAnsi="Microsoft YaHei Light"/>
        </w:rPr>
        <w:t>(</w:t>
      </w:r>
      <w:proofErr w:type="spellStart"/>
      <w:r w:rsidRPr="00BD4409">
        <w:rPr>
          <w:rFonts w:ascii="Microsoft YaHei Light" w:eastAsia="Microsoft YaHei Light" w:hAnsi="Microsoft YaHei Light"/>
        </w:rPr>
        <w:t>databaseFinale$deltaConcoursPublics</w:t>
      </w:r>
      <w:proofErr w:type="spellEnd"/>
      <w:r w:rsidRPr="00BD4409">
        <w:rPr>
          <w:rFonts w:ascii="Microsoft YaHei Light" w:eastAsia="Microsoft YaHei Light" w:hAnsi="Microsoft YaHei Light"/>
        </w:rPr>
        <w:t xml:space="preserve">, </w:t>
      </w:r>
      <w:proofErr w:type="spellStart"/>
      <w:r w:rsidRPr="00BD4409">
        <w:rPr>
          <w:rFonts w:ascii="Microsoft YaHei Light" w:eastAsia="Microsoft YaHei Light" w:hAnsi="Microsoft YaHei Light"/>
        </w:rPr>
        <w:t>method</w:t>
      </w:r>
      <w:proofErr w:type="spellEnd"/>
      <w:r w:rsidRPr="00BD4409">
        <w:rPr>
          <w:rFonts w:ascii="Microsoft YaHei Light" w:eastAsia="Microsoft YaHei Light" w:hAnsi="Microsoft YaHei Light"/>
        </w:rPr>
        <w:t xml:space="preserve"> = "pp")</w:t>
      </w:r>
    </w:p>
    <w:p w14:paraId="4B392B56" w14:textId="77777777" w:rsidR="00BD262A" w:rsidRPr="00BD4409" w:rsidRDefault="00BD262A" w:rsidP="00BD262A">
      <w:pPr>
        <w:rPr>
          <w:rFonts w:ascii="Microsoft YaHei Light" w:eastAsia="Microsoft YaHei Light" w:hAnsi="Microsoft YaHei Light"/>
        </w:rPr>
      </w:pPr>
      <w:proofErr w:type="spellStart"/>
      <w:r w:rsidRPr="00BD4409">
        <w:rPr>
          <w:rFonts w:ascii="Microsoft YaHei Light" w:eastAsia="Microsoft YaHei Light" w:hAnsi="Microsoft YaHei Light"/>
        </w:rPr>
        <w:t>stationary.test</w:t>
      </w:r>
      <w:proofErr w:type="spellEnd"/>
      <w:r w:rsidRPr="00BD4409">
        <w:rPr>
          <w:rFonts w:ascii="Microsoft YaHei Light" w:eastAsia="Microsoft YaHei Light" w:hAnsi="Microsoft YaHei Light"/>
        </w:rPr>
        <w:t>(</w:t>
      </w:r>
      <w:proofErr w:type="spellStart"/>
      <w:r w:rsidRPr="00BD4409">
        <w:rPr>
          <w:rFonts w:ascii="Microsoft YaHei Light" w:eastAsia="Microsoft YaHei Light" w:hAnsi="Microsoft YaHei Light"/>
        </w:rPr>
        <w:t>databaseFinale$deltaConcoursPublics</w:t>
      </w:r>
      <w:proofErr w:type="spellEnd"/>
      <w:r w:rsidRPr="00BD4409">
        <w:rPr>
          <w:rFonts w:ascii="Microsoft YaHei Light" w:eastAsia="Microsoft YaHei Light" w:hAnsi="Microsoft YaHei Light"/>
        </w:rPr>
        <w:t xml:space="preserve">, </w:t>
      </w:r>
      <w:proofErr w:type="spellStart"/>
      <w:r w:rsidRPr="00BD4409">
        <w:rPr>
          <w:rFonts w:ascii="Microsoft YaHei Light" w:eastAsia="Microsoft YaHei Light" w:hAnsi="Microsoft YaHei Light"/>
        </w:rPr>
        <w:t>method</w:t>
      </w:r>
      <w:proofErr w:type="spellEnd"/>
      <w:r w:rsidRPr="00BD4409">
        <w:rPr>
          <w:rFonts w:ascii="Microsoft YaHei Light" w:eastAsia="Microsoft YaHei Light" w:hAnsi="Microsoft YaHei Light"/>
        </w:rPr>
        <w:t xml:space="preserve"> = "</w:t>
      </w:r>
      <w:proofErr w:type="spellStart"/>
      <w:r w:rsidRPr="00BD4409">
        <w:rPr>
          <w:rFonts w:ascii="Microsoft YaHei Light" w:eastAsia="Microsoft YaHei Light" w:hAnsi="Microsoft YaHei Light"/>
        </w:rPr>
        <w:t>kpss</w:t>
      </w:r>
      <w:proofErr w:type="spellEnd"/>
      <w:r w:rsidRPr="00BD4409">
        <w:rPr>
          <w:rFonts w:ascii="Microsoft YaHei Light" w:eastAsia="Microsoft YaHei Light" w:hAnsi="Microsoft YaHei Light"/>
        </w:rPr>
        <w:t>")</w:t>
      </w:r>
    </w:p>
    <w:p w14:paraId="6B4058C8" w14:textId="77777777" w:rsidR="00BD262A" w:rsidRPr="00BD4409" w:rsidRDefault="00BD262A" w:rsidP="00BD262A">
      <w:pPr>
        <w:rPr>
          <w:rFonts w:ascii="Microsoft YaHei Light" w:eastAsia="Microsoft YaHei Light" w:hAnsi="Microsoft YaHei Light"/>
        </w:rPr>
      </w:pPr>
    </w:p>
    <w:p w14:paraId="1E9AE8FE" w14:textId="77777777" w:rsidR="00BD262A" w:rsidRPr="00BD4409" w:rsidRDefault="00BD262A" w:rsidP="00BD262A">
      <w:pPr>
        <w:rPr>
          <w:rFonts w:ascii="Microsoft YaHei Light" w:eastAsia="Microsoft YaHei Light" w:hAnsi="Microsoft YaHei Light"/>
        </w:rPr>
      </w:pPr>
      <w:proofErr w:type="spellStart"/>
      <w:r w:rsidRPr="00BD4409">
        <w:rPr>
          <w:rFonts w:ascii="Microsoft YaHei Light" w:eastAsia="Microsoft YaHei Light" w:hAnsi="Microsoft YaHei Light"/>
        </w:rPr>
        <w:t>stationary.test</w:t>
      </w:r>
      <w:proofErr w:type="spellEnd"/>
      <w:r w:rsidRPr="00BD4409">
        <w:rPr>
          <w:rFonts w:ascii="Microsoft YaHei Light" w:eastAsia="Microsoft YaHei Light" w:hAnsi="Microsoft YaHei Light"/>
        </w:rPr>
        <w:t>(</w:t>
      </w:r>
      <w:proofErr w:type="spellStart"/>
      <w:r w:rsidRPr="00BD4409">
        <w:rPr>
          <w:rFonts w:ascii="Microsoft YaHei Light" w:eastAsia="Microsoft YaHei Light" w:hAnsi="Microsoft YaHei Light"/>
        </w:rPr>
        <w:t>databaseFinale$offrecommerciale</w:t>
      </w:r>
      <w:proofErr w:type="spellEnd"/>
      <w:r w:rsidRPr="00BD4409">
        <w:rPr>
          <w:rFonts w:ascii="Microsoft YaHei Light" w:eastAsia="Microsoft YaHei Light" w:hAnsi="Microsoft YaHei Light"/>
        </w:rPr>
        <w:t xml:space="preserve">) </w:t>
      </w:r>
    </w:p>
    <w:p w14:paraId="37E92753" w14:textId="77777777" w:rsidR="00BD262A" w:rsidRPr="00BD4409" w:rsidRDefault="00BD262A" w:rsidP="00BD262A">
      <w:pPr>
        <w:rPr>
          <w:rFonts w:ascii="Microsoft YaHei Light" w:eastAsia="Microsoft YaHei Light" w:hAnsi="Microsoft YaHei Light"/>
        </w:rPr>
      </w:pPr>
      <w:proofErr w:type="spellStart"/>
      <w:r w:rsidRPr="00BD4409">
        <w:rPr>
          <w:rFonts w:ascii="Microsoft YaHei Light" w:eastAsia="Microsoft YaHei Light" w:hAnsi="Microsoft YaHei Light"/>
        </w:rPr>
        <w:t>stationary.test</w:t>
      </w:r>
      <w:proofErr w:type="spellEnd"/>
      <w:r w:rsidRPr="00BD4409">
        <w:rPr>
          <w:rFonts w:ascii="Microsoft YaHei Light" w:eastAsia="Microsoft YaHei Light" w:hAnsi="Microsoft YaHei Light"/>
        </w:rPr>
        <w:t>(</w:t>
      </w:r>
      <w:proofErr w:type="spellStart"/>
      <w:r w:rsidRPr="00BD4409">
        <w:rPr>
          <w:rFonts w:ascii="Microsoft YaHei Light" w:eastAsia="Microsoft YaHei Light" w:hAnsi="Microsoft YaHei Light"/>
        </w:rPr>
        <w:t>databaseFinale$offrecommerciale</w:t>
      </w:r>
      <w:proofErr w:type="spellEnd"/>
      <w:r w:rsidRPr="00BD4409">
        <w:rPr>
          <w:rFonts w:ascii="Microsoft YaHei Light" w:eastAsia="Microsoft YaHei Light" w:hAnsi="Microsoft YaHei Light"/>
        </w:rPr>
        <w:t xml:space="preserve">, </w:t>
      </w:r>
      <w:proofErr w:type="spellStart"/>
      <w:r w:rsidRPr="00BD4409">
        <w:rPr>
          <w:rFonts w:ascii="Microsoft YaHei Light" w:eastAsia="Microsoft YaHei Light" w:hAnsi="Microsoft YaHei Light"/>
        </w:rPr>
        <w:t>method</w:t>
      </w:r>
      <w:proofErr w:type="spellEnd"/>
      <w:r w:rsidRPr="00BD4409">
        <w:rPr>
          <w:rFonts w:ascii="Microsoft YaHei Light" w:eastAsia="Microsoft YaHei Light" w:hAnsi="Microsoft YaHei Light"/>
        </w:rPr>
        <w:t xml:space="preserve"> = "pp")</w:t>
      </w:r>
    </w:p>
    <w:p w14:paraId="069666D5" w14:textId="77777777" w:rsidR="00BD262A" w:rsidRPr="00BD4409" w:rsidRDefault="00BD262A" w:rsidP="00BD262A">
      <w:pPr>
        <w:rPr>
          <w:rFonts w:ascii="Microsoft YaHei Light" w:eastAsia="Microsoft YaHei Light" w:hAnsi="Microsoft YaHei Light"/>
        </w:rPr>
      </w:pPr>
      <w:proofErr w:type="spellStart"/>
      <w:r w:rsidRPr="00BD4409">
        <w:rPr>
          <w:rFonts w:ascii="Microsoft YaHei Light" w:eastAsia="Microsoft YaHei Light" w:hAnsi="Microsoft YaHei Light"/>
        </w:rPr>
        <w:t>stationary.test</w:t>
      </w:r>
      <w:proofErr w:type="spellEnd"/>
      <w:r w:rsidRPr="00BD4409">
        <w:rPr>
          <w:rFonts w:ascii="Microsoft YaHei Light" w:eastAsia="Microsoft YaHei Light" w:hAnsi="Microsoft YaHei Light"/>
        </w:rPr>
        <w:t>(</w:t>
      </w:r>
      <w:proofErr w:type="spellStart"/>
      <w:r w:rsidRPr="00BD4409">
        <w:rPr>
          <w:rFonts w:ascii="Microsoft YaHei Light" w:eastAsia="Microsoft YaHei Light" w:hAnsi="Microsoft YaHei Light"/>
        </w:rPr>
        <w:t>databaseFinale$offrecommerciale</w:t>
      </w:r>
      <w:proofErr w:type="spellEnd"/>
      <w:r w:rsidRPr="00BD4409">
        <w:rPr>
          <w:rFonts w:ascii="Microsoft YaHei Light" w:eastAsia="Microsoft YaHei Light" w:hAnsi="Microsoft YaHei Light"/>
        </w:rPr>
        <w:t xml:space="preserve">, </w:t>
      </w:r>
      <w:proofErr w:type="spellStart"/>
      <w:r w:rsidRPr="00BD4409">
        <w:rPr>
          <w:rFonts w:ascii="Microsoft YaHei Light" w:eastAsia="Microsoft YaHei Light" w:hAnsi="Microsoft YaHei Light"/>
        </w:rPr>
        <w:t>method</w:t>
      </w:r>
      <w:proofErr w:type="spellEnd"/>
      <w:r w:rsidRPr="00BD4409">
        <w:rPr>
          <w:rFonts w:ascii="Microsoft YaHei Light" w:eastAsia="Microsoft YaHei Light" w:hAnsi="Microsoft YaHei Light"/>
        </w:rPr>
        <w:t xml:space="preserve"> = "</w:t>
      </w:r>
      <w:proofErr w:type="spellStart"/>
      <w:r w:rsidRPr="00BD4409">
        <w:rPr>
          <w:rFonts w:ascii="Microsoft YaHei Light" w:eastAsia="Microsoft YaHei Light" w:hAnsi="Microsoft YaHei Light"/>
        </w:rPr>
        <w:t>kpss</w:t>
      </w:r>
      <w:proofErr w:type="spellEnd"/>
      <w:r w:rsidRPr="00BD4409">
        <w:rPr>
          <w:rFonts w:ascii="Microsoft YaHei Light" w:eastAsia="Microsoft YaHei Light" w:hAnsi="Microsoft YaHei Light"/>
        </w:rPr>
        <w:t>")</w:t>
      </w:r>
    </w:p>
    <w:p w14:paraId="52F3BE63" w14:textId="77777777" w:rsidR="00BD262A" w:rsidRPr="00971686" w:rsidRDefault="00BD262A" w:rsidP="00BD262A">
      <w:pPr>
        <w:rPr>
          <w:b/>
          <w:bCs/>
          <w:i/>
        </w:rPr>
      </w:pPr>
      <w:r w:rsidRPr="00971686">
        <w:rPr>
          <w:b/>
          <w:bCs/>
          <w:i/>
        </w:rPr>
        <w:t xml:space="preserve">#En </w:t>
      </w:r>
      <w:proofErr w:type="spellStart"/>
      <w:r w:rsidRPr="00971686">
        <w:rPr>
          <w:b/>
          <w:bCs/>
          <w:i/>
        </w:rPr>
        <w:t>difference</w:t>
      </w:r>
      <w:proofErr w:type="spellEnd"/>
      <w:r w:rsidRPr="00971686">
        <w:rPr>
          <w:b/>
          <w:bCs/>
          <w:i/>
        </w:rPr>
        <w:t xml:space="preserve"> </w:t>
      </w:r>
      <w:proofErr w:type="spellStart"/>
      <w:r w:rsidRPr="00971686">
        <w:rPr>
          <w:b/>
          <w:bCs/>
          <w:i/>
        </w:rPr>
        <w:t>premiere</w:t>
      </w:r>
      <w:proofErr w:type="spellEnd"/>
    </w:p>
    <w:p w14:paraId="6BDBC0F7" w14:textId="77777777" w:rsidR="00BD262A" w:rsidRPr="00BD4409" w:rsidRDefault="00BD262A" w:rsidP="00BD262A">
      <w:pPr>
        <w:rPr>
          <w:rFonts w:ascii="Microsoft YaHei Light" w:eastAsia="Microsoft YaHei Light" w:hAnsi="Microsoft YaHei Light"/>
        </w:rPr>
      </w:pPr>
      <w:proofErr w:type="spellStart"/>
      <w:r w:rsidRPr="00BD4409">
        <w:rPr>
          <w:rFonts w:ascii="Microsoft YaHei Light" w:eastAsia="Microsoft YaHei Light" w:hAnsi="Microsoft YaHei Light"/>
        </w:rPr>
        <w:t>stationary.test</w:t>
      </w:r>
      <w:proofErr w:type="spellEnd"/>
      <w:r w:rsidRPr="00BD4409">
        <w:rPr>
          <w:rFonts w:ascii="Microsoft YaHei Light" w:eastAsia="Microsoft YaHei Light" w:hAnsi="Microsoft YaHei Light"/>
        </w:rPr>
        <w:t>(</w:t>
      </w:r>
      <w:proofErr w:type="spellStart"/>
      <w:r w:rsidRPr="00BD4409">
        <w:rPr>
          <w:rFonts w:ascii="Microsoft YaHei Light" w:eastAsia="Microsoft YaHei Light" w:hAnsi="Microsoft YaHei Light"/>
        </w:rPr>
        <w:t>databaseFinale$deltaOffrecommerciale</w:t>
      </w:r>
      <w:proofErr w:type="spellEnd"/>
      <w:r w:rsidRPr="00BD4409">
        <w:rPr>
          <w:rFonts w:ascii="Microsoft YaHei Light" w:eastAsia="Microsoft YaHei Light" w:hAnsi="Microsoft YaHei Light"/>
        </w:rPr>
        <w:t xml:space="preserve">) </w:t>
      </w:r>
    </w:p>
    <w:p w14:paraId="6886BE3C" w14:textId="77777777" w:rsidR="00BD262A" w:rsidRPr="00BD4409" w:rsidRDefault="00BD262A" w:rsidP="00BD262A">
      <w:pPr>
        <w:rPr>
          <w:rFonts w:ascii="Microsoft YaHei Light" w:eastAsia="Microsoft YaHei Light" w:hAnsi="Microsoft YaHei Light"/>
        </w:rPr>
      </w:pPr>
      <w:proofErr w:type="spellStart"/>
      <w:r w:rsidRPr="00BD4409">
        <w:rPr>
          <w:rFonts w:ascii="Microsoft YaHei Light" w:eastAsia="Microsoft YaHei Light" w:hAnsi="Microsoft YaHei Light"/>
        </w:rPr>
        <w:lastRenderedPageBreak/>
        <w:t>stationary.test</w:t>
      </w:r>
      <w:proofErr w:type="spellEnd"/>
      <w:r w:rsidRPr="00BD4409">
        <w:rPr>
          <w:rFonts w:ascii="Microsoft YaHei Light" w:eastAsia="Microsoft YaHei Light" w:hAnsi="Microsoft YaHei Light"/>
        </w:rPr>
        <w:t>(</w:t>
      </w:r>
      <w:proofErr w:type="spellStart"/>
      <w:r w:rsidRPr="00BD4409">
        <w:rPr>
          <w:rFonts w:ascii="Microsoft YaHei Light" w:eastAsia="Microsoft YaHei Light" w:hAnsi="Microsoft YaHei Light"/>
        </w:rPr>
        <w:t>databaseFinale$deltaOffrecommerciale</w:t>
      </w:r>
      <w:proofErr w:type="spellEnd"/>
      <w:r w:rsidRPr="00BD4409">
        <w:rPr>
          <w:rFonts w:ascii="Microsoft YaHei Light" w:eastAsia="Microsoft YaHei Light" w:hAnsi="Microsoft YaHei Light"/>
        </w:rPr>
        <w:t xml:space="preserve">, </w:t>
      </w:r>
      <w:proofErr w:type="spellStart"/>
      <w:r w:rsidRPr="00BD4409">
        <w:rPr>
          <w:rFonts w:ascii="Microsoft YaHei Light" w:eastAsia="Microsoft YaHei Light" w:hAnsi="Microsoft YaHei Light"/>
        </w:rPr>
        <w:t>method</w:t>
      </w:r>
      <w:proofErr w:type="spellEnd"/>
      <w:r w:rsidRPr="00BD4409">
        <w:rPr>
          <w:rFonts w:ascii="Microsoft YaHei Light" w:eastAsia="Microsoft YaHei Light" w:hAnsi="Microsoft YaHei Light"/>
        </w:rPr>
        <w:t xml:space="preserve"> = "pp")</w:t>
      </w:r>
    </w:p>
    <w:p w14:paraId="143D0367" w14:textId="77777777" w:rsidR="00BD262A" w:rsidRPr="00BD4409" w:rsidRDefault="00BD262A" w:rsidP="00BD262A">
      <w:pPr>
        <w:rPr>
          <w:rFonts w:ascii="Microsoft YaHei Light" w:eastAsia="Microsoft YaHei Light" w:hAnsi="Microsoft YaHei Light"/>
        </w:rPr>
      </w:pPr>
      <w:proofErr w:type="spellStart"/>
      <w:r w:rsidRPr="00BD4409">
        <w:rPr>
          <w:rFonts w:ascii="Microsoft YaHei Light" w:eastAsia="Microsoft YaHei Light" w:hAnsi="Microsoft YaHei Light"/>
        </w:rPr>
        <w:t>stationary.test</w:t>
      </w:r>
      <w:proofErr w:type="spellEnd"/>
      <w:r w:rsidRPr="00BD4409">
        <w:rPr>
          <w:rFonts w:ascii="Microsoft YaHei Light" w:eastAsia="Microsoft YaHei Light" w:hAnsi="Microsoft YaHei Light"/>
        </w:rPr>
        <w:t>(</w:t>
      </w:r>
      <w:proofErr w:type="spellStart"/>
      <w:r w:rsidRPr="00BD4409">
        <w:rPr>
          <w:rFonts w:ascii="Microsoft YaHei Light" w:eastAsia="Microsoft YaHei Light" w:hAnsi="Microsoft YaHei Light"/>
        </w:rPr>
        <w:t>databaseFinale$deltaOffrecommerciale</w:t>
      </w:r>
      <w:proofErr w:type="spellEnd"/>
      <w:r w:rsidRPr="00BD4409">
        <w:rPr>
          <w:rFonts w:ascii="Microsoft YaHei Light" w:eastAsia="Microsoft YaHei Light" w:hAnsi="Microsoft YaHei Light"/>
        </w:rPr>
        <w:t xml:space="preserve">, </w:t>
      </w:r>
      <w:proofErr w:type="spellStart"/>
      <w:r w:rsidRPr="00BD4409">
        <w:rPr>
          <w:rFonts w:ascii="Microsoft YaHei Light" w:eastAsia="Microsoft YaHei Light" w:hAnsi="Microsoft YaHei Light"/>
        </w:rPr>
        <w:t>method</w:t>
      </w:r>
      <w:proofErr w:type="spellEnd"/>
      <w:r w:rsidRPr="00BD4409">
        <w:rPr>
          <w:rFonts w:ascii="Microsoft YaHei Light" w:eastAsia="Microsoft YaHei Light" w:hAnsi="Microsoft YaHei Light"/>
        </w:rPr>
        <w:t xml:space="preserve"> = "</w:t>
      </w:r>
      <w:proofErr w:type="spellStart"/>
      <w:r w:rsidRPr="00BD4409">
        <w:rPr>
          <w:rFonts w:ascii="Microsoft YaHei Light" w:eastAsia="Microsoft YaHei Light" w:hAnsi="Microsoft YaHei Light"/>
        </w:rPr>
        <w:t>kpss</w:t>
      </w:r>
      <w:proofErr w:type="spellEnd"/>
      <w:r w:rsidRPr="00BD4409">
        <w:rPr>
          <w:rFonts w:ascii="Microsoft YaHei Light" w:eastAsia="Microsoft YaHei Light" w:hAnsi="Microsoft YaHei Light"/>
        </w:rPr>
        <w:t>")</w:t>
      </w:r>
    </w:p>
    <w:p w14:paraId="03B846B6" w14:textId="77777777" w:rsidR="00BD262A" w:rsidRPr="00971686" w:rsidRDefault="00BD262A" w:rsidP="00BD262A">
      <w:pPr>
        <w:rPr>
          <w:b/>
          <w:bCs/>
        </w:rPr>
      </w:pPr>
    </w:p>
    <w:p w14:paraId="4F7D61BF" w14:textId="77777777" w:rsidR="00BD262A" w:rsidRPr="00971686" w:rsidRDefault="00BD262A" w:rsidP="00BD262A">
      <w:pPr>
        <w:rPr>
          <w:b/>
          <w:bCs/>
          <w:i/>
        </w:rPr>
      </w:pPr>
      <w:r w:rsidRPr="00971686">
        <w:rPr>
          <w:b/>
          <w:bCs/>
          <w:i/>
        </w:rPr>
        <w:t>#Variables qui figureront dans la modélisation</w:t>
      </w:r>
    </w:p>
    <w:p w14:paraId="181BCDFB" w14:textId="77777777" w:rsidR="00BD262A" w:rsidRPr="00077A16" w:rsidRDefault="00BD262A" w:rsidP="00BD262A">
      <w:pPr>
        <w:rPr>
          <w:rFonts w:ascii="Microsoft YaHei Light" w:eastAsia="Microsoft YaHei Light" w:hAnsi="Microsoft YaHei Light"/>
          <w:lang w:val="it-IT"/>
        </w:rPr>
      </w:pPr>
      <w:r w:rsidRPr="00077A16">
        <w:rPr>
          <w:rFonts w:ascii="Microsoft YaHei Light" w:eastAsia="Microsoft YaHei Light" w:hAnsi="Microsoft YaHei Light"/>
          <w:lang w:val="it-IT"/>
        </w:rPr>
        <w:t xml:space="preserve">data2&lt;- </w:t>
      </w:r>
      <w:proofErr w:type="spellStart"/>
      <w:r w:rsidRPr="00077A16">
        <w:rPr>
          <w:rFonts w:ascii="Microsoft YaHei Light" w:eastAsia="Microsoft YaHei Light" w:hAnsi="Microsoft YaHei Light"/>
          <w:lang w:val="it-IT"/>
        </w:rPr>
        <w:t>data.frame</w:t>
      </w:r>
      <w:proofErr w:type="spellEnd"/>
      <w:r w:rsidRPr="00077A16">
        <w:rPr>
          <w:rFonts w:ascii="Microsoft YaHei Light" w:eastAsia="Microsoft YaHei Light" w:hAnsi="Microsoft YaHei Light"/>
          <w:lang w:val="it-IT"/>
        </w:rPr>
        <w:t>(x=</w:t>
      </w:r>
      <w:proofErr w:type="spellStart"/>
      <w:r w:rsidRPr="00077A16">
        <w:rPr>
          <w:rFonts w:ascii="Microsoft YaHei Light" w:eastAsia="Microsoft YaHei Light" w:hAnsi="Microsoft YaHei Light"/>
          <w:lang w:val="it-IT"/>
        </w:rPr>
        <w:t>databaseFinale$Rentabilite</w:t>
      </w:r>
      <w:proofErr w:type="spellEnd"/>
      <w:r w:rsidRPr="00077A16">
        <w:rPr>
          <w:rFonts w:ascii="Microsoft YaHei Light" w:eastAsia="Microsoft YaHei Light" w:hAnsi="Microsoft YaHei Light"/>
          <w:lang w:val="it-IT"/>
        </w:rPr>
        <w:t>, y=</w:t>
      </w:r>
      <w:proofErr w:type="spellStart"/>
      <w:r w:rsidRPr="00077A16">
        <w:rPr>
          <w:rFonts w:ascii="Microsoft YaHei Light" w:eastAsia="Microsoft YaHei Light" w:hAnsi="Microsoft YaHei Light"/>
          <w:lang w:val="it-IT"/>
        </w:rPr>
        <w:t>databaseFinale$deltaInvestissement</w:t>
      </w:r>
      <w:proofErr w:type="spellEnd"/>
      <w:r w:rsidRPr="00077A16">
        <w:rPr>
          <w:rFonts w:ascii="Microsoft YaHei Light" w:eastAsia="Microsoft YaHei Light" w:hAnsi="Microsoft YaHei Light"/>
          <w:lang w:val="it-IT"/>
        </w:rPr>
        <w:t>, z=</w:t>
      </w:r>
      <w:proofErr w:type="spellStart"/>
      <w:r w:rsidRPr="00077A16">
        <w:rPr>
          <w:rFonts w:ascii="Microsoft YaHei Light" w:eastAsia="Microsoft YaHei Light" w:hAnsi="Microsoft YaHei Light"/>
          <w:lang w:val="it-IT"/>
        </w:rPr>
        <w:t>databaseFinale$deltaConcoursPublics</w:t>
      </w:r>
      <w:proofErr w:type="spellEnd"/>
      <w:r w:rsidRPr="00077A16">
        <w:rPr>
          <w:rFonts w:ascii="Microsoft YaHei Light" w:eastAsia="Microsoft YaHei Light" w:hAnsi="Microsoft YaHei Light"/>
          <w:lang w:val="it-IT"/>
        </w:rPr>
        <w:t>, w=</w:t>
      </w:r>
      <w:proofErr w:type="spellStart"/>
      <w:r w:rsidRPr="00077A16">
        <w:rPr>
          <w:rFonts w:ascii="Microsoft YaHei Light" w:eastAsia="Microsoft YaHei Light" w:hAnsi="Microsoft YaHei Light"/>
          <w:lang w:val="it-IT"/>
        </w:rPr>
        <w:t>databaseFinale$deltaOffrecommerciale</w:t>
      </w:r>
      <w:proofErr w:type="spellEnd"/>
      <w:r w:rsidRPr="00077A16">
        <w:rPr>
          <w:rFonts w:ascii="Microsoft YaHei Light" w:eastAsia="Microsoft YaHei Light" w:hAnsi="Microsoft YaHei Light"/>
          <w:lang w:val="it-IT"/>
        </w:rPr>
        <w:t xml:space="preserve">) </w:t>
      </w:r>
    </w:p>
    <w:p w14:paraId="7DB9D7BE" w14:textId="77777777" w:rsidR="00BD262A" w:rsidRPr="00971686" w:rsidRDefault="00BD262A" w:rsidP="00BD262A">
      <w:pPr>
        <w:rPr>
          <w:b/>
          <w:bCs/>
          <w:lang w:val="it-IT"/>
        </w:rPr>
      </w:pPr>
    </w:p>
    <w:p w14:paraId="5D9691C0" w14:textId="77777777" w:rsidR="00BD262A" w:rsidRPr="00971686" w:rsidRDefault="00BD262A" w:rsidP="00BD262A">
      <w:pPr>
        <w:rPr>
          <w:b/>
          <w:bCs/>
          <w:i/>
        </w:rPr>
      </w:pPr>
      <w:r w:rsidRPr="00971686">
        <w:rPr>
          <w:b/>
          <w:bCs/>
          <w:i/>
        </w:rPr>
        <w:t xml:space="preserve">#détermination du retard optimal pour les variables de la modélisation </w:t>
      </w:r>
    </w:p>
    <w:p w14:paraId="74626B28" w14:textId="77777777" w:rsidR="00BD262A" w:rsidRPr="00BD4409" w:rsidRDefault="00BD262A" w:rsidP="00BD262A">
      <w:pPr>
        <w:rPr>
          <w:rFonts w:ascii="Microsoft YaHei Light" w:eastAsia="Microsoft YaHei Light" w:hAnsi="Microsoft YaHei Light"/>
        </w:rPr>
      </w:pPr>
      <w:proofErr w:type="spellStart"/>
      <w:r w:rsidRPr="00BD4409">
        <w:rPr>
          <w:rFonts w:ascii="Microsoft YaHei Light" w:eastAsia="Microsoft YaHei Light" w:hAnsi="Microsoft YaHei Light"/>
        </w:rPr>
        <w:t>VARselect</w:t>
      </w:r>
      <w:proofErr w:type="spellEnd"/>
      <w:r w:rsidRPr="00BD4409">
        <w:rPr>
          <w:rFonts w:ascii="Microsoft YaHei Light" w:eastAsia="Microsoft YaHei Light" w:hAnsi="Microsoft YaHei Light"/>
        </w:rPr>
        <w:t>(</w:t>
      </w:r>
      <w:proofErr w:type="spellStart"/>
      <w:r w:rsidRPr="00BD4409">
        <w:rPr>
          <w:rFonts w:ascii="Microsoft YaHei Light" w:eastAsia="Microsoft YaHei Light" w:hAnsi="Microsoft YaHei Light"/>
        </w:rPr>
        <w:t>databaseFinale$Rentabilite</w:t>
      </w:r>
      <w:proofErr w:type="spellEnd"/>
      <w:r w:rsidRPr="00BD4409">
        <w:rPr>
          <w:rFonts w:ascii="Microsoft YaHei Light" w:eastAsia="Microsoft YaHei Light" w:hAnsi="Microsoft YaHei Light"/>
        </w:rPr>
        <w:t>)</w:t>
      </w:r>
    </w:p>
    <w:p w14:paraId="7EB5D9C2" w14:textId="77777777" w:rsidR="00BD262A" w:rsidRPr="00BD4409" w:rsidRDefault="00BD262A" w:rsidP="00BD262A">
      <w:pPr>
        <w:rPr>
          <w:rFonts w:ascii="Microsoft YaHei Light" w:eastAsia="Microsoft YaHei Light" w:hAnsi="Microsoft YaHei Light"/>
        </w:rPr>
      </w:pPr>
      <w:proofErr w:type="spellStart"/>
      <w:r w:rsidRPr="00BD4409">
        <w:rPr>
          <w:rFonts w:ascii="Microsoft YaHei Light" w:eastAsia="Microsoft YaHei Light" w:hAnsi="Microsoft YaHei Light"/>
        </w:rPr>
        <w:t>VARselect</w:t>
      </w:r>
      <w:proofErr w:type="spellEnd"/>
      <w:r w:rsidRPr="00BD4409">
        <w:rPr>
          <w:rFonts w:ascii="Microsoft YaHei Light" w:eastAsia="Microsoft YaHei Light" w:hAnsi="Microsoft YaHei Light"/>
        </w:rPr>
        <w:t>(</w:t>
      </w:r>
      <w:proofErr w:type="spellStart"/>
      <w:r w:rsidRPr="00BD4409">
        <w:rPr>
          <w:rFonts w:ascii="Microsoft YaHei Light" w:eastAsia="Microsoft YaHei Light" w:hAnsi="Microsoft YaHei Light"/>
        </w:rPr>
        <w:t>databaseFinale$deltaInvestissement</w:t>
      </w:r>
      <w:proofErr w:type="spellEnd"/>
      <w:r w:rsidRPr="00BD4409">
        <w:rPr>
          <w:rFonts w:ascii="Microsoft YaHei Light" w:eastAsia="Microsoft YaHei Light" w:hAnsi="Microsoft YaHei Light"/>
        </w:rPr>
        <w:t>)</w:t>
      </w:r>
    </w:p>
    <w:p w14:paraId="216FEDFA" w14:textId="77777777" w:rsidR="00BD262A" w:rsidRPr="00BD4409" w:rsidRDefault="00BD262A" w:rsidP="00BD262A">
      <w:pPr>
        <w:rPr>
          <w:rFonts w:ascii="Microsoft YaHei Light" w:eastAsia="Microsoft YaHei Light" w:hAnsi="Microsoft YaHei Light"/>
        </w:rPr>
      </w:pPr>
      <w:proofErr w:type="spellStart"/>
      <w:r w:rsidRPr="00BD4409">
        <w:rPr>
          <w:rFonts w:ascii="Microsoft YaHei Light" w:eastAsia="Microsoft YaHei Light" w:hAnsi="Microsoft YaHei Light"/>
        </w:rPr>
        <w:t>VARselect</w:t>
      </w:r>
      <w:proofErr w:type="spellEnd"/>
      <w:r w:rsidRPr="00BD4409">
        <w:rPr>
          <w:rFonts w:ascii="Microsoft YaHei Light" w:eastAsia="Microsoft YaHei Light" w:hAnsi="Microsoft YaHei Light"/>
        </w:rPr>
        <w:t>(</w:t>
      </w:r>
      <w:proofErr w:type="spellStart"/>
      <w:r w:rsidRPr="00BD4409">
        <w:rPr>
          <w:rFonts w:ascii="Microsoft YaHei Light" w:eastAsia="Microsoft YaHei Light" w:hAnsi="Microsoft YaHei Light"/>
        </w:rPr>
        <w:t>databaseFinale$deltaConcoursPublics</w:t>
      </w:r>
      <w:proofErr w:type="spellEnd"/>
      <w:r w:rsidRPr="00BD4409">
        <w:rPr>
          <w:rFonts w:ascii="Microsoft YaHei Light" w:eastAsia="Microsoft YaHei Light" w:hAnsi="Microsoft YaHei Light"/>
        </w:rPr>
        <w:t>)</w:t>
      </w:r>
    </w:p>
    <w:p w14:paraId="5E094518" w14:textId="77777777" w:rsidR="00BD262A" w:rsidRPr="00BD4409" w:rsidRDefault="00BD262A" w:rsidP="00BD262A">
      <w:pPr>
        <w:rPr>
          <w:rFonts w:ascii="Microsoft YaHei Light" w:eastAsia="Microsoft YaHei Light" w:hAnsi="Microsoft YaHei Light"/>
        </w:rPr>
      </w:pPr>
      <w:proofErr w:type="spellStart"/>
      <w:r w:rsidRPr="00BD4409">
        <w:rPr>
          <w:rFonts w:ascii="Microsoft YaHei Light" w:eastAsia="Microsoft YaHei Light" w:hAnsi="Microsoft YaHei Light"/>
        </w:rPr>
        <w:t>VARselect</w:t>
      </w:r>
      <w:proofErr w:type="spellEnd"/>
      <w:r w:rsidRPr="00BD4409">
        <w:rPr>
          <w:rFonts w:ascii="Microsoft YaHei Light" w:eastAsia="Microsoft YaHei Light" w:hAnsi="Microsoft YaHei Light"/>
        </w:rPr>
        <w:t>(</w:t>
      </w:r>
      <w:proofErr w:type="spellStart"/>
      <w:r w:rsidRPr="00BD4409">
        <w:rPr>
          <w:rFonts w:ascii="Microsoft YaHei Light" w:eastAsia="Microsoft YaHei Light" w:hAnsi="Microsoft YaHei Light"/>
        </w:rPr>
        <w:t>databaseFinale$deltaOffrecommerciale</w:t>
      </w:r>
      <w:proofErr w:type="spellEnd"/>
      <w:r w:rsidRPr="00BD4409">
        <w:rPr>
          <w:rFonts w:ascii="Microsoft YaHei Light" w:eastAsia="Microsoft YaHei Light" w:hAnsi="Microsoft YaHei Light"/>
        </w:rPr>
        <w:t>)</w:t>
      </w:r>
    </w:p>
    <w:p w14:paraId="3FBA70F4" w14:textId="51A66E05" w:rsidR="00BD262A" w:rsidRPr="00971686" w:rsidRDefault="00BD262A" w:rsidP="00BD262A">
      <w:pPr>
        <w:rPr>
          <w:b/>
          <w:bCs/>
          <w:i/>
        </w:rPr>
      </w:pPr>
      <w:r w:rsidRPr="00971686">
        <w:rPr>
          <w:b/>
          <w:bCs/>
          <w:i/>
        </w:rPr>
        <w:t>#Estimation ARDL</w:t>
      </w:r>
    </w:p>
    <w:p w14:paraId="6E8C0499" w14:textId="77777777" w:rsidR="00BD262A" w:rsidRPr="0023670F" w:rsidRDefault="00BD262A" w:rsidP="00BD262A">
      <w:pPr>
        <w:rPr>
          <w:rFonts w:ascii="Microsoft YaHei Light" w:eastAsia="Microsoft YaHei Light" w:hAnsi="Microsoft YaHei Light"/>
        </w:rPr>
      </w:pPr>
      <w:proofErr w:type="spellStart"/>
      <w:r w:rsidRPr="0023670F">
        <w:rPr>
          <w:rFonts w:ascii="Microsoft YaHei Light" w:eastAsia="Microsoft YaHei Light" w:hAnsi="Microsoft YaHei Light"/>
        </w:rPr>
        <w:t>remove</w:t>
      </w:r>
      <w:proofErr w:type="spellEnd"/>
      <w:r w:rsidRPr="0023670F">
        <w:rPr>
          <w:rFonts w:ascii="Microsoft YaHei Light" w:eastAsia="Microsoft YaHei Light" w:hAnsi="Microsoft YaHei Light"/>
        </w:rPr>
        <w:t xml:space="preserve"> &lt;- </w:t>
      </w:r>
      <w:proofErr w:type="spellStart"/>
      <w:r w:rsidRPr="0023670F">
        <w:rPr>
          <w:rFonts w:ascii="Microsoft YaHei Light" w:eastAsia="Microsoft YaHei Light" w:hAnsi="Microsoft YaHei Light"/>
        </w:rPr>
        <w:t>list</w:t>
      </w:r>
      <w:proofErr w:type="spellEnd"/>
      <w:r w:rsidRPr="0023670F">
        <w:rPr>
          <w:rFonts w:ascii="Microsoft YaHei Light" w:eastAsia="Microsoft YaHei Light" w:hAnsi="Microsoft YaHei Light"/>
        </w:rPr>
        <w:t xml:space="preserve">(p = </w:t>
      </w:r>
      <w:proofErr w:type="spellStart"/>
      <w:r w:rsidRPr="0023670F">
        <w:rPr>
          <w:rFonts w:ascii="Microsoft YaHei Light" w:eastAsia="Microsoft YaHei Light" w:hAnsi="Microsoft YaHei Light"/>
        </w:rPr>
        <w:t>list</w:t>
      </w:r>
      <w:proofErr w:type="spellEnd"/>
      <w:r w:rsidRPr="0023670F">
        <w:rPr>
          <w:rFonts w:ascii="Microsoft YaHei Light" w:eastAsia="Microsoft YaHei Light" w:hAnsi="Microsoft YaHei Light"/>
        </w:rPr>
        <w:t>(y = c(3,4), z=c(3,4)))</w:t>
      </w:r>
    </w:p>
    <w:p w14:paraId="0C99581F" w14:textId="77777777" w:rsidR="00BD262A" w:rsidRPr="00BD4409" w:rsidRDefault="00BD262A" w:rsidP="00BD262A">
      <w:pPr>
        <w:rPr>
          <w:rFonts w:ascii="Microsoft YaHei Light" w:eastAsia="Microsoft YaHei Light" w:hAnsi="Microsoft YaHei Light"/>
          <w:lang w:val="en-US"/>
        </w:rPr>
      </w:pPr>
      <w:r w:rsidRPr="00BD4409">
        <w:rPr>
          <w:rFonts w:ascii="Microsoft YaHei Light" w:eastAsia="Microsoft YaHei Light" w:hAnsi="Microsoft YaHei Light"/>
          <w:lang w:val="en-US"/>
        </w:rPr>
        <w:t>models2=</w:t>
      </w:r>
      <w:proofErr w:type="spellStart"/>
      <w:r w:rsidRPr="00BD4409">
        <w:rPr>
          <w:rFonts w:ascii="Microsoft YaHei Light" w:eastAsia="Microsoft YaHei Light" w:hAnsi="Microsoft YaHei Light"/>
          <w:lang w:val="en-US"/>
        </w:rPr>
        <w:t>ardlDlm</w:t>
      </w:r>
      <w:proofErr w:type="spellEnd"/>
      <w:r w:rsidRPr="00BD4409">
        <w:rPr>
          <w:rFonts w:ascii="Microsoft YaHei Light" w:eastAsia="Microsoft YaHei Light" w:hAnsi="Microsoft YaHei Light"/>
          <w:lang w:val="en-US"/>
        </w:rPr>
        <w:t xml:space="preserve">(x ~ </w:t>
      </w:r>
      <w:proofErr w:type="spellStart"/>
      <w:r w:rsidRPr="00BD4409">
        <w:rPr>
          <w:rFonts w:ascii="Microsoft YaHei Light" w:eastAsia="Microsoft YaHei Light" w:hAnsi="Microsoft YaHei Light"/>
          <w:lang w:val="en-US"/>
        </w:rPr>
        <w:t>y+z</w:t>
      </w:r>
      <w:proofErr w:type="spellEnd"/>
      <w:r w:rsidRPr="00BD4409">
        <w:rPr>
          <w:rFonts w:ascii="Microsoft YaHei Light" w:eastAsia="Microsoft YaHei Light" w:hAnsi="Microsoft YaHei Light"/>
          <w:lang w:val="en-US"/>
        </w:rPr>
        <w:t xml:space="preserve"> +</w:t>
      </w:r>
      <w:proofErr w:type="spellStart"/>
      <w:r w:rsidRPr="00BD4409">
        <w:rPr>
          <w:rFonts w:ascii="Microsoft YaHei Light" w:eastAsia="Microsoft YaHei Light" w:hAnsi="Microsoft YaHei Light"/>
          <w:lang w:val="en-US"/>
        </w:rPr>
        <w:t>w,data</w:t>
      </w:r>
      <w:proofErr w:type="spellEnd"/>
      <w:r w:rsidRPr="00BD4409">
        <w:rPr>
          <w:rFonts w:ascii="Microsoft YaHei Light" w:eastAsia="Microsoft YaHei Light" w:hAnsi="Microsoft YaHei Light"/>
          <w:lang w:val="en-US"/>
        </w:rPr>
        <w:t xml:space="preserve"> = data2,p=4, q=3, remove = remove)</w:t>
      </w:r>
    </w:p>
    <w:p w14:paraId="71D65E86" w14:textId="77777777" w:rsidR="00BD262A" w:rsidRPr="00BD4409" w:rsidRDefault="00BD262A" w:rsidP="00BD262A">
      <w:pPr>
        <w:rPr>
          <w:rFonts w:ascii="Microsoft YaHei Light" w:eastAsia="Microsoft YaHei Light" w:hAnsi="Microsoft YaHei Light"/>
          <w:lang w:val="en-US"/>
        </w:rPr>
      </w:pPr>
      <w:r w:rsidRPr="00BD4409">
        <w:rPr>
          <w:rFonts w:ascii="Microsoft YaHei Light" w:eastAsia="Microsoft YaHei Light" w:hAnsi="Microsoft YaHei Light"/>
          <w:lang w:val="en-US"/>
        </w:rPr>
        <w:t>summary(models2)</w:t>
      </w:r>
    </w:p>
    <w:p w14:paraId="47F51C89" w14:textId="77777777" w:rsidR="00BD262A" w:rsidRPr="00BD4409" w:rsidRDefault="00BD262A" w:rsidP="00BD262A">
      <w:pPr>
        <w:rPr>
          <w:rFonts w:ascii="Microsoft YaHei Light" w:eastAsia="Microsoft YaHei Light" w:hAnsi="Microsoft YaHei Light"/>
          <w:lang w:val="en-US"/>
        </w:rPr>
      </w:pPr>
      <w:proofErr w:type="spellStart"/>
      <w:r w:rsidRPr="00BD4409">
        <w:rPr>
          <w:rFonts w:ascii="Microsoft YaHei Light" w:eastAsia="Microsoft YaHei Light" w:hAnsi="Microsoft YaHei Light"/>
          <w:lang w:val="en-US"/>
        </w:rPr>
        <w:t>ardlBoundOrders</w:t>
      </w:r>
      <w:proofErr w:type="spellEnd"/>
      <w:r w:rsidRPr="00BD4409">
        <w:rPr>
          <w:rFonts w:ascii="Microsoft YaHei Light" w:eastAsia="Microsoft YaHei Light" w:hAnsi="Microsoft YaHei Light"/>
          <w:lang w:val="en-US"/>
        </w:rPr>
        <w:t xml:space="preserve">(data = data2, x ~ </w:t>
      </w:r>
      <w:proofErr w:type="spellStart"/>
      <w:r w:rsidRPr="00BD4409">
        <w:rPr>
          <w:rFonts w:ascii="Microsoft YaHei Light" w:eastAsia="Microsoft YaHei Light" w:hAnsi="Microsoft YaHei Light"/>
          <w:lang w:val="en-US"/>
        </w:rPr>
        <w:t>y+z</w:t>
      </w:r>
      <w:proofErr w:type="spellEnd"/>
      <w:r w:rsidRPr="00BD4409">
        <w:rPr>
          <w:rFonts w:ascii="Microsoft YaHei Light" w:eastAsia="Microsoft YaHei Light" w:hAnsi="Microsoft YaHei Light"/>
          <w:lang w:val="en-US"/>
        </w:rPr>
        <w:t xml:space="preserve"> +w, </w:t>
      </w:r>
      <w:proofErr w:type="spellStart"/>
      <w:r w:rsidRPr="00BD4409">
        <w:rPr>
          <w:rFonts w:ascii="Microsoft YaHei Light" w:eastAsia="Microsoft YaHei Light" w:hAnsi="Microsoft YaHei Light"/>
          <w:lang w:val="en-US"/>
        </w:rPr>
        <w:t>max.p</w:t>
      </w:r>
      <w:proofErr w:type="spellEnd"/>
      <w:r w:rsidRPr="00BD4409">
        <w:rPr>
          <w:rFonts w:ascii="Microsoft YaHei Light" w:eastAsia="Microsoft YaHei Light" w:hAnsi="Microsoft YaHei Light"/>
          <w:lang w:val="en-US"/>
        </w:rPr>
        <w:t xml:space="preserve"> = 4, </w:t>
      </w:r>
      <w:proofErr w:type="spellStart"/>
      <w:r w:rsidRPr="00BD4409">
        <w:rPr>
          <w:rFonts w:ascii="Microsoft YaHei Light" w:eastAsia="Microsoft YaHei Light" w:hAnsi="Microsoft YaHei Light"/>
          <w:lang w:val="en-US"/>
        </w:rPr>
        <w:t>max.q</w:t>
      </w:r>
      <w:proofErr w:type="spellEnd"/>
      <w:r w:rsidRPr="00BD4409">
        <w:rPr>
          <w:rFonts w:ascii="Microsoft YaHei Light" w:eastAsia="Microsoft YaHei Light" w:hAnsi="Microsoft YaHei Light"/>
          <w:lang w:val="en-US"/>
        </w:rPr>
        <w:t xml:space="preserve"> = 3)</w:t>
      </w:r>
    </w:p>
    <w:p w14:paraId="2154964D" w14:textId="77777777" w:rsidR="00BD262A" w:rsidRPr="00BD4409" w:rsidRDefault="00BD262A" w:rsidP="00BD262A">
      <w:pPr>
        <w:rPr>
          <w:rFonts w:ascii="Microsoft YaHei Light" w:eastAsia="Microsoft YaHei Light" w:hAnsi="Microsoft YaHei Light"/>
          <w:lang w:val="en-US"/>
        </w:rPr>
      </w:pPr>
      <w:proofErr w:type="spellStart"/>
      <w:r w:rsidRPr="00BD4409">
        <w:rPr>
          <w:rFonts w:ascii="Microsoft YaHei Light" w:eastAsia="Microsoft YaHei Light" w:hAnsi="Microsoft YaHei Light"/>
          <w:lang w:val="en-US"/>
        </w:rPr>
        <w:t>ardlBound</w:t>
      </w:r>
      <w:proofErr w:type="spellEnd"/>
      <w:r w:rsidRPr="00BD4409">
        <w:rPr>
          <w:rFonts w:ascii="Microsoft YaHei Light" w:eastAsia="Microsoft YaHei Light" w:hAnsi="Microsoft YaHei Light"/>
          <w:lang w:val="en-US"/>
        </w:rPr>
        <w:t xml:space="preserve">(data = data2, x ~ </w:t>
      </w:r>
      <w:proofErr w:type="spellStart"/>
      <w:r w:rsidRPr="00BD4409">
        <w:rPr>
          <w:rFonts w:ascii="Microsoft YaHei Light" w:eastAsia="Microsoft YaHei Light" w:hAnsi="Microsoft YaHei Light"/>
          <w:lang w:val="en-US"/>
        </w:rPr>
        <w:t>y+z+w</w:t>
      </w:r>
      <w:proofErr w:type="spellEnd"/>
      <w:r w:rsidRPr="00BD4409">
        <w:rPr>
          <w:rFonts w:ascii="Microsoft YaHei Light" w:eastAsia="Microsoft YaHei Light" w:hAnsi="Microsoft YaHei Light"/>
          <w:lang w:val="en-US"/>
        </w:rPr>
        <w:t xml:space="preserve">, case = 1, </w:t>
      </w:r>
      <w:proofErr w:type="spellStart"/>
      <w:r w:rsidRPr="00BD4409">
        <w:rPr>
          <w:rFonts w:ascii="Microsoft YaHei Light" w:eastAsia="Microsoft YaHei Light" w:hAnsi="Microsoft YaHei Light"/>
          <w:lang w:val="en-US"/>
        </w:rPr>
        <w:t>max.p</w:t>
      </w:r>
      <w:proofErr w:type="spellEnd"/>
      <w:r w:rsidRPr="00BD4409">
        <w:rPr>
          <w:rFonts w:ascii="Microsoft YaHei Light" w:eastAsia="Microsoft YaHei Light" w:hAnsi="Microsoft YaHei Light"/>
          <w:lang w:val="en-US"/>
        </w:rPr>
        <w:t xml:space="preserve"> = 1, </w:t>
      </w:r>
      <w:proofErr w:type="spellStart"/>
      <w:r w:rsidRPr="00BD4409">
        <w:rPr>
          <w:rFonts w:ascii="Microsoft YaHei Light" w:eastAsia="Microsoft YaHei Light" w:hAnsi="Microsoft YaHei Light"/>
          <w:lang w:val="en-US"/>
        </w:rPr>
        <w:t>max.q</w:t>
      </w:r>
      <w:proofErr w:type="spellEnd"/>
      <w:r w:rsidRPr="00BD4409">
        <w:rPr>
          <w:rFonts w:ascii="Microsoft YaHei Light" w:eastAsia="Microsoft YaHei Light" w:hAnsi="Microsoft YaHei Light"/>
          <w:lang w:val="en-US"/>
        </w:rPr>
        <w:t xml:space="preserve"> = 2 )</w:t>
      </w:r>
    </w:p>
    <w:p w14:paraId="119E372C" w14:textId="77777777" w:rsidR="00BD262A" w:rsidRPr="00E9284E" w:rsidRDefault="00BD262A" w:rsidP="00BD262A">
      <w:pPr>
        <w:rPr>
          <w:lang w:val="en-US"/>
        </w:rPr>
      </w:pPr>
    </w:p>
    <w:p w14:paraId="7DB745DB" w14:textId="77777777" w:rsidR="00BD262A" w:rsidRPr="00971686" w:rsidRDefault="00BD262A" w:rsidP="00BD262A">
      <w:pPr>
        <w:rPr>
          <w:b/>
          <w:bCs/>
          <w:i/>
          <w:lang w:val="it-IT"/>
        </w:rPr>
      </w:pPr>
      <w:r w:rsidRPr="00971686">
        <w:rPr>
          <w:b/>
          <w:bCs/>
          <w:i/>
          <w:lang w:val="it-IT"/>
        </w:rPr>
        <w:t xml:space="preserve">#Test de </w:t>
      </w:r>
      <w:proofErr w:type="spellStart"/>
      <w:r w:rsidRPr="00971686">
        <w:rPr>
          <w:b/>
          <w:bCs/>
          <w:i/>
          <w:lang w:val="it-IT"/>
        </w:rPr>
        <w:t>causalité</w:t>
      </w:r>
      <w:proofErr w:type="spellEnd"/>
    </w:p>
    <w:p w14:paraId="7AFFEF92" w14:textId="77777777" w:rsidR="00BD262A" w:rsidRPr="00077A16" w:rsidRDefault="00BD262A" w:rsidP="00BD262A">
      <w:pPr>
        <w:rPr>
          <w:rFonts w:ascii="Microsoft YaHei Light" w:eastAsia="Microsoft YaHei Light" w:hAnsi="Microsoft YaHei Light"/>
          <w:lang w:val="it-IT"/>
        </w:rPr>
      </w:pPr>
      <w:r w:rsidRPr="00077A16">
        <w:rPr>
          <w:rFonts w:ascii="Microsoft YaHei Light" w:eastAsia="Microsoft YaHei Light" w:hAnsi="Microsoft YaHei Light"/>
          <w:lang w:val="it-IT"/>
        </w:rPr>
        <w:t>data&lt;-data.frame(databaseFinale$Rentabilite,databaseFinale$deltaInvestissement)</w:t>
      </w:r>
    </w:p>
    <w:p w14:paraId="4796AE8C" w14:textId="77777777" w:rsidR="00BD262A" w:rsidRPr="00077A16" w:rsidRDefault="00BD262A" w:rsidP="00BD262A">
      <w:pPr>
        <w:rPr>
          <w:rFonts w:ascii="Microsoft YaHei Light" w:eastAsia="Microsoft YaHei Light" w:hAnsi="Microsoft YaHei Light"/>
          <w:lang w:val="it-IT"/>
        </w:rPr>
      </w:pPr>
      <w:r w:rsidRPr="00077A16">
        <w:rPr>
          <w:rFonts w:ascii="Microsoft YaHei Light" w:eastAsia="Microsoft YaHei Light" w:hAnsi="Microsoft YaHei Light"/>
          <w:lang w:val="it-IT"/>
        </w:rPr>
        <w:t>R&lt;-</w:t>
      </w:r>
      <w:proofErr w:type="spellStart"/>
      <w:r w:rsidRPr="00077A16">
        <w:rPr>
          <w:rFonts w:ascii="Microsoft YaHei Light" w:eastAsia="Microsoft YaHei Light" w:hAnsi="Microsoft YaHei Light"/>
          <w:lang w:val="it-IT"/>
        </w:rPr>
        <w:t>as.numeric</w:t>
      </w:r>
      <w:proofErr w:type="spellEnd"/>
      <w:r w:rsidRPr="00077A16">
        <w:rPr>
          <w:rFonts w:ascii="Microsoft YaHei Light" w:eastAsia="Microsoft YaHei Light" w:hAnsi="Microsoft YaHei Light"/>
          <w:lang w:val="it-IT"/>
        </w:rPr>
        <w:t>(</w:t>
      </w:r>
      <w:proofErr w:type="spellStart"/>
      <w:r w:rsidRPr="00077A16">
        <w:rPr>
          <w:rFonts w:ascii="Microsoft YaHei Light" w:eastAsia="Microsoft YaHei Light" w:hAnsi="Microsoft YaHei Light"/>
          <w:lang w:val="it-IT"/>
        </w:rPr>
        <w:t>databaseFinale$Rentabilite</w:t>
      </w:r>
      <w:proofErr w:type="spellEnd"/>
      <w:r w:rsidRPr="00077A16">
        <w:rPr>
          <w:rFonts w:ascii="Microsoft YaHei Light" w:eastAsia="Microsoft YaHei Light" w:hAnsi="Microsoft YaHei Light"/>
          <w:lang w:val="it-IT"/>
        </w:rPr>
        <w:t xml:space="preserve">) </w:t>
      </w:r>
    </w:p>
    <w:p w14:paraId="7AB30A19" w14:textId="77777777" w:rsidR="00BD262A" w:rsidRPr="00077A16" w:rsidRDefault="00BD262A" w:rsidP="00BD262A">
      <w:pPr>
        <w:rPr>
          <w:rFonts w:ascii="Microsoft YaHei Light" w:eastAsia="Microsoft YaHei Light" w:hAnsi="Microsoft YaHei Light"/>
          <w:lang w:val="it-IT"/>
        </w:rPr>
      </w:pPr>
      <w:r w:rsidRPr="00077A16">
        <w:rPr>
          <w:rFonts w:ascii="Microsoft YaHei Light" w:eastAsia="Microsoft YaHei Light" w:hAnsi="Microsoft YaHei Light"/>
          <w:lang w:val="it-IT"/>
        </w:rPr>
        <w:t>I&lt;-</w:t>
      </w:r>
      <w:proofErr w:type="spellStart"/>
      <w:r w:rsidRPr="00077A16">
        <w:rPr>
          <w:rFonts w:ascii="Microsoft YaHei Light" w:eastAsia="Microsoft YaHei Light" w:hAnsi="Microsoft YaHei Light"/>
          <w:lang w:val="it-IT"/>
        </w:rPr>
        <w:t>as.numeric</w:t>
      </w:r>
      <w:proofErr w:type="spellEnd"/>
      <w:r w:rsidRPr="00077A16">
        <w:rPr>
          <w:rFonts w:ascii="Microsoft YaHei Light" w:eastAsia="Microsoft YaHei Light" w:hAnsi="Microsoft YaHei Light"/>
          <w:lang w:val="it-IT"/>
        </w:rPr>
        <w:t>(</w:t>
      </w:r>
      <w:proofErr w:type="spellStart"/>
      <w:r w:rsidRPr="00077A16">
        <w:rPr>
          <w:rFonts w:ascii="Microsoft YaHei Light" w:eastAsia="Microsoft YaHei Light" w:hAnsi="Microsoft YaHei Light"/>
          <w:lang w:val="it-IT"/>
        </w:rPr>
        <w:t>databaseFinale$deltaInvestissement</w:t>
      </w:r>
      <w:proofErr w:type="spellEnd"/>
      <w:r w:rsidRPr="00077A16">
        <w:rPr>
          <w:rFonts w:ascii="Microsoft YaHei Light" w:eastAsia="Microsoft YaHei Light" w:hAnsi="Microsoft YaHei Light"/>
          <w:lang w:val="it-IT"/>
        </w:rPr>
        <w:t>)</w:t>
      </w:r>
    </w:p>
    <w:p w14:paraId="419747BC" w14:textId="77777777" w:rsidR="00BD262A" w:rsidRPr="00077A16" w:rsidRDefault="00BD262A" w:rsidP="00BD262A">
      <w:pPr>
        <w:rPr>
          <w:rFonts w:ascii="Microsoft YaHei Light" w:eastAsia="Microsoft YaHei Light" w:hAnsi="Microsoft YaHei Light"/>
          <w:lang w:val="it-IT"/>
        </w:rPr>
      </w:pPr>
      <w:r w:rsidRPr="00077A16">
        <w:rPr>
          <w:rFonts w:ascii="Microsoft YaHei Light" w:eastAsia="Microsoft YaHei Light" w:hAnsi="Microsoft YaHei Light"/>
          <w:lang w:val="it-IT"/>
        </w:rPr>
        <w:t>CP&lt;-</w:t>
      </w:r>
      <w:proofErr w:type="spellStart"/>
      <w:r w:rsidRPr="00077A16">
        <w:rPr>
          <w:rFonts w:ascii="Microsoft YaHei Light" w:eastAsia="Microsoft YaHei Light" w:hAnsi="Microsoft YaHei Light"/>
          <w:lang w:val="it-IT"/>
        </w:rPr>
        <w:t>as.numeric</w:t>
      </w:r>
      <w:proofErr w:type="spellEnd"/>
      <w:r w:rsidRPr="00077A16">
        <w:rPr>
          <w:rFonts w:ascii="Microsoft YaHei Light" w:eastAsia="Microsoft YaHei Light" w:hAnsi="Microsoft YaHei Light"/>
          <w:lang w:val="it-IT"/>
        </w:rPr>
        <w:t>(</w:t>
      </w:r>
      <w:proofErr w:type="spellStart"/>
      <w:r w:rsidRPr="00077A16">
        <w:rPr>
          <w:rFonts w:ascii="Microsoft YaHei Light" w:eastAsia="Microsoft YaHei Light" w:hAnsi="Microsoft YaHei Light"/>
          <w:lang w:val="it-IT"/>
        </w:rPr>
        <w:t>databaseFinale$deltaConcoursPublics</w:t>
      </w:r>
      <w:proofErr w:type="spellEnd"/>
      <w:r w:rsidRPr="00077A16">
        <w:rPr>
          <w:rFonts w:ascii="Microsoft YaHei Light" w:eastAsia="Microsoft YaHei Light" w:hAnsi="Microsoft YaHei Light"/>
          <w:lang w:val="it-IT"/>
        </w:rPr>
        <w:t>)</w:t>
      </w:r>
    </w:p>
    <w:p w14:paraId="63A7CB71" w14:textId="77777777" w:rsidR="00BD262A" w:rsidRPr="00077A16" w:rsidRDefault="00BD262A" w:rsidP="00BD262A">
      <w:pPr>
        <w:rPr>
          <w:rFonts w:ascii="Microsoft YaHei Light" w:eastAsia="Microsoft YaHei Light" w:hAnsi="Microsoft YaHei Light"/>
          <w:lang w:val="it-IT"/>
        </w:rPr>
      </w:pPr>
      <w:r w:rsidRPr="00077A16">
        <w:rPr>
          <w:rFonts w:ascii="Microsoft YaHei Light" w:eastAsia="Microsoft YaHei Light" w:hAnsi="Microsoft YaHei Light"/>
          <w:lang w:val="it-IT"/>
        </w:rPr>
        <w:t>OC&lt;-</w:t>
      </w:r>
      <w:proofErr w:type="spellStart"/>
      <w:r w:rsidRPr="00077A16">
        <w:rPr>
          <w:rFonts w:ascii="Microsoft YaHei Light" w:eastAsia="Microsoft YaHei Light" w:hAnsi="Microsoft YaHei Light"/>
          <w:lang w:val="it-IT"/>
        </w:rPr>
        <w:t>as.numeric</w:t>
      </w:r>
      <w:proofErr w:type="spellEnd"/>
      <w:r w:rsidRPr="00077A16">
        <w:rPr>
          <w:rFonts w:ascii="Microsoft YaHei Light" w:eastAsia="Microsoft YaHei Light" w:hAnsi="Microsoft YaHei Light"/>
          <w:lang w:val="it-IT"/>
        </w:rPr>
        <w:t>(</w:t>
      </w:r>
      <w:proofErr w:type="spellStart"/>
      <w:r w:rsidRPr="00077A16">
        <w:rPr>
          <w:rFonts w:ascii="Microsoft YaHei Light" w:eastAsia="Microsoft YaHei Light" w:hAnsi="Microsoft YaHei Light"/>
          <w:lang w:val="it-IT"/>
        </w:rPr>
        <w:t>databaseFinale$deltaOffrecommerciale</w:t>
      </w:r>
      <w:proofErr w:type="spellEnd"/>
      <w:r w:rsidRPr="00077A16">
        <w:rPr>
          <w:rFonts w:ascii="Microsoft YaHei Light" w:eastAsia="Microsoft YaHei Light" w:hAnsi="Microsoft YaHei Light"/>
          <w:lang w:val="it-IT"/>
        </w:rPr>
        <w:t>)</w:t>
      </w:r>
    </w:p>
    <w:p w14:paraId="37348737" w14:textId="77777777" w:rsidR="00BD262A" w:rsidRPr="00077A16" w:rsidRDefault="00BD262A" w:rsidP="00BD262A">
      <w:pPr>
        <w:rPr>
          <w:lang w:val="it-IT"/>
        </w:rPr>
      </w:pPr>
    </w:p>
    <w:p w14:paraId="753428A9" w14:textId="77777777" w:rsidR="00BD262A" w:rsidRPr="00971686" w:rsidRDefault="00BD262A" w:rsidP="00BD262A">
      <w:pPr>
        <w:rPr>
          <w:b/>
          <w:bCs/>
          <w:i/>
        </w:rPr>
      </w:pPr>
      <w:r w:rsidRPr="00971686">
        <w:rPr>
          <w:b/>
          <w:bCs/>
          <w:i/>
        </w:rPr>
        <w:t>#Analyse de causalité (Rentabilité sur les autres)</w:t>
      </w:r>
    </w:p>
    <w:p w14:paraId="6D08D9DF" w14:textId="77777777" w:rsidR="00BD262A" w:rsidRPr="00BD4409" w:rsidRDefault="00BD262A" w:rsidP="00BD262A">
      <w:pPr>
        <w:rPr>
          <w:rFonts w:ascii="Microsoft YaHei Light" w:eastAsia="Microsoft YaHei Light" w:hAnsi="Microsoft YaHei Light"/>
          <w:lang w:val="en-US"/>
        </w:rPr>
      </w:pPr>
      <w:proofErr w:type="spellStart"/>
      <w:r w:rsidRPr="00BD4409">
        <w:rPr>
          <w:rFonts w:ascii="Microsoft YaHei Light" w:eastAsia="Microsoft YaHei Light" w:hAnsi="Microsoft YaHei Light"/>
          <w:lang w:val="en-US"/>
        </w:rPr>
        <w:t>grangertest</w:t>
      </w:r>
      <w:proofErr w:type="spellEnd"/>
      <w:r w:rsidRPr="00BD4409">
        <w:rPr>
          <w:rFonts w:ascii="Microsoft YaHei Light" w:eastAsia="Microsoft YaHei Light" w:hAnsi="Microsoft YaHei Light"/>
          <w:lang w:val="en-US"/>
        </w:rPr>
        <w:t>(R,I, order=2)</w:t>
      </w:r>
    </w:p>
    <w:p w14:paraId="079B313B" w14:textId="77777777" w:rsidR="00BD262A" w:rsidRPr="00BD4409" w:rsidRDefault="00BD262A" w:rsidP="00BD262A">
      <w:pPr>
        <w:rPr>
          <w:rFonts w:ascii="Microsoft YaHei Light" w:eastAsia="Microsoft YaHei Light" w:hAnsi="Microsoft YaHei Light"/>
          <w:lang w:val="en-US"/>
        </w:rPr>
      </w:pPr>
      <w:proofErr w:type="spellStart"/>
      <w:r w:rsidRPr="00BD4409">
        <w:rPr>
          <w:rFonts w:ascii="Microsoft YaHei Light" w:eastAsia="Microsoft YaHei Light" w:hAnsi="Microsoft YaHei Light"/>
          <w:lang w:val="en-US"/>
        </w:rPr>
        <w:t>grangertest</w:t>
      </w:r>
      <w:proofErr w:type="spellEnd"/>
      <w:r w:rsidRPr="00BD4409">
        <w:rPr>
          <w:rFonts w:ascii="Microsoft YaHei Light" w:eastAsia="Microsoft YaHei Light" w:hAnsi="Microsoft YaHei Light"/>
          <w:lang w:val="en-US"/>
        </w:rPr>
        <w:t>(R,CP, order=2)</w:t>
      </w:r>
    </w:p>
    <w:p w14:paraId="67BC6997" w14:textId="77777777" w:rsidR="00BD262A" w:rsidRPr="00BD4409" w:rsidRDefault="00BD262A" w:rsidP="00BD262A">
      <w:pPr>
        <w:rPr>
          <w:rFonts w:ascii="Microsoft YaHei Light" w:eastAsia="Microsoft YaHei Light" w:hAnsi="Microsoft YaHei Light"/>
        </w:rPr>
      </w:pPr>
      <w:proofErr w:type="spellStart"/>
      <w:r w:rsidRPr="00BD4409">
        <w:rPr>
          <w:rFonts w:ascii="Microsoft YaHei Light" w:eastAsia="Microsoft YaHei Light" w:hAnsi="Microsoft YaHei Light"/>
        </w:rPr>
        <w:t>grangertest</w:t>
      </w:r>
      <w:proofErr w:type="spellEnd"/>
      <w:r w:rsidRPr="00BD4409">
        <w:rPr>
          <w:rFonts w:ascii="Microsoft YaHei Light" w:eastAsia="Microsoft YaHei Light" w:hAnsi="Microsoft YaHei Light"/>
        </w:rPr>
        <w:t xml:space="preserve">(R,OC, </w:t>
      </w:r>
      <w:proofErr w:type="spellStart"/>
      <w:r w:rsidRPr="00BD4409">
        <w:rPr>
          <w:rFonts w:ascii="Microsoft YaHei Light" w:eastAsia="Microsoft YaHei Light" w:hAnsi="Microsoft YaHei Light"/>
        </w:rPr>
        <w:t>order</w:t>
      </w:r>
      <w:proofErr w:type="spellEnd"/>
      <w:r w:rsidRPr="00BD4409">
        <w:rPr>
          <w:rFonts w:ascii="Microsoft YaHei Light" w:eastAsia="Microsoft YaHei Light" w:hAnsi="Microsoft YaHei Light"/>
        </w:rPr>
        <w:t>=2)</w:t>
      </w:r>
    </w:p>
    <w:p w14:paraId="422BB8CC" w14:textId="77777777" w:rsidR="00BD262A" w:rsidRDefault="00BD262A" w:rsidP="00BD262A"/>
    <w:p w14:paraId="225D3604" w14:textId="77777777" w:rsidR="00BD262A" w:rsidRPr="00971686" w:rsidRDefault="00BD262A" w:rsidP="00BD262A">
      <w:pPr>
        <w:rPr>
          <w:b/>
          <w:bCs/>
          <w:i/>
        </w:rPr>
      </w:pPr>
      <w:r w:rsidRPr="00971686">
        <w:rPr>
          <w:b/>
          <w:bCs/>
          <w:i/>
        </w:rPr>
        <w:t>#Analyse de causalité (Investissement sur les autres)</w:t>
      </w:r>
    </w:p>
    <w:p w14:paraId="6CEDEB00" w14:textId="77777777" w:rsidR="00BD262A" w:rsidRPr="00BD4409" w:rsidRDefault="00BD262A" w:rsidP="00BD262A">
      <w:pPr>
        <w:rPr>
          <w:rFonts w:ascii="Microsoft YaHei Light" w:eastAsia="Microsoft YaHei Light" w:hAnsi="Microsoft YaHei Light"/>
          <w:lang w:val="en-US"/>
        </w:rPr>
      </w:pPr>
      <w:proofErr w:type="spellStart"/>
      <w:r w:rsidRPr="00BD4409">
        <w:rPr>
          <w:rFonts w:ascii="Microsoft YaHei Light" w:eastAsia="Microsoft YaHei Light" w:hAnsi="Microsoft YaHei Light"/>
          <w:lang w:val="en-US"/>
        </w:rPr>
        <w:t>grangertest</w:t>
      </w:r>
      <w:proofErr w:type="spellEnd"/>
      <w:r w:rsidRPr="00BD4409">
        <w:rPr>
          <w:rFonts w:ascii="Microsoft YaHei Light" w:eastAsia="Microsoft YaHei Light" w:hAnsi="Microsoft YaHei Light"/>
          <w:lang w:val="en-US"/>
        </w:rPr>
        <w:t>(I,R, order=2)</w:t>
      </w:r>
    </w:p>
    <w:p w14:paraId="7E5D5E00" w14:textId="77777777" w:rsidR="00BD262A" w:rsidRPr="00BD4409" w:rsidRDefault="00BD262A" w:rsidP="00BD262A">
      <w:pPr>
        <w:rPr>
          <w:rFonts w:ascii="Microsoft YaHei Light" w:eastAsia="Microsoft YaHei Light" w:hAnsi="Microsoft YaHei Light"/>
          <w:lang w:val="en-US"/>
        </w:rPr>
      </w:pPr>
      <w:proofErr w:type="spellStart"/>
      <w:r w:rsidRPr="00BD4409">
        <w:rPr>
          <w:rFonts w:ascii="Microsoft YaHei Light" w:eastAsia="Microsoft YaHei Light" w:hAnsi="Microsoft YaHei Light"/>
          <w:lang w:val="en-US"/>
        </w:rPr>
        <w:t>grangertest</w:t>
      </w:r>
      <w:proofErr w:type="spellEnd"/>
      <w:r w:rsidRPr="00BD4409">
        <w:rPr>
          <w:rFonts w:ascii="Microsoft YaHei Light" w:eastAsia="Microsoft YaHei Light" w:hAnsi="Microsoft YaHei Light"/>
          <w:lang w:val="en-US"/>
        </w:rPr>
        <w:t>(I,CP, order=2)</w:t>
      </w:r>
    </w:p>
    <w:p w14:paraId="5EEC21B4" w14:textId="77777777" w:rsidR="00BD262A" w:rsidRPr="00BD4409" w:rsidRDefault="00BD262A" w:rsidP="00BD262A">
      <w:pPr>
        <w:rPr>
          <w:rFonts w:ascii="Microsoft YaHei Light" w:eastAsia="Microsoft YaHei Light" w:hAnsi="Microsoft YaHei Light"/>
        </w:rPr>
      </w:pPr>
      <w:proofErr w:type="spellStart"/>
      <w:r w:rsidRPr="00BD4409">
        <w:rPr>
          <w:rFonts w:ascii="Microsoft YaHei Light" w:eastAsia="Microsoft YaHei Light" w:hAnsi="Microsoft YaHei Light"/>
        </w:rPr>
        <w:t>grangertest</w:t>
      </w:r>
      <w:proofErr w:type="spellEnd"/>
      <w:r w:rsidRPr="00BD4409">
        <w:rPr>
          <w:rFonts w:ascii="Microsoft YaHei Light" w:eastAsia="Microsoft YaHei Light" w:hAnsi="Microsoft YaHei Light"/>
        </w:rPr>
        <w:t xml:space="preserve">(I,OC, </w:t>
      </w:r>
      <w:proofErr w:type="spellStart"/>
      <w:r w:rsidRPr="00BD4409">
        <w:rPr>
          <w:rFonts w:ascii="Microsoft YaHei Light" w:eastAsia="Microsoft YaHei Light" w:hAnsi="Microsoft YaHei Light"/>
        </w:rPr>
        <w:t>order</w:t>
      </w:r>
      <w:proofErr w:type="spellEnd"/>
      <w:r w:rsidRPr="00BD4409">
        <w:rPr>
          <w:rFonts w:ascii="Microsoft YaHei Light" w:eastAsia="Microsoft YaHei Light" w:hAnsi="Microsoft YaHei Light"/>
        </w:rPr>
        <w:t>=2)</w:t>
      </w:r>
    </w:p>
    <w:p w14:paraId="23D5F266" w14:textId="77777777" w:rsidR="00BD262A" w:rsidRPr="00C34034" w:rsidRDefault="00BD262A" w:rsidP="00BD262A">
      <w:pPr>
        <w:rPr>
          <w:b/>
          <w:bCs/>
        </w:rPr>
      </w:pPr>
    </w:p>
    <w:p w14:paraId="61C0FE22" w14:textId="77777777" w:rsidR="00BD262A" w:rsidRPr="00C34034" w:rsidRDefault="00BD262A" w:rsidP="00BD262A">
      <w:pPr>
        <w:rPr>
          <w:b/>
          <w:bCs/>
          <w:i/>
        </w:rPr>
      </w:pPr>
      <w:r w:rsidRPr="00C34034">
        <w:rPr>
          <w:b/>
          <w:bCs/>
          <w:i/>
        </w:rPr>
        <w:t>#Analyse de causalité (Concours publics sur les autres)</w:t>
      </w:r>
    </w:p>
    <w:p w14:paraId="43E23857" w14:textId="77777777" w:rsidR="00BD262A" w:rsidRPr="00BD4409" w:rsidRDefault="00BD262A" w:rsidP="00BD262A">
      <w:pPr>
        <w:rPr>
          <w:rFonts w:ascii="Microsoft YaHei Light" w:eastAsia="Microsoft YaHei Light" w:hAnsi="Microsoft YaHei Light"/>
          <w:lang w:val="en-US"/>
        </w:rPr>
      </w:pPr>
      <w:proofErr w:type="spellStart"/>
      <w:r w:rsidRPr="00BD4409">
        <w:rPr>
          <w:rFonts w:ascii="Microsoft YaHei Light" w:eastAsia="Microsoft YaHei Light" w:hAnsi="Microsoft YaHei Light"/>
          <w:lang w:val="en-US"/>
        </w:rPr>
        <w:t>grangertest</w:t>
      </w:r>
      <w:proofErr w:type="spellEnd"/>
      <w:r w:rsidRPr="00BD4409">
        <w:rPr>
          <w:rFonts w:ascii="Microsoft YaHei Light" w:eastAsia="Microsoft YaHei Light" w:hAnsi="Microsoft YaHei Light"/>
          <w:lang w:val="en-US"/>
        </w:rPr>
        <w:t>(CP,R, order=2)</w:t>
      </w:r>
    </w:p>
    <w:p w14:paraId="58984136" w14:textId="77777777" w:rsidR="00BD262A" w:rsidRPr="00BD4409" w:rsidRDefault="00BD262A" w:rsidP="00BD262A">
      <w:pPr>
        <w:rPr>
          <w:rFonts w:ascii="Microsoft YaHei Light" w:eastAsia="Microsoft YaHei Light" w:hAnsi="Microsoft YaHei Light"/>
          <w:lang w:val="en-US"/>
        </w:rPr>
      </w:pPr>
      <w:proofErr w:type="spellStart"/>
      <w:r w:rsidRPr="00BD4409">
        <w:rPr>
          <w:rFonts w:ascii="Microsoft YaHei Light" w:eastAsia="Microsoft YaHei Light" w:hAnsi="Microsoft YaHei Light"/>
          <w:lang w:val="en-US"/>
        </w:rPr>
        <w:t>grangertest</w:t>
      </w:r>
      <w:proofErr w:type="spellEnd"/>
      <w:r w:rsidRPr="00BD4409">
        <w:rPr>
          <w:rFonts w:ascii="Microsoft YaHei Light" w:eastAsia="Microsoft YaHei Light" w:hAnsi="Microsoft YaHei Light"/>
          <w:lang w:val="en-US"/>
        </w:rPr>
        <w:t>(CP,I, order=2)</w:t>
      </w:r>
    </w:p>
    <w:p w14:paraId="640AAC20" w14:textId="77777777" w:rsidR="00BD262A" w:rsidRPr="00BD4409" w:rsidRDefault="00BD262A" w:rsidP="00BD262A">
      <w:pPr>
        <w:rPr>
          <w:rFonts w:ascii="Microsoft YaHei Light" w:eastAsia="Microsoft YaHei Light" w:hAnsi="Microsoft YaHei Light"/>
        </w:rPr>
      </w:pPr>
      <w:proofErr w:type="spellStart"/>
      <w:r w:rsidRPr="00BD4409">
        <w:rPr>
          <w:rFonts w:ascii="Microsoft YaHei Light" w:eastAsia="Microsoft YaHei Light" w:hAnsi="Microsoft YaHei Light"/>
        </w:rPr>
        <w:t>grangertest</w:t>
      </w:r>
      <w:proofErr w:type="spellEnd"/>
      <w:r w:rsidRPr="00BD4409">
        <w:rPr>
          <w:rFonts w:ascii="Microsoft YaHei Light" w:eastAsia="Microsoft YaHei Light" w:hAnsi="Microsoft YaHei Light"/>
        </w:rPr>
        <w:t xml:space="preserve">(CP,OC, </w:t>
      </w:r>
      <w:proofErr w:type="spellStart"/>
      <w:r w:rsidRPr="00BD4409">
        <w:rPr>
          <w:rFonts w:ascii="Microsoft YaHei Light" w:eastAsia="Microsoft YaHei Light" w:hAnsi="Microsoft YaHei Light"/>
        </w:rPr>
        <w:t>order</w:t>
      </w:r>
      <w:proofErr w:type="spellEnd"/>
      <w:r w:rsidRPr="00BD4409">
        <w:rPr>
          <w:rFonts w:ascii="Microsoft YaHei Light" w:eastAsia="Microsoft YaHei Light" w:hAnsi="Microsoft YaHei Light"/>
        </w:rPr>
        <w:t>=2)</w:t>
      </w:r>
    </w:p>
    <w:p w14:paraId="140F3284" w14:textId="77777777" w:rsidR="00BD4409" w:rsidRDefault="00BD4409" w:rsidP="00BD262A"/>
    <w:p w14:paraId="54819470" w14:textId="77777777" w:rsidR="00BD262A" w:rsidRPr="00C34034" w:rsidRDefault="00BD262A" w:rsidP="00BD262A">
      <w:pPr>
        <w:rPr>
          <w:b/>
          <w:bCs/>
          <w:i/>
        </w:rPr>
      </w:pPr>
      <w:r w:rsidRPr="00C34034">
        <w:rPr>
          <w:b/>
          <w:bCs/>
          <w:i/>
        </w:rPr>
        <w:t>#Analyse de causalité (Offre Commerciale sur les autres)</w:t>
      </w:r>
    </w:p>
    <w:p w14:paraId="0A287C2F" w14:textId="77777777" w:rsidR="00BD262A" w:rsidRPr="00BD4409" w:rsidRDefault="00BD262A" w:rsidP="00BD262A">
      <w:pPr>
        <w:rPr>
          <w:rFonts w:ascii="Microsoft YaHei Light" w:eastAsia="Microsoft YaHei Light" w:hAnsi="Microsoft YaHei Light"/>
          <w:lang w:val="en-US"/>
        </w:rPr>
      </w:pPr>
      <w:proofErr w:type="spellStart"/>
      <w:r w:rsidRPr="00BD4409">
        <w:rPr>
          <w:rFonts w:ascii="Microsoft YaHei Light" w:eastAsia="Microsoft YaHei Light" w:hAnsi="Microsoft YaHei Light"/>
          <w:lang w:val="en-US"/>
        </w:rPr>
        <w:t>grangertest</w:t>
      </w:r>
      <w:proofErr w:type="spellEnd"/>
      <w:r w:rsidRPr="00BD4409">
        <w:rPr>
          <w:rFonts w:ascii="Microsoft YaHei Light" w:eastAsia="Microsoft YaHei Light" w:hAnsi="Microsoft YaHei Light"/>
          <w:lang w:val="en-US"/>
        </w:rPr>
        <w:t>(OC,R, order=2)</w:t>
      </w:r>
    </w:p>
    <w:p w14:paraId="4E30D557" w14:textId="77777777" w:rsidR="00BD262A" w:rsidRPr="00BD4409" w:rsidRDefault="00BD262A" w:rsidP="00BD262A">
      <w:pPr>
        <w:rPr>
          <w:rFonts w:ascii="Microsoft YaHei Light" w:eastAsia="Microsoft YaHei Light" w:hAnsi="Microsoft YaHei Light"/>
          <w:lang w:val="en-US"/>
        </w:rPr>
      </w:pPr>
      <w:proofErr w:type="spellStart"/>
      <w:r w:rsidRPr="00BD4409">
        <w:rPr>
          <w:rFonts w:ascii="Microsoft YaHei Light" w:eastAsia="Microsoft YaHei Light" w:hAnsi="Microsoft YaHei Light"/>
          <w:lang w:val="en-US"/>
        </w:rPr>
        <w:t>grangertest</w:t>
      </w:r>
      <w:proofErr w:type="spellEnd"/>
      <w:r w:rsidRPr="00BD4409">
        <w:rPr>
          <w:rFonts w:ascii="Microsoft YaHei Light" w:eastAsia="Microsoft YaHei Light" w:hAnsi="Microsoft YaHei Light"/>
          <w:lang w:val="en-US"/>
        </w:rPr>
        <w:t>(OC,I, order=2)</w:t>
      </w:r>
    </w:p>
    <w:p w14:paraId="42754246" w14:textId="77777777" w:rsidR="00BD262A" w:rsidRPr="00BD4409" w:rsidRDefault="00BD262A" w:rsidP="00BD262A">
      <w:pPr>
        <w:rPr>
          <w:rFonts w:ascii="Microsoft YaHei Light" w:eastAsia="Microsoft YaHei Light" w:hAnsi="Microsoft YaHei Light"/>
        </w:rPr>
      </w:pPr>
      <w:proofErr w:type="spellStart"/>
      <w:r w:rsidRPr="00BD4409">
        <w:rPr>
          <w:rFonts w:ascii="Microsoft YaHei Light" w:eastAsia="Microsoft YaHei Light" w:hAnsi="Microsoft YaHei Light"/>
        </w:rPr>
        <w:t>grangertest</w:t>
      </w:r>
      <w:proofErr w:type="spellEnd"/>
      <w:r w:rsidRPr="00BD4409">
        <w:rPr>
          <w:rFonts w:ascii="Microsoft YaHei Light" w:eastAsia="Microsoft YaHei Light" w:hAnsi="Microsoft YaHei Light"/>
        </w:rPr>
        <w:t xml:space="preserve">(OC,CP, </w:t>
      </w:r>
      <w:proofErr w:type="spellStart"/>
      <w:r w:rsidRPr="00BD4409">
        <w:rPr>
          <w:rFonts w:ascii="Microsoft YaHei Light" w:eastAsia="Microsoft YaHei Light" w:hAnsi="Microsoft YaHei Light"/>
        </w:rPr>
        <w:t>order</w:t>
      </w:r>
      <w:proofErr w:type="spellEnd"/>
      <w:r w:rsidRPr="00BD4409">
        <w:rPr>
          <w:rFonts w:ascii="Microsoft YaHei Light" w:eastAsia="Microsoft YaHei Light" w:hAnsi="Microsoft YaHei Light"/>
        </w:rPr>
        <w:t>=2)</w:t>
      </w:r>
    </w:p>
    <w:p w14:paraId="29AB3BFD" w14:textId="77777777" w:rsidR="00BD262A" w:rsidRPr="00BD262A" w:rsidRDefault="00BD262A" w:rsidP="00BD262A">
      <w:pPr>
        <w:rPr>
          <w:rFonts w:ascii="Times New Roman" w:hAnsi="Times New Roman" w:cs="Times New Roman"/>
          <w:sz w:val="24"/>
        </w:rPr>
      </w:pPr>
    </w:p>
    <w:sectPr w:rsidR="00BD262A" w:rsidRPr="00BD262A" w:rsidSect="00103218">
      <w:pgSz w:w="12240" w:h="15840"/>
      <w:pgMar w:top="1530" w:right="1440" w:bottom="1440" w:left="1440" w:header="720" w:footer="720" w:gutter="0"/>
      <w:pgNumType w:fmt="upperLetter"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EF388" w14:textId="77777777" w:rsidR="000C4BE8" w:rsidRDefault="000C4BE8" w:rsidP="00AF27E8">
      <w:pPr>
        <w:spacing w:after="0" w:line="240" w:lineRule="auto"/>
      </w:pPr>
      <w:r>
        <w:separator/>
      </w:r>
    </w:p>
  </w:endnote>
  <w:endnote w:type="continuationSeparator" w:id="0">
    <w:p w14:paraId="46125F97" w14:textId="77777777" w:rsidR="000C4BE8" w:rsidRDefault="000C4BE8" w:rsidP="00AF27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Microsoft YaHei Light">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B2066" w14:textId="1488FD25" w:rsidR="006C16A3" w:rsidRDefault="006C16A3" w:rsidP="00156976">
    <w:pPr>
      <w:pStyle w:val="Pieddepage"/>
      <w:jc w:val="center"/>
    </w:pPr>
    <w:r>
      <w:t>2020-2021                  LAFLEUR Ednie Emmanuelle</w:t>
    </w:r>
    <w:r>
      <w:tab/>
      <w:t xml:space="preserve">                      </w:t>
    </w:r>
  </w:p>
  <w:p w14:paraId="278ABB66" w14:textId="77777777" w:rsidR="006C16A3" w:rsidRDefault="006C16A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C45B6" w14:textId="77777777" w:rsidR="006C16A3" w:rsidRDefault="006C16A3" w:rsidP="00103218">
    <w:pPr>
      <w:pStyle w:val="Pieddepage"/>
      <w:jc w:val="right"/>
    </w:pPr>
    <w:r>
      <w:t>2020-2021                  LAFLEUR Ednie Emmanuelle</w:t>
    </w:r>
    <w:r>
      <w:tab/>
      <w:t xml:space="preserve">                      Directeur de mémoire : Arnold VIAFONT</w:t>
    </w:r>
  </w:p>
  <w:p w14:paraId="0C2277E2" w14:textId="77777777" w:rsidR="006C16A3" w:rsidRDefault="006C16A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39AF1" w14:textId="77777777" w:rsidR="000C4BE8" w:rsidRDefault="000C4BE8" w:rsidP="00AF27E8">
      <w:pPr>
        <w:spacing w:after="0" w:line="240" w:lineRule="auto"/>
      </w:pPr>
      <w:r>
        <w:separator/>
      </w:r>
    </w:p>
  </w:footnote>
  <w:footnote w:type="continuationSeparator" w:id="0">
    <w:p w14:paraId="01CD2EAA" w14:textId="77777777" w:rsidR="000C4BE8" w:rsidRDefault="000C4BE8" w:rsidP="00AF27E8">
      <w:pPr>
        <w:spacing w:after="0" w:line="240" w:lineRule="auto"/>
      </w:pPr>
      <w:r>
        <w:continuationSeparator/>
      </w:r>
    </w:p>
  </w:footnote>
  <w:footnote w:id="1">
    <w:p w14:paraId="3E187052" w14:textId="70797624" w:rsidR="006C16A3" w:rsidRPr="006C014C" w:rsidRDefault="006C16A3" w:rsidP="00AF27E8">
      <w:pPr>
        <w:pStyle w:val="Notedebasdepage"/>
        <w:jc w:val="both"/>
        <w:rPr>
          <w:rFonts w:ascii="Times New Roman" w:hAnsi="Times New Roman" w:cs="Times New Roman"/>
        </w:rPr>
      </w:pPr>
      <w:r w:rsidRPr="006C014C">
        <w:rPr>
          <w:rStyle w:val="Appelnotedebasdep"/>
          <w:rFonts w:ascii="Times New Roman" w:hAnsi="Times New Roman" w:cs="Times New Roman"/>
        </w:rPr>
        <w:footnoteRef/>
      </w:r>
      <w:r w:rsidRPr="006C014C">
        <w:rPr>
          <w:rFonts w:ascii="Times New Roman" w:hAnsi="Times New Roman" w:cs="Times New Roman"/>
        </w:rPr>
        <w:t xml:space="preserve"> https://www.ecologie.gouv.fr/pollution-lair-origines-situation-et-impacts#e5</w:t>
      </w:r>
      <w:r>
        <w:rPr>
          <w:rFonts w:ascii="Times New Roman" w:hAnsi="Times New Roman" w:cs="Times New Roman"/>
        </w:rPr>
        <w:t>.</w:t>
      </w:r>
    </w:p>
  </w:footnote>
  <w:footnote w:id="2">
    <w:p w14:paraId="2AEE0D7D" w14:textId="7919DE7E" w:rsidR="006C16A3" w:rsidRPr="006C014C" w:rsidRDefault="006C16A3" w:rsidP="00AF27E8">
      <w:pPr>
        <w:pStyle w:val="Notedebasdepage"/>
        <w:jc w:val="both"/>
        <w:rPr>
          <w:rFonts w:ascii="Times New Roman" w:hAnsi="Times New Roman" w:cs="Times New Roman"/>
        </w:rPr>
      </w:pPr>
      <w:r w:rsidRPr="006C014C">
        <w:rPr>
          <w:rStyle w:val="Appelnotedebasdep"/>
          <w:rFonts w:ascii="Times New Roman" w:hAnsi="Times New Roman" w:cs="Times New Roman"/>
        </w:rPr>
        <w:footnoteRef/>
      </w:r>
      <w:r w:rsidRPr="006C014C">
        <w:rPr>
          <w:rFonts w:ascii="Times New Roman" w:hAnsi="Times New Roman" w:cs="Times New Roman"/>
        </w:rPr>
        <w:t xml:space="preserve"> https://ec.europa.eu/eurostat/fr/web/environment/environmental-protection</w:t>
      </w:r>
      <w:r>
        <w:rPr>
          <w:rFonts w:ascii="Times New Roman" w:hAnsi="Times New Roman" w:cs="Times New Roman"/>
        </w:rPr>
        <w:t>.</w:t>
      </w:r>
    </w:p>
  </w:footnote>
  <w:footnote w:id="3">
    <w:p w14:paraId="33F83E88" w14:textId="1700145C" w:rsidR="006C16A3" w:rsidRPr="006C014C" w:rsidRDefault="006C16A3" w:rsidP="003C4931">
      <w:pPr>
        <w:pStyle w:val="Notedebasdepage"/>
        <w:rPr>
          <w:rFonts w:ascii="Times New Roman" w:hAnsi="Times New Roman" w:cs="Times New Roman"/>
        </w:rPr>
      </w:pPr>
      <w:r w:rsidRPr="006C014C">
        <w:rPr>
          <w:rStyle w:val="Appelnotedebasdep"/>
          <w:rFonts w:ascii="Times New Roman" w:hAnsi="Times New Roman" w:cs="Times New Roman"/>
        </w:rPr>
        <w:footnoteRef/>
      </w:r>
      <w:r w:rsidRPr="006C014C">
        <w:rPr>
          <w:rFonts w:ascii="Times New Roman" w:hAnsi="Times New Roman" w:cs="Times New Roman"/>
        </w:rPr>
        <w:t>12 millions d’habitants selon les données de l’INSEE</w:t>
      </w:r>
      <w:r>
        <w:rPr>
          <w:rFonts w:ascii="Times New Roman" w:hAnsi="Times New Roman" w:cs="Times New Roman"/>
        </w:rPr>
        <w:t>,</w:t>
      </w:r>
      <w:r w:rsidRPr="006C014C">
        <w:rPr>
          <w:rFonts w:ascii="Times New Roman" w:hAnsi="Times New Roman" w:cs="Times New Roman"/>
        </w:rPr>
        <w:t xml:space="preserve"> https://www.insee.fr/fr/statistiques/2011101?geo=FRANCE-1</w:t>
      </w:r>
      <w:r>
        <w:rPr>
          <w:rFonts w:ascii="Times New Roman" w:hAnsi="Times New Roman" w:cs="Times New Roman"/>
        </w:rPr>
        <w:t>.</w:t>
      </w:r>
    </w:p>
    <w:p w14:paraId="4C434B82" w14:textId="5583B10F" w:rsidR="006C16A3" w:rsidRDefault="006C16A3">
      <w:pPr>
        <w:pStyle w:val="Notedebasdepage"/>
      </w:pPr>
    </w:p>
  </w:footnote>
  <w:footnote w:id="4">
    <w:p w14:paraId="2EAC25CA" w14:textId="7F86BE1E" w:rsidR="006C16A3" w:rsidRPr="00D93063" w:rsidRDefault="006C16A3" w:rsidP="0005771F">
      <w:pPr>
        <w:jc w:val="both"/>
        <w:rPr>
          <w:rFonts w:ascii="Times New Roman" w:hAnsi="Times New Roman" w:cs="Times New Roman"/>
          <w:sz w:val="24"/>
          <w:szCs w:val="24"/>
        </w:rPr>
      </w:pPr>
      <w:r w:rsidRPr="00D93063">
        <w:rPr>
          <w:rStyle w:val="Appelnotedebasdep"/>
          <w:rFonts w:ascii="Times New Roman" w:hAnsi="Times New Roman" w:cs="Times New Roman"/>
        </w:rPr>
        <w:footnoteRef/>
      </w:r>
      <w:r w:rsidRPr="00D93063">
        <w:rPr>
          <w:rFonts w:ascii="Times New Roman" w:hAnsi="Times New Roman" w:cs="Times New Roman"/>
        </w:rPr>
        <w:t xml:space="preserve"> </w:t>
      </w:r>
      <w:r w:rsidRPr="00D93063">
        <w:rPr>
          <w:rFonts w:ascii="Times New Roman" w:hAnsi="Times New Roman" w:cs="Times New Roman"/>
          <w:sz w:val="20"/>
          <w:szCs w:val="20"/>
        </w:rPr>
        <w:t>Rapport d’Observations définitives et sa réponse, Stif Île-de-France Mobilités Exercices 2013 et suivants, Chambre Régionale des comptes Ile-de-France</w:t>
      </w:r>
    </w:p>
  </w:footnote>
  <w:footnote w:id="5">
    <w:p w14:paraId="6BB066A4" w14:textId="73065F85" w:rsidR="006C16A3" w:rsidRDefault="006C16A3">
      <w:pPr>
        <w:pStyle w:val="Notedebasdepage"/>
      </w:pPr>
      <w:r w:rsidRPr="00D93063">
        <w:rPr>
          <w:rStyle w:val="Appelnotedebasdep"/>
          <w:rFonts w:ascii="Times New Roman" w:hAnsi="Times New Roman" w:cs="Times New Roman"/>
        </w:rPr>
        <w:footnoteRef/>
      </w:r>
      <w:r w:rsidRPr="00D93063">
        <w:rPr>
          <w:rFonts w:ascii="Times New Roman" w:hAnsi="Times New Roman" w:cs="Times New Roman"/>
        </w:rPr>
        <w:t xml:space="preserve"> Rapport</w:t>
      </w:r>
      <w:r w:rsidRPr="00494994">
        <w:rPr>
          <w:rFonts w:ascii="Times New Roman" w:hAnsi="Times New Roman" w:cs="Times New Roman"/>
        </w:rPr>
        <w:t xml:space="preserve"> </w:t>
      </w:r>
      <w:r>
        <w:rPr>
          <w:rFonts w:ascii="Times New Roman" w:hAnsi="Times New Roman" w:cs="Times New Roman"/>
        </w:rPr>
        <w:t>d’Observations définitives et sa réponse</w:t>
      </w:r>
      <w:r w:rsidRPr="00494994">
        <w:rPr>
          <w:rFonts w:ascii="Times New Roman" w:hAnsi="Times New Roman" w:cs="Times New Roman"/>
        </w:rPr>
        <w:t>, Stif Î</w:t>
      </w:r>
      <w:r>
        <w:rPr>
          <w:rFonts w:ascii="Times New Roman" w:hAnsi="Times New Roman" w:cs="Times New Roman"/>
        </w:rPr>
        <w:t>le-de-France Mobilités</w:t>
      </w:r>
      <w:r w:rsidRPr="00494994">
        <w:rPr>
          <w:rFonts w:ascii="Times New Roman" w:hAnsi="Times New Roman" w:cs="Times New Roman"/>
        </w:rPr>
        <w:t xml:space="preserve"> Exercices 2013 et suivants, Chambre Régionale des comptes Ile-de-France</w:t>
      </w:r>
    </w:p>
  </w:footnote>
  <w:footnote w:id="6">
    <w:p w14:paraId="4914C273" w14:textId="1238BABF" w:rsidR="006C16A3" w:rsidRDefault="006C16A3">
      <w:pPr>
        <w:pStyle w:val="Notedebasdepage"/>
      </w:pPr>
      <w:r w:rsidRPr="00D93063">
        <w:rPr>
          <w:rStyle w:val="Appelnotedebasdep"/>
          <w:rFonts w:ascii="Times New Roman" w:hAnsi="Times New Roman" w:cs="Times New Roman"/>
        </w:rPr>
        <w:footnoteRef/>
      </w:r>
      <w:r w:rsidRPr="00D93063">
        <w:rPr>
          <w:rFonts w:ascii="Times New Roman" w:hAnsi="Times New Roman" w:cs="Times New Roman"/>
        </w:rPr>
        <w:t xml:space="preserve"> Rapport</w:t>
      </w:r>
      <w:r w:rsidRPr="0005771F">
        <w:rPr>
          <w:rFonts w:ascii="Times New Roman" w:hAnsi="Times New Roman" w:cs="Times New Roman"/>
        </w:rPr>
        <w:t xml:space="preserve"> d’Observations définitives et sa réponse, Stif Île-de-France Mobilités Exercices 2013 et suivants, Chambre Régionale des comptes Ile-de-France</w:t>
      </w:r>
    </w:p>
  </w:footnote>
  <w:footnote w:id="7">
    <w:p w14:paraId="55FBA7BB" w14:textId="77E29BA9" w:rsidR="006C16A3" w:rsidRPr="00A8300F" w:rsidRDefault="006C16A3" w:rsidP="00A8300F">
      <w:pPr>
        <w:jc w:val="both"/>
        <w:rPr>
          <w:rFonts w:ascii="Times New Roman" w:hAnsi="Times New Roman" w:cs="Times New Roman"/>
          <w:sz w:val="20"/>
          <w:szCs w:val="20"/>
        </w:rPr>
      </w:pPr>
      <w:r>
        <w:rPr>
          <w:rStyle w:val="Appelnotedebasdep"/>
        </w:rPr>
        <w:footnoteRef/>
      </w:r>
      <w:r>
        <w:t xml:space="preserve"> </w:t>
      </w:r>
      <w:r w:rsidRPr="00A8300F">
        <w:rPr>
          <w:rFonts w:ascii="Times New Roman" w:hAnsi="Times New Roman" w:cs="Times New Roman"/>
          <w:sz w:val="20"/>
          <w:szCs w:val="20"/>
        </w:rPr>
        <w:t>Le nouveau Plan de déplacements urbains d’Île-de-</w:t>
      </w:r>
      <w:r>
        <w:rPr>
          <w:rFonts w:ascii="Times New Roman" w:hAnsi="Times New Roman" w:cs="Times New Roman"/>
          <w:sz w:val="20"/>
          <w:szCs w:val="20"/>
        </w:rPr>
        <w:t xml:space="preserve">France, </w:t>
      </w:r>
      <w:r w:rsidRPr="00A8300F">
        <w:rPr>
          <w:rFonts w:ascii="Times New Roman" w:hAnsi="Times New Roman" w:cs="Times New Roman"/>
          <w:sz w:val="20"/>
          <w:szCs w:val="20"/>
        </w:rPr>
        <w:t>Numéro 4 • Octobre 2014, STIF en ligne</w:t>
      </w:r>
    </w:p>
    <w:p w14:paraId="453A75B7" w14:textId="325E8DB2" w:rsidR="006C16A3" w:rsidRDefault="006C16A3">
      <w:pPr>
        <w:pStyle w:val="Notedebasdepage"/>
      </w:pPr>
    </w:p>
  </w:footnote>
  <w:footnote w:id="8">
    <w:p w14:paraId="07909098" w14:textId="36572D48" w:rsidR="006C16A3" w:rsidRPr="000E2199" w:rsidRDefault="006C16A3">
      <w:pPr>
        <w:pStyle w:val="Notedebasdepage"/>
        <w:rPr>
          <w:rFonts w:ascii="Times New Roman" w:hAnsi="Times New Roman" w:cs="Times New Roman"/>
        </w:rPr>
      </w:pPr>
      <w:r w:rsidRPr="000E2199">
        <w:rPr>
          <w:rStyle w:val="Appelnotedebasdep"/>
          <w:rFonts w:ascii="Times New Roman" w:hAnsi="Times New Roman" w:cs="Times New Roman"/>
        </w:rPr>
        <w:footnoteRef/>
      </w:r>
      <w:r w:rsidRPr="000E2199">
        <w:rPr>
          <w:rFonts w:ascii="Times New Roman" w:hAnsi="Times New Roman" w:cs="Times New Roman"/>
        </w:rPr>
        <w:t xml:space="preserve"> </w:t>
      </w:r>
      <w:hyperlink r:id="rId1" w:history="1">
        <w:r w:rsidRPr="000E2199">
          <w:rPr>
            <w:rStyle w:val="Lienhypertexte"/>
            <w:rFonts w:ascii="Times New Roman" w:hAnsi="Times New Roman" w:cs="Times New Roman"/>
            <w:color w:val="auto"/>
          </w:rPr>
          <w:t>Recettes tarifaires, concours publics pour le (...) (omnil.fr)</w:t>
        </w:r>
      </w:hyperlink>
    </w:p>
  </w:footnote>
  <w:footnote w:id="9">
    <w:p w14:paraId="061939D5" w14:textId="7F41E65D" w:rsidR="006C16A3" w:rsidRPr="006B3164" w:rsidRDefault="006C16A3">
      <w:pPr>
        <w:pStyle w:val="Notedebasdepage"/>
        <w:rPr>
          <w:rFonts w:ascii="Times New Roman" w:hAnsi="Times New Roman" w:cs="Times New Roman"/>
        </w:rPr>
      </w:pPr>
      <w:r w:rsidRPr="006B3164">
        <w:rPr>
          <w:rStyle w:val="Appelnotedebasdep"/>
          <w:rFonts w:ascii="Times New Roman" w:hAnsi="Times New Roman" w:cs="Times New Roman"/>
        </w:rPr>
        <w:footnoteRef/>
      </w:r>
      <w:r w:rsidRPr="006B3164">
        <w:rPr>
          <w:rFonts w:ascii="Times New Roman" w:hAnsi="Times New Roman" w:cs="Times New Roman"/>
        </w:rPr>
        <w:t xml:space="preserve"> </w:t>
      </w:r>
      <w:hyperlink r:id="rId2" w:history="1">
        <w:r w:rsidRPr="006B3164">
          <w:rPr>
            <w:rStyle w:val="Lienhypertexte"/>
            <w:rFonts w:ascii="Times New Roman" w:hAnsi="Times New Roman" w:cs="Times New Roman"/>
            <w:color w:val="auto"/>
          </w:rPr>
          <w:t>Informations investisseurs | Île-de-France Mobilités (iledefrance-mobilites.fr)</w:t>
        </w:r>
      </w:hyperlink>
    </w:p>
  </w:footnote>
  <w:footnote w:id="10">
    <w:p w14:paraId="3B8A63AD" w14:textId="0F9E50F7" w:rsidR="006C16A3" w:rsidRPr="0092116E" w:rsidRDefault="006C16A3" w:rsidP="0092116E">
      <w:pPr>
        <w:jc w:val="both"/>
        <w:rPr>
          <w:rFonts w:ascii="Times New Roman" w:hAnsi="Times New Roman" w:cs="Times New Roman"/>
          <w:sz w:val="20"/>
          <w:szCs w:val="20"/>
        </w:rPr>
      </w:pPr>
      <w:r w:rsidRPr="0092116E">
        <w:rPr>
          <w:rStyle w:val="Appelnotedebasdep"/>
          <w:rFonts w:ascii="Times New Roman" w:hAnsi="Times New Roman" w:cs="Times New Roman"/>
          <w:sz w:val="20"/>
          <w:szCs w:val="20"/>
        </w:rPr>
        <w:footnoteRef/>
      </w:r>
      <w:r w:rsidRPr="0092116E">
        <w:rPr>
          <w:rFonts w:ascii="Times New Roman" w:hAnsi="Times New Roman" w:cs="Times New Roman"/>
          <w:sz w:val="20"/>
          <w:szCs w:val="20"/>
        </w:rPr>
        <w:t xml:space="preserve"> STIF, Compte déplacements de voyageurs en Île-de-France pour l’année 2003, édition 2005.</w:t>
      </w:r>
    </w:p>
    <w:p w14:paraId="4FD3A0B9" w14:textId="471EACAE" w:rsidR="006C16A3" w:rsidRDefault="006C16A3">
      <w:pPr>
        <w:pStyle w:val="Notedebasdepage"/>
      </w:pPr>
    </w:p>
  </w:footnote>
  <w:footnote w:id="11">
    <w:p w14:paraId="18B7F670" w14:textId="2B9D38CF" w:rsidR="006C16A3" w:rsidRPr="00140321" w:rsidRDefault="006C16A3">
      <w:pPr>
        <w:pStyle w:val="Notedebasdepage"/>
        <w:rPr>
          <w:rFonts w:ascii="Times New Roman" w:hAnsi="Times New Roman" w:cs="Times New Roman"/>
        </w:rPr>
      </w:pPr>
      <w:r w:rsidRPr="00140321">
        <w:rPr>
          <w:rStyle w:val="Appelnotedebasdep"/>
          <w:rFonts w:ascii="Times New Roman" w:hAnsi="Times New Roman" w:cs="Times New Roman"/>
        </w:rPr>
        <w:footnoteRef/>
      </w:r>
      <w:r w:rsidRPr="00140321">
        <w:rPr>
          <w:rFonts w:ascii="Times New Roman" w:hAnsi="Times New Roman" w:cs="Times New Roman"/>
        </w:rPr>
        <w:t xml:space="preserve"> Rapport d’activité 2005</w:t>
      </w:r>
    </w:p>
  </w:footnote>
  <w:footnote w:id="12">
    <w:p w14:paraId="0DE42B10" w14:textId="55814206" w:rsidR="006C16A3" w:rsidRPr="00054C8D" w:rsidRDefault="006C16A3">
      <w:pPr>
        <w:pStyle w:val="Notedebasdepage"/>
        <w:rPr>
          <w:rFonts w:ascii="Times New Roman" w:hAnsi="Times New Roman" w:cs="Times New Roman"/>
        </w:rPr>
      </w:pPr>
      <w:r w:rsidRPr="00054C8D">
        <w:rPr>
          <w:rStyle w:val="Appelnotedebasdep"/>
          <w:rFonts w:ascii="Times New Roman" w:hAnsi="Times New Roman" w:cs="Times New Roman"/>
        </w:rPr>
        <w:footnoteRef/>
      </w:r>
      <w:r w:rsidRPr="00054C8D">
        <w:rPr>
          <w:rFonts w:ascii="Times New Roman" w:hAnsi="Times New Roman" w:cs="Times New Roman"/>
        </w:rPr>
        <w:t xml:space="preserve"> Article 37 de LTECV.</w:t>
      </w:r>
    </w:p>
  </w:footnote>
  <w:footnote w:id="13">
    <w:p w14:paraId="2BD995A7" w14:textId="56B3F9C7" w:rsidR="006C16A3" w:rsidRPr="00B27BE8" w:rsidRDefault="006C16A3" w:rsidP="00B27BE8">
      <w:pPr>
        <w:jc w:val="both"/>
        <w:rPr>
          <w:rFonts w:ascii="Times New Roman" w:hAnsi="Times New Roman" w:cs="Times New Roman"/>
          <w:sz w:val="20"/>
          <w:szCs w:val="20"/>
        </w:rPr>
      </w:pPr>
      <w:r w:rsidRPr="00B27BE8">
        <w:rPr>
          <w:rStyle w:val="Appelnotedebasdep"/>
          <w:rFonts w:ascii="Times New Roman" w:hAnsi="Times New Roman" w:cs="Times New Roman"/>
          <w:sz w:val="20"/>
          <w:szCs w:val="20"/>
        </w:rPr>
        <w:footnoteRef/>
      </w:r>
      <w:r w:rsidRPr="00B27BE8">
        <w:rPr>
          <w:rFonts w:ascii="Times New Roman" w:hAnsi="Times New Roman" w:cs="Times New Roman"/>
          <w:sz w:val="20"/>
          <w:szCs w:val="20"/>
        </w:rPr>
        <w:t>Politique des transports en Île-de-France : en Île-de-France : bilan 2017, Direction régionale et interdépartementale de l’Équipement et de l’Aménagement d’Île-de-France, Avril 2018</w:t>
      </w:r>
    </w:p>
  </w:footnote>
  <w:footnote w:id="14">
    <w:p w14:paraId="6390D40D" w14:textId="71CF5E1A" w:rsidR="006C16A3" w:rsidRPr="00335C00" w:rsidRDefault="006C16A3" w:rsidP="00335C00">
      <w:pPr>
        <w:rPr>
          <w:rFonts w:ascii="Times New Roman" w:hAnsi="Times New Roman" w:cs="Times New Roman"/>
          <w:sz w:val="20"/>
          <w:szCs w:val="20"/>
        </w:rPr>
      </w:pPr>
      <w:r>
        <w:rPr>
          <w:rStyle w:val="Appelnotedebasdep"/>
        </w:rPr>
        <w:footnoteRef/>
      </w:r>
      <w:r>
        <w:t xml:space="preserve"> </w:t>
      </w:r>
      <w:r w:rsidRPr="00C8122E">
        <w:rPr>
          <w:rFonts w:ascii="Times New Roman" w:hAnsi="Times New Roman" w:cs="Times New Roman"/>
          <w:sz w:val="20"/>
          <w:szCs w:val="20"/>
        </w:rPr>
        <w:t>Règlement européen n° 1370/2007 du Parlement et du Conseil du 23 octobre 2007 relatif aux services publics de transport de voyageurs par chemin de fer et par route, dit « OSP »</w:t>
      </w:r>
      <w:r>
        <w:rPr>
          <w:rFonts w:ascii="Times New Roman" w:hAnsi="Times New Roman" w:cs="Times New Roman"/>
          <w:sz w:val="20"/>
          <w:szCs w:val="20"/>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F2969" w14:textId="63284B76" w:rsidR="006C16A3" w:rsidRDefault="006C16A3">
    <w:pPr>
      <w:pStyle w:val="En-tte"/>
      <w:jc w:val="center"/>
    </w:pPr>
  </w:p>
  <w:p w14:paraId="2909F5D5" w14:textId="77777777" w:rsidR="006C16A3" w:rsidRDefault="006C16A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934732"/>
      <w:docPartObj>
        <w:docPartGallery w:val="Page Numbers (Top of Page)"/>
        <w:docPartUnique/>
      </w:docPartObj>
    </w:sdtPr>
    <w:sdtEndPr>
      <w:rPr>
        <w:noProof/>
      </w:rPr>
    </w:sdtEndPr>
    <w:sdtContent>
      <w:p w14:paraId="7D31B365" w14:textId="77777777" w:rsidR="0055443C" w:rsidRDefault="0055443C">
        <w:pPr>
          <w:pStyle w:val="En-tte"/>
          <w:jc w:val="center"/>
        </w:pPr>
        <w:r>
          <w:fldChar w:fldCharType="begin"/>
        </w:r>
        <w:r>
          <w:instrText xml:space="preserve"> PAGE   \* MERGEFORMAT </w:instrText>
        </w:r>
        <w:r>
          <w:fldChar w:fldCharType="separate"/>
        </w:r>
        <w:r w:rsidR="00071463">
          <w:rPr>
            <w:noProof/>
          </w:rPr>
          <w:t>2</w:t>
        </w:r>
        <w:r>
          <w:rPr>
            <w:noProof/>
          </w:rPr>
          <w:fldChar w:fldCharType="end"/>
        </w:r>
      </w:p>
    </w:sdtContent>
  </w:sdt>
  <w:p w14:paraId="76BC37AD" w14:textId="77777777" w:rsidR="0055443C" w:rsidRDefault="0055443C">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4111954"/>
      <w:docPartObj>
        <w:docPartGallery w:val="Page Numbers (Top of Page)"/>
        <w:docPartUnique/>
      </w:docPartObj>
    </w:sdtPr>
    <w:sdtEndPr>
      <w:rPr>
        <w:noProof/>
      </w:rPr>
    </w:sdtEndPr>
    <w:sdtContent>
      <w:p w14:paraId="4737B054" w14:textId="0F3470AB" w:rsidR="006C16A3" w:rsidRDefault="006C16A3">
        <w:pPr>
          <w:pStyle w:val="En-tte"/>
          <w:jc w:val="center"/>
        </w:pPr>
        <w:r>
          <w:fldChar w:fldCharType="begin"/>
        </w:r>
        <w:r>
          <w:instrText xml:space="preserve"> PAGE   \* MERGEFORMAT </w:instrText>
        </w:r>
        <w:r>
          <w:fldChar w:fldCharType="separate"/>
        </w:r>
        <w:r w:rsidR="00071463">
          <w:rPr>
            <w:noProof/>
          </w:rPr>
          <w:t>1</w:t>
        </w:r>
        <w:r>
          <w:rPr>
            <w:noProof/>
          </w:rPr>
          <w:fldChar w:fldCharType="end"/>
        </w:r>
      </w:p>
    </w:sdtContent>
  </w:sdt>
  <w:p w14:paraId="6DA4EB0C" w14:textId="77777777" w:rsidR="006C16A3" w:rsidRDefault="006C16A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C24D1"/>
    <w:multiLevelType w:val="hybridMultilevel"/>
    <w:tmpl w:val="48F69772"/>
    <w:lvl w:ilvl="0" w:tplc="7262778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4523C31"/>
    <w:multiLevelType w:val="hybridMultilevel"/>
    <w:tmpl w:val="AC56F9B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B5A1395"/>
    <w:multiLevelType w:val="multilevel"/>
    <w:tmpl w:val="D39A3082"/>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3" w15:restartNumberingAfterBreak="0">
    <w:nsid w:val="2661091A"/>
    <w:multiLevelType w:val="hybridMultilevel"/>
    <w:tmpl w:val="A664D9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68C7797"/>
    <w:multiLevelType w:val="hybridMultilevel"/>
    <w:tmpl w:val="8BA0EE40"/>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5" w15:restartNumberingAfterBreak="0">
    <w:nsid w:val="2F0C0E54"/>
    <w:multiLevelType w:val="hybridMultilevel"/>
    <w:tmpl w:val="DC1C971E"/>
    <w:lvl w:ilvl="0" w:tplc="040C000F">
      <w:start w:val="9"/>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63B46A3"/>
    <w:multiLevelType w:val="hybridMultilevel"/>
    <w:tmpl w:val="99B2EA64"/>
    <w:lvl w:ilvl="0" w:tplc="143C8DBA">
      <w:start w:val="1"/>
      <w:numFmt w:val="decimal"/>
      <w:lvlText w:val="8.%1"/>
      <w:lvlJc w:val="left"/>
      <w:pPr>
        <w:ind w:left="360" w:hanging="360"/>
      </w:pPr>
      <w:rPr>
        <w:rFonts w:hint="default"/>
      </w:r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15:restartNumberingAfterBreak="0">
    <w:nsid w:val="3C345C4F"/>
    <w:multiLevelType w:val="hybridMultilevel"/>
    <w:tmpl w:val="8D2EB27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D4B2DBD"/>
    <w:multiLevelType w:val="hybridMultilevel"/>
    <w:tmpl w:val="EF508D1E"/>
    <w:lvl w:ilvl="0" w:tplc="FF529E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73B29AA"/>
    <w:multiLevelType w:val="hybridMultilevel"/>
    <w:tmpl w:val="E9C6F632"/>
    <w:lvl w:ilvl="0" w:tplc="040C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7906F3E"/>
    <w:multiLevelType w:val="hybridMultilevel"/>
    <w:tmpl w:val="B1988672"/>
    <w:lvl w:ilvl="0" w:tplc="DFC4F392">
      <w:start w:val="1"/>
      <w:numFmt w:val="decimal"/>
      <w:lvlText w:val="%1."/>
      <w:lvlJc w:val="left"/>
      <w:pPr>
        <w:ind w:left="1620" w:hanging="360"/>
      </w:pPr>
      <w:rPr>
        <w:rFonts w:hint="default"/>
      </w:rPr>
    </w:lvl>
    <w:lvl w:ilvl="1" w:tplc="040C0019" w:tentative="1">
      <w:start w:val="1"/>
      <w:numFmt w:val="lowerLetter"/>
      <w:lvlText w:val="%2."/>
      <w:lvlJc w:val="left"/>
      <w:pPr>
        <w:ind w:left="2340" w:hanging="360"/>
      </w:pPr>
    </w:lvl>
    <w:lvl w:ilvl="2" w:tplc="040C001B" w:tentative="1">
      <w:start w:val="1"/>
      <w:numFmt w:val="lowerRoman"/>
      <w:lvlText w:val="%3."/>
      <w:lvlJc w:val="right"/>
      <w:pPr>
        <w:ind w:left="3060" w:hanging="180"/>
      </w:pPr>
    </w:lvl>
    <w:lvl w:ilvl="3" w:tplc="040C000F" w:tentative="1">
      <w:start w:val="1"/>
      <w:numFmt w:val="decimal"/>
      <w:lvlText w:val="%4."/>
      <w:lvlJc w:val="left"/>
      <w:pPr>
        <w:ind w:left="3780" w:hanging="360"/>
      </w:pPr>
    </w:lvl>
    <w:lvl w:ilvl="4" w:tplc="040C0019" w:tentative="1">
      <w:start w:val="1"/>
      <w:numFmt w:val="lowerLetter"/>
      <w:lvlText w:val="%5."/>
      <w:lvlJc w:val="left"/>
      <w:pPr>
        <w:ind w:left="4500" w:hanging="360"/>
      </w:pPr>
    </w:lvl>
    <w:lvl w:ilvl="5" w:tplc="040C001B" w:tentative="1">
      <w:start w:val="1"/>
      <w:numFmt w:val="lowerRoman"/>
      <w:lvlText w:val="%6."/>
      <w:lvlJc w:val="right"/>
      <w:pPr>
        <w:ind w:left="5220" w:hanging="180"/>
      </w:pPr>
    </w:lvl>
    <w:lvl w:ilvl="6" w:tplc="040C000F" w:tentative="1">
      <w:start w:val="1"/>
      <w:numFmt w:val="decimal"/>
      <w:lvlText w:val="%7."/>
      <w:lvlJc w:val="left"/>
      <w:pPr>
        <w:ind w:left="5940" w:hanging="360"/>
      </w:pPr>
    </w:lvl>
    <w:lvl w:ilvl="7" w:tplc="040C0019" w:tentative="1">
      <w:start w:val="1"/>
      <w:numFmt w:val="lowerLetter"/>
      <w:lvlText w:val="%8."/>
      <w:lvlJc w:val="left"/>
      <w:pPr>
        <w:ind w:left="6660" w:hanging="360"/>
      </w:pPr>
    </w:lvl>
    <w:lvl w:ilvl="8" w:tplc="040C001B" w:tentative="1">
      <w:start w:val="1"/>
      <w:numFmt w:val="lowerRoman"/>
      <w:lvlText w:val="%9."/>
      <w:lvlJc w:val="right"/>
      <w:pPr>
        <w:ind w:left="7380" w:hanging="180"/>
      </w:pPr>
    </w:lvl>
  </w:abstractNum>
  <w:abstractNum w:abstractNumId="11" w15:restartNumberingAfterBreak="0">
    <w:nsid w:val="5EEE24B4"/>
    <w:multiLevelType w:val="hybridMultilevel"/>
    <w:tmpl w:val="FC4821B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5EF52145"/>
    <w:multiLevelType w:val="hybridMultilevel"/>
    <w:tmpl w:val="84E0F79E"/>
    <w:lvl w:ilvl="0" w:tplc="1A86D706">
      <w:start w:val="1"/>
      <w:numFmt w:val="decimal"/>
      <w:lvlText w:val="%1."/>
      <w:lvlJc w:val="left"/>
      <w:pPr>
        <w:ind w:left="450" w:hanging="360"/>
      </w:pPr>
      <w:rPr>
        <w:rFonts w:hint="default"/>
        <w:color w:val="auto"/>
      </w:rPr>
    </w:lvl>
    <w:lvl w:ilvl="1" w:tplc="040C0019" w:tentative="1">
      <w:start w:val="1"/>
      <w:numFmt w:val="lowerLetter"/>
      <w:lvlText w:val="%2."/>
      <w:lvlJc w:val="left"/>
      <w:pPr>
        <w:ind w:left="1170" w:hanging="360"/>
      </w:pPr>
    </w:lvl>
    <w:lvl w:ilvl="2" w:tplc="040C001B" w:tentative="1">
      <w:start w:val="1"/>
      <w:numFmt w:val="lowerRoman"/>
      <w:lvlText w:val="%3."/>
      <w:lvlJc w:val="right"/>
      <w:pPr>
        <w:ind w:left="1890" w:hanging="180"/>
      </w:pPr>
    </w:lvl>
    <w:lvl w:ilvl="3" w:tplc="040C000F" w:tentative="1">
      <w:start w:val="1"/>
      <w:numFmt w:val="decimal"/>
      <w:lvlText w:val="%4."/>
      <w:lvlJc w:val="left"/>
      <w:pPr>
        <w:ind w:left="2610" w:hanging="360"/>
      </w:pPr>
    </w:lvl>
    <w:lvl w:ilvl="4" w:tplc="040C0019" w:tentative="1">
      <w:start w:val="1"/>
      <w:numFmt w:val="lowerLetter"/>
      <w:lvlText w:val="%5."/>
      <w:lvlJc w:val="left"/>
      <w:pPr>
        <w:ind w:left="3330" w:hanging="360"/>
      </w:pPr>
    </w:lvl>
    <w:lvl w:ilvl="5" w:tplc="040C001B" w:tentative="1">
      <w:start w:val="1"/>
      <w:numFmt w:val="lowerRoman"/>
      <w:lvlText w:val="%6."/>
      <w:lvlJc w:val="right"/>
      <w:pPr>
        <w:ind w:left="4050" w:hanging="180"/>
      </w:pPr>
    </w:lvl>
    <w:lvl w:ilvl="6" w:tplc="040C000F" w:tentative="1">
      <w:start w:val="1"/>
      <w:numFmt w:val="decimal"/>
      <w:lvlText w:val="%7."/>
      <w:lvlJc w:val="left"/>
      <w:pPr>
        <w:ind w:left="4770" w:hanging="360"/>
      </w:pPr>
    </w:lvl>
    <w:lvl w:ilvl="7" w:tplc="040C0019" w:tentative="1">
      <w:start w:val="1"/>
      <w:numFmt w:val="lowerLetter"/>
      <w:lvlText w:val="%8."/>
      <w:lvlJc w:val="left"/>
      <w:pPr>
        <w:ind w:left="5490" w:hanging="360"/>
      </w:pPr>
    </w:lvl>
    <w:lvl w:ilvl="8" w:tplc="040C001B" w:tentative="1">
      <w:start w:val="1"/>
      <w:numFmt w:val="lowerRoman"/>
      <w:lvlText w:val="%9."/>
      <w:lvlJc w:val="right"/>
      <w:pPr>
        <w:ind w:left="6210" w:hanging="180"/>
      </w:pPr>
    </w:lvl>
  </w:abstractNum>
  <w:abstractNum w:abstractNumId="13" w15:restartNumberingAfterBreak="0">
    <w:nsid w:val="62D97B53"/>
    <w:multiLevelType w:val="hybridMultilevel"/>
    <w:tmpl w:val="C3728ADE"/>
    <w:lvl w:ilvl="0" w:tplc="040C0019">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4" w15:restartNumberingAfterBreak="0">
    <w:nsid w:val="741C3366"/>
    <w:multiLevelType w:val="hybridMultilevel"/>
    <w:tmpl w:val="22E6559C"/>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4326705"/>
    <w:multiLevelType w:val="hybridMultilevel"/>
    <w:tmpl w:val="A1E084DA"/>
    <w:lvl w:ilvl="0" w:tplc="040C0019">
      <w:start w:val="1"/>
      <w:numFmt w:val="low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6" w15:restartNumberingAfterBreak="0">
    <w:nsid w:val="75AA3D99"/>
    <w:multiLevelType w:val="hybridMultilevel"/>
    <w:tmpl w:val="03307FEE"/>
    <w:lvl w:ilvl="0" w:tplc="040C0019">
      <w:start w:val="1"/>
      <w:numFmt w:val="low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7" w15:restartNumberingAfterBreak="0">
    <w:nsid w:val="77B40DA4"/>
    <w:multiLevelType w:val="hybridMultilevel"/>
    <w:tmpl w:val="118ECE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EAB45E6"/>
    <w:multiLevelType w:val="hybridMultilevel"/>
    <w:tmpl w:val="996C4546"/>
    <w:lvl w:ilvl="0" w:tplc="040C0019">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6"/>
  </w:num>
  <w:num w:numId="2">
    <w:abstractNumId w:val="14"/>
  </w:num>
  <w:num w:numId="3">
    <w:abstractNumId w:val="13"/>
  </w:num>
  <w:num w:numId="4">
    <w:abstractNumId w:val="4"/>
  </w:num>
  <w:num w:numId="5">
    <w:abstractNumId w:val="9"/>
  </w:num>
  <w:num w:numId="6">
    <w:abstractNumId w:val="10"/>
  </w:num>
  <w:num w:numId="7">
    <w:abstractNumId w:val="17"/>
  </w:num>
  <w:num w:numId="8">
    <w:abstractNumId w:val="8"/>
  </w:num>
  <w:num w:numId="9">
    <w:abstractNumId w:val="3"/>
  </w:num>
  <w:num w:numId="10">
    <w:abstractNumId w:val="18"/>
  </w:num>
  <w:num w:numId="11">
    <w:abstractNumId w:val="0"/>
  </w:num>
  <w:num w:numId="12">
    <w:abstractNumId w:val="2"/>
  </w:num>
  <w:num w:numId="13">
    <w:abstractNumId w:val="11"/>
  </w:num>
  <w:num w:numId="14">
    <w:abstractNumId w:val="15"/>
  </w:num>
  <w:num w:numId="15">
    <w:abstractNumId w:val="16"/>
  </w:num>
  <w:num w:numId="16">
    <w:abstractNumId w:val="5"/>
  </w:num>
  <w:num w:numId="17">
    <w:abstractNumId w:val="7"/>
  </w:num>
  <w:num w:numId="18">
    <w:abstractNumId w:val="1"/>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7724"/>
    <w:rsid w:val="00000545"/>
    <w:rsid w:val="0001304B"/>
    <w:rsid w:val="000219B4"/>
    <w:rsid w:val="00021C0C"/>
    <w:rsid w:val="000231C6"/>
    <w:rsid w:val="00026D8F"/>
    <w:rsid w:val="00027EBD"/>
    <w:rsid w:val="00037B04"/>
    <w:rsid w:val="000502D0"/>
    <w:rsid w:val="00054C8D"/>
    <w:rsid w:val="000564CD"/>
    <w:rsid w:val="0005672D"/>
    <w:rsid w:val="0005771F"/>
    <w:rsid w:val="00067D3D"/>
    <w:rsid w:val="000711C1"/>
    <w:rsid w:val="00071463"/>
    <w:rsid w:val="00074F0B"/>
    <w:rsid w:val="00077A16"/>
    <w:rsid w:val="00080B5A"/>
    <w:rsid w:val="000811BE"/>
    <w:rsid w:val="00090DB7"/>
    <w:rsid w:val="0009482B"/>
    <w:rsid w:val="0009608E"/>
    <w:rsid w:val="00097E48"/>
    <w:rsid w:val="000A18AA"/>
    <w:rsid w:val="000A44AE"/>
    <w:rsid w:val="000A480C"/>
    <w:rsid w:val="000A748A"/>
    <w:rsid w:val="000B1F8B"/>
    <w:rsid w:val="000C4BE8"/>
    <w:rsid w:val="000C5DC5"/>
    <w:rsid w:val="000C7F0B"/>
    <w:rsid w:val="000D575C"/>
    <w:rsid w:val="000D6A90"/>
    <w:rsid w:val="000E2199"/>
    <w:rsid w:val="000F124D"/>
    <w:rsid w:val="000F708D"/>
    <w:rsid w:val="001028B1"/>
    <w:rsid w:val="00103218"/>
    <w:rsid w:val="00105953"/>
    <w:rsid w:val="00110DCA"/>
    <w:rsid w:val="001127AE"/>
    <w:rsid w:val="001128A3"/>
    <w:rsid w:val="00116A34"/>
    <w:rsid w:val="001177D8"/>
    <w:rsid w:val="001329E8"/>
    <w:rsid w:val="00133FEC"/>
    <w:rsid w:val="0013449F"/>
    <w:rsid w:val="0013634E"/>
    <w:rsid w:val="00137DFC"/>
    <w:rsid w:val="00140321"/>
    <w:rsid w:val="001440FC"/>
    <w:rsid w:val="0014607D"/>
    <w:rsid w:val="00146D9C"/>
    <w:rsid w:val="00147AD4"/>
    <w:rsid w:val="001519B1"/>
    <w:rsid w:val="00156976"/>
    <w:rsid w:val="00161875"/>
    <w:rsid w:val="00170407"/>
    <w:rsid w:val="0017252F"/>
    <w:rsid w:val="00174DAD"/>
    <w:rsid w:val="001759B8"/>
    <w:rsid w:val="001800D1"/>
    <w:rsid w:val="0018414D"/>
    <w:rsid w:val="00187AE0"/>
    <w:rsid w:val="001927B9"/>
    <w:rsid w:val="00193DA9"/>
    <w:rsid w:val="0019578B"/>
    <w:rsid w:val="001A0A3B"/>
    <w:rsid w:val="001A1F6E"/>
    <w:rsid w:val="001B0488"/>
    <w:rsid w:val="001B278F"/>
    <w:rsid w:val="001B2791"/>
    <w:rsid w:val="001B3E9A"/>
    <w:rsid w:val="001B6D3D"/>
    <w:rsid w:val="001B74E6"/>
    <w:rsid w:val="001C4A67"/>
    <w:rsid w:val="001C5425"/>
    <w:rsid w:val="001C5939"/>
    <w:rsid w:val="001D05DD"/>
    <w:rsid w:val="001D39BA"/>
    <w:rsid w:val="001D5490"/>
    <w:rsid w:val="001D736E"/>
    <w:rsid w:val="001D758C"/>
    <w:rsid w:val="001E14FE"/>
    <w:rsid w:val="001E3708"/>
    <w:rsid w:val="001E3786"/>
    <w:rsid w:val="001F4F43"/>
    <w:rsid w:val="001F52FA"/>
    <w:rsid w:val="001F59C7"/>
    <w:rsid w:val="001F752D"/>
    <w:rsid w:val="00203F4F"/>
    <w:rsid w:val="00204CD4"/>
    <w:rsid w:val="00207F05"/>
    <w:rsid w:val="002174DE"/>
    <w:rsid w:val="0021791A"/>
    <w:rsid w:val="00227293"/>
    <w:rsid w:val="00234C3D"/>
    <w:rsid w:val="0023670F"/>
    <w:rsid w:val="002422A2"/>
    <w:rsid w:val="00244AD7"/>
    <w:rsid w:val="0024531C"/>
    <w:rsid w:val="00247DE5"/>
    <w:rsid w:val="00252369"/>
    <w:rsid w:val="00254E0E"/>
    <w:rsid w:val="00261DA4"/>
    <w:rsid w:val="00266579"/>
    <w:rsid w:val="0027103E"/>
    <w:rsid w:val="002746F4"/>
    <w:rsid w:val="002811DA"/>
    <w:rsid w:val="002856C7"/>
    <w:rsid w:val="00287933"/>
    <w:rsid w:val="00291C75"/>
    <w:rsid w:val="002A06AC"/>
    <w:rsid w:val="002A1FA8"/>
    <w:rsid w:val="002A2EEA"/>
    <w:rsid w:val="002B5BA8"/>
    <w:rsid w:val="002B6206"/>
    <w:rsid w:val="002B7B2E"/>
    <w:rsid w:val="002C015D"/>
    <w:rsid w:val="002C6113"/>
    <w:rsid w:val="002D1C6E"/>
    <w:rsid w:val="002D2D5F"/>
    <w:rsid w:val="002D5119"/>
    <w:rsid w:val="002E0687"/>
    <w:rsid w:val="002E106D"/>
    <w:rsid w:val="002E170F"/>
    <w:rsid w:val="002E38CE"/>
    <w:rsid w:val="002E7BF7"/>
    <w:rsid w:val="002F2157"/>
    <w:rsid w:val="00300C60"/>
    <w:rsid w:val="0030278C"/>
    <w:rsid w:val="0030305E"/>
    <w:rsid w:val="003035CD"/>
    <w:rsid w:val="003075FA"/>
    <w:rsid w:val="003110C9"/>
    <w:rsid w:val="0031251C"/>
    <w:rsid w:val="003151E7"/>
    <w:rsid w:val="00317520"/>
    <w:rsid w:val="00320334"/>
    <w:rsid w:val="00320923"/>
    <w:rsid w:val="00321EAA"/>
    <w:rsid w:val="00323071"/>
    <w:rsid w:val="003233B7"/>
    <w:rsid w:val="0032383B"/>
    <w:rsid w:val="00330FAA"/>
    <w:rsid w:val="00335C00"/>
    <w:rsid w:val="0034072C"/>
    <w:rsid w:val="00340975"/>
    <w:rsid w:val="00340C89"/>
    <w:rsid w:val="003412AD"/>
    <w:rsid w:val="00343426"/>
    <w:rsid w:val="00344618"/>
    <w:rsid w:val="003544B1"/>
    <w:rsid w:val="00363C73"/>
    <w:rsid w:val="0036483C"/>
    <w:rsid w:val="0038164D"/>
    <w:rsid w:val="003817B7"/>
    <w:rsid w:val="00391871"/>
    <w:rsid w:val="0039457E"/>
    <w:rsid w:val="00396756"/>
    <w:rsid w:val="003A2D38"/>
    <w:rsid w:val="003A5352"/>
    <w:rsid w:val="003A55EC"/>
    <w:rsid w:val="003A6065"/>
    <w:rsid w:val="003A7892"/>
    <w:rsid w:val="003B2F60"/>
    <w:rsid w:val="003C18D8"/>
    <w:rsid w:val="003C4931"/>
    <w:rsid w:val="003D09B6"/>
    <w:rsid w:val="003D4F00"/>
    <w:rsid w:val="003E23C8"/>
    <w:rsid w:val="003E4721"/>
    <w:rsid w:val="003E473F"/>
    <w:rsid w:val="003E4DBD"/>
    <w:rsid w:val="003E5DA9"/>
    <w:rsid w:val="003F1D9C"/>
    <w:rsid w:val="003F42F5"/>
    <w:rsid w:val="003F4A47"/>
    <w:rsid w:val="00410E74"/>
    <w:rsid w:val="00412016"/>
    <w:rsid w:val="0041245D"/>
    <w:rsid w:val="00413DFA"/>
    <w:rsid w:val="00415FD0"/>
    <w:rsid w:val="004172EC"/>
    <w:rsid w:val="0043075A"/>
    <w:rsid w:val="00431520"/>
    <w:rsid w:val="00432C29"/>
    <w:rsid w:val="004352B7"/>
    <w:rsid w:val="00436E7A"/>
    <w:rsid w:val="00441522"/>
    <w:rsid w:val="00442F7A"/>
    <w:rsid w:val="004453C8"/>
    <w:rsid w:val="0044553C"/>
    <w:rsid w:val="00450AC0"/>
    <w:rsid w:val="00451D8A"/>
    <w:rsid w:val="00461425"/>
    <w:rsid w:val="0046159F"/>
    <w:rsid w:val="00462218"/>
    <w:rsid w:val="004628F6"/>
    <w:rsid w:val="00465580"/>
    <w:rsid w:val="00466367"/>
    <w:rsid w:val="0047139A"/>
    <w:rsid w:val="004750E8"/>
    <w:rsid w:val="00475BF4"/>
    <w:rsid w:val="0047678C"/>
    <w:rsid w:val="00477772"/>
    <w:rsid w:val="00480218"/>
    <w:rsid w:val="004859C9"/>
    <w:rsid w:val="00494994"/>
    <w:rsid w:val="004A2B8A"/>
    <w:rsid w:val="004A7313"/>
    <w:rsid w:val="004C29EC"/>
    <w:rsid w:val="004C31C7"/>
    <w:rsid w:val="004C5894"/>
    <w:rsid w:val="004C706F"/>
    <w:rsid w:val="004D1CE4"/>
    <w:rsid w:val="004D2B55"/>
    <w:rsid w:val="004D2EFF"/>
    <w:rsid w:val="004D73E0"/>
    <w:rsid w:val="004E3F59"/>
    <w:rsid w:val="004E5EFD"/>
    <w:rsid w:val="004F2596"/>
    <w:rsid w:val="004F7AB0"/>
    <w:rsid w:val="005048BA"/>
    <w:rsid w:val="005113FB"/>
    <w:rsid w:val="0051400B"/>
    <w:rsid w:val="00514F48"/>
    <w:rsid w:val="0052429E"/>
    <w:rsid w:val="00525922"/>
    <w:rsid w:val="00527431"/>
    <w:rsid w:val="005326DF"/>
    <w:rsid w:val="005377B2"/>
    <w:rsid w:val="00544EED"/>
    <w:rsid w:val="0055443C"/>
    <w:rsid w:val="0056128A"/>
    <w:rsid w:val="00562692"/>
    <w:rsid w:val="00564561"/>
    <w:rsid w:val="00566824"/>
    <w:rsid w:val="00571828"/>
    <w:rsid w:val="00573C7F"/>
    <w:rsid w:val="00582DCA"/>
    <w:rsid w:val="00583712"/>
    <w:rsid w:val="0058383F"/>
    <w:rsid w:val="00586D9D"/>
    <w:rsid w:val="00592888"/>
    <w:rsid w:val="00593CA3"/>
    <w:rsid w:val="005A3B04"/>
    <w:rsid w:val="005A3C80"/>
    <w:rsid w:val="005A4BA3"/>
    <w:rsid w:val="005A73CE"/>
    <w:rsid w:val="005B0DDD"/>
    <w:rsid w:val="005B16D0"/>
    <w:rsid w:val="005C39AD"/>
    <w:rsid w:val="005D2596"/>
    <w:rsid w:val="005D398C"/>
    <w:rsid w:val="005D3A6B"/>
    <w:rsid w:val="005D57EF"/>
    <w:rsid w:val="005D6F2F"/>
    <w:rsid w:val="005E2C09"/>
    <w:rsid w:val="005E2D1A"/>
    <w:rsid w:val="005E424F"/>
    <w:rsid w:val="005E6145"/>
    <w:rsid w:val="005E6FDA"/>
    <w:rsid w:val="005F018A"/>
    <w:rsid w:val="005F13FF"/>
    <w:rsid w:val="005F1556"/>
    <w:rsid w:val="005F4ECB"/>
    <w:rsid w:val="005F5E6C"/>
    <w:rsid w:val="00600EEA"/>
    <w:rsid w:val="0060408D"/>
    <w:rsid w:val="006077A4"/>
    <w:rsid w:val="006078E1"/>
    <w:rsid w:val="00612088"/>
    <w:rsid w:val="0062435C"/>
    <w:rsid w:val="0062614A"/>
    <w:rsid w:val="00630FD5"/>
    <w:rsid w:val="00632BA2"/>
    <w:rsid w:val="00632CE4"/>
    <w:rsid w:val="00634D80"/>
    <w:rsid w:val="006350EF"/>
    <w:rsid w:val="00637F6C"/>
    <w:rsid w:val="00641A54"/>
    <w:rsid w:val="00642441"/>
    <w:rsid w:val="00645C75"/>
    <w:rsid w:val="00645EEA"/>
    <w:rsid w:val="00647174"/>
    <w:rsid w:val="006478EC"/>
    <w:rsid w:val="00653507"/>
    <w:rsid w:val="00660B81"/>
    <w:rsid w:val="00662C4B"/>
    <w:rsid w:val="006633BB"/>
    <w:rsid w:val="00664EB4"/>
    <w:rsid w:val="00667377"/>
    <w:rsid w:val="006707C5"/>
    <w:rsid w:val="0067244A"/>
    <w:rsid w:val="00673DF4"/>
    <w:rsid w:val="00677212"/>
    <w:rsid w:val="00684F8A"/>
    <w:rsid w:val="0068556C"/>
    <w:rsid w:val="006864B7"/>
    <w:rsid w:val="00692795"/>
    <w:rsid w:val="00695A34"/>
    <w:rsid w:val="00696697"/>
    <w:rsid w:val="006A0834"/>
    <w:rsid w:val="006A3916"/>
    <w:rsid w:val="006B2FF8"/>
    <w:rsid w:val="006B3164"/>
    <w:rsid w:val="006C014C"/>
    <w:rsid w:val="006C1251"/>
    <w:rsid w:val="006C16A3"/>
    <w:rsid w:val="006C25E2"/>
    <w:rsid w:val="006D57F2"/>
    <w:rsid w:val="006E283B"/>
    <w:rsid w:val="006E7927"/>
    <w:rsid w:val="006F094C"/>
    <w:rsid w:val="006F1A2B"/>
    <w:rsid w:val="006F1B59"/>
    <w:rsid w:val="006F2BFC"/>
    <w:rsid w:val="00714C43"/>
    <w:rsid w:val="007162FD"/>
    <w:rsid w:val="00717F0E"/>
    <w:rsid w:val="00720634"/>
    <w:rsid w:val="00721A72"/>
    <w:rsid w:val="00722D8E"/>
    <w:rsid w:val="00726635"/>
    <w:rsid w:val="00733456"/>
    <w:rsid w:val="00740E6C"/>
    <w:rsid w:val="00745028"/>
    <w:rsid w:val="0075350F"/>
    <w:rsid w:val="00753E0B"/>
    <w:rsid w:val="007546F2"/>
    <w:rsid w:val="0075787F"/>
    <w:rsid w:val="00761424"/>
    <w:rsid w:val="00762431"/>
    <w:rsid w:val="0076429E"/>
    <w:rsid w:val="00777157"/>
    <w:rsid w:val="00781E9B"/>
    <w:rsid w:val="00782352"/>
    <w:rsid w:val="00784816"/>
    <w:rsid w:val="00785768"/>
    <w:rsid w:val="00787F6E"/>
    <w:rsid w:val="00791E1E"/>
    <w:rsid w:val="00793EA8"/>
    <w:rsid w:val="0079633C"/>
    <w:rsid w:val="007B0D5B"/>
    <w:rsid w:val="007C6650"/>
    <w:rsid w:val="007D5D91"/>
    <w:rsid w:val="007E0448"/>
    <w:rsid w:val="007E0E63"/>
    <w:rsid w:val="007E4CB4"/>
    <w:rsid w:val="007E5AAA"/>
    <w:rsid w:val="007F5D7B"/>
    <w:rsid w:val="007F69B7"/>
    <w:rsid w:val="00810087"/>
    <w:rsid w:val="00813316"/>
    <w:rsid w:val="00813865"/>
    <w:rsid w:val="00815807"/>
    <w:rsid w:val="00821B9F"/>
    <w:rsid w:val="00835261"/>
    <w:rsid w:val="008369C9"/>
    <w:rsid w:val="00845804"/>
    <w:rsid w:val="00852BEE"/>
    <w:rsid w:val="00862AFC"/>
    <w:rsid w:val="00864E7D"/>
    <w:rsid w:val="00871669"/>
    <w:rsid w:val="00874ACE"/>
    <w:rsid w:val="00875A70"/>
    <w:rsid w:val="00875D6F"/>
    <w:rsid w:val="00883A41"/>
    <w:rsid w:val="00884D57"/>
    <w:rsid w:val="00890890"/>
    <w:rsid w:val="00890E17"/>
    <w:rsid w:val="008A210C"/>
    <w:rsid w:val="008A4E73"/>
    <w:rsid w:val="008A61D3"/>
    <w:rsid w:val="008B1328"/>
    <w:rsid w:val="008B464D"/>
    <w:rsid w:val="008C51A0"/>
    <w:rsid w:val="008D18D0"/>
    <w:rsid w:val="008D227D"/>
    <w:rsid w:val="008D4E99"/>
    <w:rsid w:val="008D5987"/>
    <w:rsid w:val="008E0BE1"/>
    <w:rsid w:val="008E7EAD"/>
    <w:rsid w:val="008F1084"/>
    <w:rsid w:val="008F3CE6"/>
    <w:rsid w:val="0092116E"/>
    <w:rsid w:val="009258E2"/>
    <w:rsid w:val="00930893"/>
    <w:rsid w:val="009459EC"/>
    <w:rsid w:val="009467D8"/>
    <w:rsid w:val="009501F3"/>
    <w:rsid w:val="009509F5"/>
    <w:rsid w:val="00955DEE"/>
    <w:rsid w:val="009562BA"/>
    <w:rsid w:val="009567DB"/>
    <w:rsid w:val="00957414"/>
    <w:rsid w:val="00960A71"/>
    <w:rsid w:val="00963BE7"/>
    <w:rsid w:val="009675C6"/>
    <w:rsid w:val="00971686"/>
    <w:rsid w:val="00973553"/>
    <w:rsid w:val="00974655"/>
    <w:rsid w:val="00975CAA"/>
    <w:rsid w:val="0097732A"/>
    <w:rsid w:val="0097769D"/>
    <w:rsid w:val="00977CC2"/>
    <w:rsid w:val="00990C32"/>
    <w:rsid w:val="00991D46"/>
    <w:rsid w:val="00992D34"/>
    <w:rsid w:val="00993AE0"/>
    <w:rsid w:val="009961ED"/>
    <w:rsid w:val="009962AC"/>
    <w:rsid w:val="009B1A5B"/>
    <w:rsid w:val="009B348E"/>
    <w:rsid w:val="009C07D5"/>
    <w:rsid w:val="009C2D8E"/>
    <w:rsid w:val="009C6F73"/>
    <w:rsid w:val="009D2E90"/>
    <w:rsid w:val="009D3C54"/>
    <w:rsid w:val="009D6ACF"/>
    <w:rsid w:val="009D7F22"/>
    <w:rsid w:val="009E390B"/>
    <w:rsid w:val="009E4E3D"/>
    <w:rsid w:val="009E5635"/>
    <w:rsid w:val="009E5774"/>
    <w:rsid w:val="009E6295"/>
    <w:rsid w:val="009F759D"/>
    <w:rsid w:val="00A0108B"/>
    <w:rsid w:val="00A04C4F"/>
    <w:rsid w:val="00A06121"/>
    <w:rsid w:val="00A10DEE"/>
    <w:rsid w:val="00A11D6B"/>
    <w:rsid w:val="00A13105"/>
    <w:rsid w:val="00A1412C"/>
    <w:rsid w:val="00A22783"/>
    <w:rsid w:val="00A27868"/>
    <w:rsid w:val="00A319D4"/>
    <w:rsid w:val="00A321E3"/>
    <w:rsid w:val="00A32D15"/>
    <w:rsid w:val="00A33282"/>
    <w:rsid w:val="00A33C19"/>
    <w:rsid w:val="00A408B7"/>
    <w:rsid w:val="00A40C7C"/>
    <w:rsid w:val="00A5417B"/>
    <w:rsid w:val="00A54872"/>
    <w:rsid w:val="00A56E89"/>
    <w:rsid w:val="00A575E2"/>
    <w:rsid w:val="00A624D5"/>
    <w:rsid w:val="00A62F62"/>
    <w:rsid w:val="00A638A8"/>
    <w:rsid w:val="00A657A1"/>
    <w:rsid w:val="00A67D27"/>
    <w:rsid w:val="00A71028"/>
    <w:rsid w:val="00A73958"/>
    <w:rsid w:val="00A76402"/>
    <w:rsid w:val="00A8300F"/>
    <w:rsid w:val="00A96EFD"/>
    <w:rsid w:val="00AA44F9"/>
    <w:rsid w:val="00AA69DF"/>
    <w:rsid w:val="00AB05A2"/>
    <w:rsid w:val="00AB2002"/>
    <w:rsid w:val="00AB3E60"/>
    <w:rsid w:val="00AB4100"/>
    <w:rsid w:val="00AB4675"/>
    <w:rsid w:val="00AB7E94"/>
    <w:rsid w:val="00AC316A"/>
    <w:rsid w:val="00AC6CB8"/>
    <w:rsid w:val="00AC7BA4"/>
    <w:rsid w:val="00AD20C7"/>
    <w:rsid w:val="00AE3E5B"/>
    <w:rsid w:val="00AE4637"/>
    <w:rsid w:val="00AE5B67"/>
    <w:rsid w:val="00AE5D3B"/>
    <w:rsid w:val="00AF27E8"/>
    <w:rsid w:val="00B0195D"/>
    <w:rsid w:val="00B0493C"/>
    <w:rsid w:val="00B07478"/>
    <w:rsid w:val="00B12201"/>
    <w:rsid w:val="00B15941"/>
    <w:rsid w:val="00B2511D"/>
    <w:rsid w:val="00B25CEE"/>
    <w:rsid w:val="00B2605C"/>
    <w:rsid w:val="00B27BE8"/>
    <w:rsid w:val="00B31F7F"/>
    <w:rsid w:val="00B35B04"/>
    <w:rsid w:val="00B35B6D"/>
    <w:rsid w:val="00B360A7"/>
    <w:rsid w:val="00B443DD"/>
    <w:rsid w:val="00B506F6"/>
    <w:rsid w:val="00B54CBA"/>
    <w:rsid w:val="00B62238"/>
    <w:rsid w:val="00B72FAC"/>
    <w:rsid w:val="00B73926"/>
    <w:rsid w:val="00B741E4"/>
    <w:rsid w:val="00B7596F"/>
    <w:rsid w:val="00B802CB"/>
    <w:rsid w:val="00B8073A"/>
    <w:rsid w:val="00B8439C"/>
    <w:rsid w:val="00B8498D"/>
    <w:rsid w:val="00B87D83"/>
    <w:rsid w:val="00B91A1D"/>
    <w:rsid w:val="00B92E5F"/>
    <w:rsid w:val="00B957DF"/>
    <w:rsid w:val="00B97DC4"/>
    <w:rsid w:val="00BA5139"/>
    <w:rsid w:val="00BA757C"/>
    <w:rsid w:val="00BB5C2F"/>
    <w:rsid w:val="00BB6C63"/>
    <w:rsid w:val="00BB6C95"/>
    <w:rsid w:val="00BC4FFB"/>
    <w:rsid w:val="00BD061D"/>
    <w:rsid w:val="00BD262A"/>
    <w:rsid w:val="00BD4409"/>
    <w:rsid w:val="00BE0C16"/>
    <w:rsid w:val="00BE698D"/>
    <w:rsid w:val="00BE7832"/>
    <w:rsid w:val="00BF4443"/>
    <w:rsid w:val="00C00EE8"/>
    <w:rsid w:val="00C01AE2"/>
    <w:rsid w:val="00C04C4E"/>
    <w:rsid w:val="00C12E8E"/>
    <w:rsid w:val="00C25DB9"/>
    <w:rsid w:val="00C34034"/>
    <w:rsid w:val="00C3521D"/>
    <w:rsid w:val="00C438D6"/>
    <w:rsid w:val="00C53456"/>
    <w:rsid w:val="00C53C2F"/>
    <w:rsid w:val="00C56074"/>
    <w:rsid w:val="00C575D2"/>
    <w:rsid w:val="00C57B4F"/>
    <w:rsid w:val="00C60EB6"/>
    <w:rsid w:val="00C62FBD"/>
    <w:rsid w:val="00C66834"/>
    <w:rsid w:val="00C70518"/>
    <w:rsid w:val="00C74C90"/>
    <w:rsid w:val="00C8122E"/>
    <w:rsid w:val="00C82A1E"/>
    <w:rsid w:val="00C85965"/>
    <w:rsid w:val="00C87731"/>
    <w:rsid w:val="00C907F7"/>
    <w:rsid w:val="00C9608B"/>
    <w:rsid w:val="00CA3656"/>
    <w:rsid w:val="00CB2275"/>
    <w:rsid w:val="00CB3830"/>
    <w:rsid w:val="00CB4389"/>
    <w:rsid w:val="00CB548F"/>
    <w:rsid w:val="00CB62EB"/>
    <w:rsid w:val="00CD2B8E"/>
    <w:rsid w:val="00CD446E"/>
    <w:rsid w:val="00CD5057"/>
    <w:rsid w:val="00CD5C84"/>
    <w:rsid w:val="00CE2B58"/>
    <w:rsid w:val="00CE53FD"/>
    <w:rsid w:val="00CF030D"/>
    <w:rsid w:val="00CF2BFB"/>
    <w:rsid w:val="00CF41C4"/>
    <w:rsid w:val="00CF442C"/>
    <w:rsid w:val="00CF484B"/>
    <w:rsid w:val="00D01367"/>
    <w:rsid w:val="00D137E8"/>
    <w:rsid w:val="00D13898"/>
    <w:rsid w:val="00D14448"/>
    <w:rsid w:val="00D1768A"/>
    <w:rsid w:val="00D17F39"/>
    <w:rsid w:val="00D269D2"/>
    <w:rsid w:val="00D318B0"/>
    <w:rsid w:val="00D33D69"/>
    <w:rsid w:val="00D35DFE"/>
    <w:rsid w:val="00D45AFF"/>
    <w:rsid w:val="00D45DD1"/>
    <w:rsid w:val="00D47724"/>
    <w:rsid w:val="00D50AD9"/>
    <w:rsid w:val="00D561B2"/>
    <w:rsid w:val="00D5725B"/>
    <w:rsid w:val="00D649DC"/>
    <w:rsid w:val="00D65634"/>
    <w:rsid w:val="00D66136"/>
    <w:rsid w:val="00D724D1"/>
    <w:rsid w:val="00D72D36"/>
    <w:rsid w:val="00D74844"/>
    <w:rsid w:val="00D77A52"/>
    <w:rsid w:val="00D77DF1"/>
    <w:rsid w:val="00D81051"/>
    <w:rsid w:val="00D83C5F"/>
    <w:rsid w:val="00D850B7"/>
    <w:rsid w:val="00D86479"/>
    <w:rsid w:val="00D87345"/>
    <w:rsid w:val="00D93063"/>
    <w:rsid w:val="00D94B90"/>
    <w:rsid w:val="00D95442"/>
    <w:rsid w:val="00D977E1"/>
    <w:rsid w:val="00DA017C"/>
    <w:rsid w:val="00DA0DF7"/>
    <w:rsid w:val="00DA1456"/>
    <w:rsid w:val="00DA20D5"/>
    <w:rsid w:val="00DA544F"/>
    <w:rsid w:val="00DA5E1E"/>
    <w:rsid w:val="00DC20D1"/>
    <w:rsid w:val="00DC3D52"/>
    <w:rsid w:val="00DC45EE"/>
    <w:rsid w:val="00DC7D8A"/>
    <w:rsid w:val="00DD0744"/>
    <w:rsid w:val="00DD1CCB"/>
    <w:rsid w:val="00DD2882"/>
    <w:rsid w:val="00DD2F01"/>
    <w:rsid w:val="00DE49C9"/>
    <w:rsid w:val="00DE56FF"/>
    <w:rsid w:val="00DE61C8"/>
    <w:rsid w:val="00DE6D6E"/>
    <w:rsid w:val="00DF13F0"/>
    <w:rsid w:val="00DF66CD"/>
    <w:rsid w:val="00E05DF7"/>
    <w:rsid w:val="00E0629B"/>
    <w:rsid w:val="00E070EF"/>
    <w:rsid w:val="00E13277"/>
    <w:rsid w:val="00E134A8"/>
    <w:rsid w:val="00E13D53"/>
    <w:rsid w:val="00E14533"/>
    <w:rsid w:val="00E14A66"/>
    <w:rsid w:val="00E2352A"/>
    <w:rsid w:val="00E276B3"/>
    <w:rsid w:val="00E3134B"/>
    <w:rsid w:val="00E31C0A"/>
    <w:rsid w:val="00E33FA0"/>
    <w:rsid w:val="00E370AB"/>
    <w:rsid w:val="00E37933"/>
    <w:rsid w:val="00E42257"/>
    <w:rsid w:val="00E43000"/>
    <w:rsid w:val="00E45A8F"/>
    <w:rsid w:val="00E5045D"/>
    <w:rsid w:val="00E52619"/>
    <w:rsid w:val="00E55A18"/>
    <w:rsid w:val="00E572DB"/>
    <w:rsid w:val="00E65AD2"/>
    <w:rsid w:val="00E6719D"/>
    <w:rsid w:val="00E745AE"/>
    <w:rsid w:val="00E75F39"/>
    <w:rsid w:val="00E7672F"/>
    <w:rsid w:val="00E80A1F"/>
    <w:rsid w:val="00E810B6"/>
    <w:rsid w:val="00E91F6B"/>
    <w:rsid w:val="00E93460"/>
    <w:rsid w:val="00E94055"/>
    <w:rsid w:val="00E96DB6"/>
    <w:rsid w:val="00E976B5"/>
    <w:rsid w:val="00EB216D"/>
    <w:rsid w:val="00EB3FDE"/>
    <w:rsid w:val="00EB679F"/>
    <w:rsid w:val="00EC48EC"/>
    <w:rsid w:val="00EC6F66"/>
    <w:rsid w:val="00ED0FB0"/>
    <w:rsid w:val="00ED147A"/>
    <w:rsid w:val="00ED3933"/>
    <w:rsid w:val="00ED3BCE"/>
    <w:rsid w:val="00EE2604"/>
    <w:rsid w:val="00EE4A47"/>
    <w:rsid w:val="00EE4AA5"/>
    <w:rsid w:val="00EF18EA"/>
    <w:rsid w:val="00EF1E04"/>
    <w:rsid w:val="00EF1FEE"/>
    <w:rsid w:val="00F0155F"/>
    <w:rsid w:val="00F02094"/>
    <w:rsid w:val="00F05C84"/>
    <w:rsid w:val="00F1152A"/>
    <w:rsid w:val="00F120F4"/>
    <w:rsid w:val="00F16F0F"/>
    <w:rsid w:val="00F22F16"/>
    <w:rsid w:val="00F26E46"/>
    <w:rsid w:val="00F32AD3"/>
    <w:rsid w:val="00F401B9"/>
    <w:rsid w:val="00F40F8D"/>
    <w:rsid w:val="00F431EF"/>
    <w:rsid w:val="00F43498"/>
    <w:rsid w:val="00F43866"/>
    <w:rsid w:val="00F45507"/>
    <w:rsid w:val="00F52C40"/>
    <w:rsid w:val="00F53C8A"/>
    <w:rsid w:val="00F5431E"/>
    <w:rsid w:val="00F54688"/>
    <w:rsid w:val="00F5584D"/>
    <w:rsid w:val="00F57C64"/>
    <w:rsid w:val="00F61F98"/>
    <w:rsid w:val="00F64C8E"/>
    <w:rsid w:val="00F673FD"/>
    <w:rsid w:val="00F718CF"/>
    <w:rsid w:val="00F8110D"/>
    <w:rsid w:val="00F851C3"/>
    <w:rsid w:val="00F90484"/>
    <w:rsid w:val="00F923B0"/>
    <w:rsid w:val="00FA2A53"/>
    <w:rsid w:val="00FA33DF"/>
    <w:rsid w:val="00FB2BDF"/>
    <w:rsid w:val="00FB2E1D"/>
    <w:rsid w:val="00FB37B0"/>
    <w:rsid w:val="00FB6020"/>
    <w:rsid w:val="00FC0197"/>
    <w:rsid w:val="00FC2B7D"/>
    <w:rsid w:val="00FC2E3D"/>
    <w:rsid w:val="00FD1F89"/>
    <w:rsid w:val="00FD3A11"/>
    <w:rsid w:val="00FD3D22"/>
    <w:rsid w:val="00FD4061"/>
    <w:rsid w:val="00FD577E"/>
    <w:rsid w:val="00FD62E5"/>
    <w:rsid w:val="00FD6E85"/>
    <w:rsid w:val="00FD7A19"/>
    <w:rsid w:val="00FE128C"/>
    <w:rsid w:val="00FE35FF"/>
    <w:rsid w:val="00FE3F7A"/>
    <w:rsid w:val="00FE53A4"/>
    <w:rsid w:val="00FE66B1"/>
    <w:rsid w:val="00FE7A26"/>
    <w:rsid w:val="00FF1ACB"/>
    <w:rsid w:val="00FF4768"/>
    <w:rsid w:val="00FF6DE6"/>
    <w:rsid w:val="00FF7784"/>
    <w:rsid w:val="00FF7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3859DF"/>
  <w15:chartTrackingRefBased/>
  <w15:docId w15:val="{F5803E8C-6FC0-408F-B339-6D2AC30A7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3434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3434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3434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D47724"/>
    <w:pPr>
      <w:ind w:left="720"/>
      <w:contextualSpacing/>
    </w:pPr>
  </w:style>
  <w:style w:type="character" w:styleId="Textedelespacerserv">
    <w:name w:val="Placeholder Text"/>
    <w:basedOn w:val="Policepardfaut"/>
    <w:uiPriority w:val="99"/>
    <w:semiHidden/>
    <w:rsid w:val="005E6FDA"/>
    <w:rPr>
      <w:color w:val="808080"/>
    </w:rPr>
  </w:style>
  <w:style w:type="paragraph" w:styleId="PrformatHTML">
    <w:name w:val="HTML Preformatted"/>
    <w:basedOn w:val="Normal"/>
    <w:link w:val="PrformatHTMLCar"/>
    <w:uiPriority w:val="99"/>
    <w:unhideWhenUsed/>
    <w:rsid w:val="00CE5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CE53FD"/>
    <w:rPr>
      <w:rFonts w:ascii="Courier New" w:eastAsia="Times New Roman" w:hAnsi="Courier New" w:cs="Courier New"/>
      <w:sz w:val="20"/>
      <w:szCs w:val="20"/>
      <w:lang w:val="fr-FR" w:eastAsia="fr-FR"/>
    </w:rPr>
  </w:style>
  <w:style w:type="character" w:customStyle="1" w:styleId="gd15mcfceub">
    <w:name w:val="gd15mcfceub"/>
    <w:basedOn w:val="Policepardfaut"/>
    <w:rsid w:val="00CE53FD"/>
  </w:style>
  <w:style w:type="table" w:styleId="Tableausimple5">
    <w:name w:val="Plain Table 5"/>
    <w:basedOn w:val="TableauNormal"/>
    <w:uiPriority w:val="45"/>
    <w:rsid w:val="00E14A6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Grid1">
    <w:name w:val="Table Grid1"/>
    <w:basedOn w:val="TableauNormal"/>
    <w:next w:val="Grilledutableau"/>
    <w:uiPriority w:val="39"/>
    <w:rsid w:val="00662C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utableau">
    <w:name w:val="Table Grid"/>
    <w:basedOn w:val="TableauNormal"/>
    <w:uiPriority w:val="39"/>
    <w:rsid w:val="00662C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hedelisteCar">
    <w:name w:val="Paragraphe de liste Car"/>
    <w:basedOn w:val="Policepardfaut"/>
    <w:link w:val="Paragraphedeliste"/>
    <w:uiPriority w:val="34"/>
    <w:rsid w:val="004750E8"/>
    <w:rPr>
      <w:lang w:val="fr-FR"/>
    </w:rPr>
  </w:style>
  <w:style w:type="table" w:styleId="Tableausimple4">
    <w:name w:val="Plain Table 4"/>
    <w:basedOn w:val="TableauNormal"/>
    <w:uiPriority w:val="44"/>
    <w:rsid w:val="0016187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4415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1">
    <w:name w:val="Plain Table 1"/>
    <w:basedOn w:val="TableauNormal"/>
    <w:uiPriority w:val="41"/>
    <w:rsid w:val="003E472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arquedecommentaire">
    <w:name w:val="annotation reference"/>
    <w:basedOn w:val="Policepardfaut"/>
    <w:uiPriority w:val="99"/>
    <w:semiHidden/>
    <w:unhideWhenUsed/>
    <w:rsid w:val="007C6650"/>
    <w:rPr>
      <w:sz w:val="16"/>
      <w:szCs w:val="16"/>
    </w:rPr>
  </w:style>
  <w:style w:type="paragraph" w:styleId="Commentaire">
    <w:name w:val="annotation text"/>
    <w:basedOn w:val="Normal"/>
    <w:link w:val="CommentaireCar"/>
    <w:uiPriority w:val="99"/>
    <w:semiHidden/>
    <w:unhideWhenUsed/>
    <w:rsid w:val="007C6650"/>
    <w:pPr>
      <w:spacing w:line="240" w:lineRule="auto"/>
    </w:pPr>
    <w:rPr>
      <w:sz w:val="20"/>
      <w:szCs w:val="20"/>
    </w:rPr>
  </w:style>
  <w:style w:type="character" w:customStyle="1" w:styleId="CommentaireCar">
    <w:name w:val="Commentaire Car"/>
    <w:basedOn w:val="Policepardfaut"/>
    <w:link w:val="Commentaire"/>
    <w:uiPriority w:val="99"/>
    <w:semiHidden/>
    <w:rsid w:val="007C6650"/>
    <w:rPr>
      <w:sz w:val="20"/>
      <w:szCs w:val="20"/>
      <w:lang w:val="fr-FR"/>
    </w:rPr>
  </w:style>
  <w:style w:type="paragraph" w:styleId="Objetducommentaire">
    <w:name w:val="annotation subject"/>
    <w:basedOn w:val="Commentaire"/>
    <w:next w:val="Commentaire"/>
    <w:link w:val="ObjetducommentaireCar"/>
    <w:uiPriority w:val="99"/>
    <w:semiHidden/>
    <w:unhideWhenUsed/>
    <w:rsid w:val="007C6650"/>
    <w:rPr>
      <w:b/>
      <w:bCs/>
    </w:rPr>
  </w:style>
  <w:style w:type="character" w:customStyle="1" w:styleId="ObjetducommentaireCar">
    <w:name w:val="Objet du commentaire Car"/>
    <w:basedOn w:val="CommentaireCar"/>
    <w:link w:val="Objetducommentaire"/>
    <w:uiPriority w:val="99"/>
    <w:semiHidden/>
    <w:rsid w:val="007C6650"/>
    <w:rPr>
      <w:b/>
      <w:bCs/>
      <w:sz w:val="20"/>
      <w:szCs w:val="20"/>
      <w:lang w:val="fr-FR"/>
    </w:rPr>
  </w:style>
  <w:style w:type="paragraph" w:styleId="Textedebulles">
    <w:name w:val="Balloon Text"/>
    <w:basedOn w:val="Normal"/>
    <w:link w:val="TextedebullesCar"/>
    <w:uiPriority w:val="99"/>
    <w:semiHidden/>
    <w:unhideWhenUsed/>
    <w:rsid w:val="007C665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C6650"/>
    <w:rPr>
      <w:rFonts w:ascii="Segoe UI" w:hAnsi="Segoe UI" w:cs="Segoe UI"/>
      <w:sz w:val="18"/>
      <w:szCs w:val="18"/>
      <w:lang w:val="fr-FR"/>
    </w:rPr>
  </w:style>
  <w:style w:type="paragraph" w:styleId="Lgende">
    <w:name w:val="caption"/>
    <w:basedOn w:val="Normal"/>
    <w:next w:val="Normal"/>
    <w:uiPriority w:val="35"/>
    <w:unhideWhenUsed/>
    <w:qFormat/>
    <w:rsid w:val="0058383F"/>
    <w:pPr>
      <w:spacing w:after="200" w:line="240" w:lineRule="auto"/>
    </w:pPr>
    <w:rPr>
      <w:i/>
      <w:iCs/>
      <w:color w:val="44546A" w:themeColor="text2"/>
      <w:sz w:val="18"/>
      <w:szCs w:val="18"/>
    </w:rPr>
  </w:style>
  <w:style w:type="paragraph" w:styleId="Notedebasdepage">
    <w:name w:val="footnote text"/>
    <w:basedOn w:val="Normal"/>
    <w:link w:val="NotedebasdepageCar"/>
    <w:uiPriority w:val="99"/>
    <w:semiHidden/>
    <w:unhideWhenUsed/>
    <w:rsid w:val="00AF27E8"/>
    <w:pPr>
      <w:spacing w:after="0" w:line="240" w:lineRule="auto"/>
    </w:pPr>
    <w:rPr>
      <w:rFonts w:eastAsiaTheme="minorHAnsi"/>
      <w:sz w:val="20"/>
      <w:szCs w:val="20"/>
    </w:rPr>
  </w:style>
  <w:style w:type="character" w:customStyle="1" w:styleId="NotedebasdepageCar">
    <w:name w:val="Note de bas de page Car"/>
    <w:basedOn w:val="Policepardfaut"/>
    <w:link w:val="Notedebasdepage"/>
    <w:uiPriority w:val="99"/>
    <w:semiHidden/>
    <w:rsid w:val="00AF27E8"/>
    <w:rPr>
      <w:rFonts w:eastAsiaTheme="minorHAnsi"/>
      <w:sz w:val="20"/>
      <w:szCs w:val="20"/>
      <w:lang w:val="fr-FR"/>
    </w:rPr>
  </w:style>
  <w:style w:type="character" w:styleId="Appelnotedebasdep">
    <w:name w:val="footnote reference"/>
    <w:basedOn w:val="Policepardfaut"/>
    <w:uiPriority w:val="99"/>
    <w:semiHidden/>
    <w:unhideWhenUsed/>
    <w:rsid w:val="00AF27E8"/>
    <w:rPr>
      <w:vertAlign w:val="superscript"/>
    </w:rPr>
  </w:style>
  <w:style w:type="paragraph" w:customStyle="1" w:styleId="texte">
    <w:name w:val="texte"/>
    <w:basedOn w:val="Normal"/>
    <w:rsid w:val="00AF27E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CD5C84"/>
    <w:rPr>
      <w:i/>
      <w:iCs/>
    </w:rPr>
  </w:style>
  <w:style w:type="character" w:styleId="Lienhypertexte">
    <w:name w:val="Hyperlink"/>
    <w:basedOn w:val="Policepardfaut"/>
    <w:uiPriority w:val="99"/>
    <w:unhideWhenUsed/>
    <w:rsid w:val="000E2199"/>
    <w:rPr>
      <w:color w:val="0000FF"/>
      <w:u w:val="single"/>
    </w:rPr>
  </w:style>
  <w:style w:type="paragraph" w:styleId="Sansinterligne">
    <w:name w:val="No Spacing"/>
    <w:link w:val="SansinterligneCar"/>
    <w:uiPriority w:val="1"/>
    <w:qFormat/>
    <w:rsid w:val="00F0155F"/>
    <w:pPr>
      <w:spacing w:after="0" w:line="240" w:lineRule="auto"/>
    </w:pPr>
    <w:rPr>
      <w:rFonts w:eastAsiaTheme="minorEastAsia"/>
    </w:rPr>
  </w:style>
  <w:style w:type="character" w:customStyle="1" w:styleId="SansinterligneCar">
    <w:name w:val="Sans interligne Car"/>
    <w:basedOn w:val="Policepardfaut"/>
    <w:link w:val="Sansinterligne"/>
    <w:uiPriority w:val="1"/>
    <w:rsid w:val="00F0155F"/>
    <w:rPr>
      <w:rFonts w:eastAsiaTheme="minorEastAsia"/>
    </w:rPr>
  </w:style>
  <w:style w:type="character" w:customStyle="1" w:styleId="Titre1Car">
    <w:name w:val="Titre 1 Car"/>
    <w:basedOn w:val="Policepardfaut"/>
    <w:link w:val="Titre1"/>
    <w:uiPriority w:val="9"/>
    <w:rsid w:val="00343426"/>
    <w:rPr>
      <w:rFonts w:asciiTheme="majorHAnsi" w:eastAsiaTheme="majorEastAsia" w:hAnsiTheme="majorHAnsi" w:cstheme="majorBidi"/>
      <w:color w:val="2E74B5" w:themeColor="accent1" w:themeShade="BF"/>
      <w:sz w:val="32"/>
      <w:szCs w:val="32"/>
      <w:lang w:val="fr-FR"/>
    </w:rPr>
  </w:style>
  <w:style w:type="character" w:customStyle="1" w:styleId="Titre2Car">
    <w:name w:val="Titre 2 Car"/>
    <w:basedOn w:val="Policepardfaut"/>
    <w:link w:val="Titre2"/>
    <w:uiPriority w:val="9"/>
    <w:rsid w:val="00343426"/>
    <w:rPr>
      <w:rFonts w:asciiTheme="majorHAnsi" w:eastAsiaTheme="majorEastAsia" w:hAnsiTheme="majorHAnsi" w:cstheme="majorBidi"/>
      <w:color w:val="2E74B5" w:themeColor="accent1" w:themeShade="BF"/>
      <w:sz w:val="26"/>
      <w:szCs w:val="26"/>
      <w:lang w:val="fr-FR"/>
    </w:rPr>
  </w:style>
  <w:style w:type="character" w:customStyle="1" w:styleId="Titre3Car">
    <w:name w:val="Titre 3 Car"/>
    <w:basedOn w:val="Policepardfaut"/>
    <w:link w:val="Titre3"/>
    <w:uiPriority w:val="9"/>
    <w:rsid w:val="00343426"/>
    <w:rPr>
      <w:rFonts w:asciiTheme="majorHAnsi" w:eastAsiaTheme="majorEastAsia" w:hAnsiTheme="majorHAnsi" w:cstheme="majorBidi"/>
      <w:color w:val="1F4D78" w:themeColor="accent1" w:themeShade="7F"/>
      <w:sz w:val="24"/>
      <w:szCs w:val="24"/>
      <w:lang w:val="fr-FR"/>
    </w:rPr>
  </w:style>
  <w:style w:type="paragraph" w:styleId="En-tte">
    <w:name w:val="header"/>
    <w:basedOn w:val="Normal"/>
    <w:link w:val="En-tteCar"/>
    <w:uiPriority w:val="99"/>
    <w:unhideWhenUsed/>
    <w:rsid w:val="00F61F98"/>
    <w:pPr>
      <w:tabs>
        <w:tab w:val="center" w:pos="4513"/>
        <w:tab w:val="right" w:pos="9026"/>
      </w:tabs>
      <w:spacing w:after="0" w:line="240" w:lineRule="auto"/>
    </w:pPr>
  </w:style>
  <w:style w:type="character" w:customStyle="1" w:styleId="En-tteCar">
    <w:name w:val="En-tête Car"/>
    <w:basedOn w:val="Policepardfaut"/>
    <w:link w:val="En-tte"/>
    <w:uiPriority w:val="99"/>
    <w:rsid w:val="00F61F98"/>
    <w:rPr>
      <w:lang w:val="fr-FR"/>
    </w:rPr>
  </w:style>
  <w:style w:type="paragraph" w:styleId="Pieddepage">
    <w:name w:val="footer"/>
    <w:basedOn w:val="Normal"/>
    <w:link w:val="PieddepageCar"/>
    <w:uiPriority w:val="99"/>
    <w:unhideWhenUsed/>
    <w:rsid w:val="00F61F98"/>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F61F98"/>
    <w:rPr>
      <w:lang w:val="fr-FR"/>
    </w:rPr>
  </w:style>
  <w:style w:type="paragraph" w:styleId="En-ttedetabledesmatires">
    <w:name w:val="TOC Heading"/>
    <w:basedOn w:val="Titre1"/>
    <w:next w:val="Normal"/>
    <w:uiPriority w:val="39"/>
    <w:unhideWhenUsed/>
    <w:qFormat/>
    <w:rsid w:val="00103218"/>
    <w:pPr>
      <w:outlineLvl w:val="9"/>
    </w:pPr>
    <w:rPr>
      <w:lang w:val="en-US"/>
    </w:rPr>
  </w:style>
  <w:style w:type="paragraph" w:styleId="TM1">
    <w:name w:val="toc 1"/>
    <w:basedOn w:val="Normal"/>
    <w:next w:val="Normal"/>
    <w:autoRedefine/>
    <w:uiPriority w:val="39"/>
    <w:unhideWhenUsed/>
    <w:rsid w:val="00103218"/>
    <w:pPr>
      <w:spacing w:after="100"/>
    </w:pPr>
  </w:style>
  <w:style w:type="paragraph" w:styleId="TM2">
    <w:name w:val="toc 2"/>
    <w:basedOn w:val="Normal"/>
    <w:next w:val="Normal"/>
    <w:autoRedefine/>
    <w:uiPriority w:val="39"/>
    <w:unhideWhenUsed/>
    <w:rsid w:val="00103218"/>
    <w:pPr>
      <w:spacing w:after="100"/>
      <w:ind w:left="220"/>
    </w:pPr>
  </w:style>
  <w:style w:type="paragraph" w:styleId="TM3">
    <w:name w:val="toc 3"/>
    <w:basedOn w:val="Normal"/>
    <w:next w:val="Normal"/>
    <w:autoRedefine/>
    <w:uiPriority w:val="39"/>
    <w:unhideWhenUsed/>
    <w:rsid w:val="0010321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99440">
      <w:bodyDiv w:val="1"/>
      <w:marLeft w:val="0"/>
      <w:marRight w:val="0"/>
      <w:marTop w:val="0"/>
      <w:marBottom w:val="0"/>
      <w:divBdr>
        <w:top w:val="none" w:sz="0" w:space="0" w:color="auto"/>
        <w:left w:val="none" w:sz="0" w:space="0" w:color="auto"/>
        <w:bottom w:val="none" w:sz="0" w:space="0" w:color="auto"/>
        <w:right w:val="none" w:sz="0" w:space="0" w:color="auto"/>
      </w:divBdr>
    </w:div>
    <w:div w:id="70322245">
      <w:bodyDiv w:val="1"/>
      <w:marLeft w:val="0"/>
      <w:marRight w:val="0"/>
      <w:marTop w:val="0"/>
      <w:marBottom w:val="0"/>
      <w:divBdr>
        <w:top w:val="none" w:sz="0" w:space="0" w:color="auto"/>
        <w:left w:val="none" w:sz="0" w:space="0" w:color="auto"/>
        <w:bottom w:val="none" w:sz="0" w:space="0" w:color="auto"/>
        <w:right w:val="none" w:sz="0" w:space="0" w:color="auto"/>
      </w:divBdr>
    </w:div>
    <w:div w:id="105849323">
      <w:bodyDiv w:val="1"/>
      <w:marLeft w:val="0"/>
      <w:marRight w:val="0"/>
      <w:marTop w:val="0"/>
      <w:marBottom w:val="0"/>
      <w:divBdr>
        <w:top w:val="none" w:sz="0" w:space="0" w:color="auto"/>
        <w:left w:val="none" w:sz="0" w:space="0" w:color="auto"/>
        <w:bottom w:val="none" w:sz="0" w:space="0" w:color="auto"/>
        <w:right w:val="none" w:sz="0" w:space="0" w:color="auto"/>
      </w:divBdr>
    </w:div>
    <w:div w:id="115367849">
      <w:bodyDiv w:val="1"/>
      <w:marLeft w:val="0"/>
      <w:marRight w:val="0"/>
      <w:marTop w:val="0"/>
      <w:marBottom w:val="0"/>
      <w:divBdr>
        <w:top w:val="none" w:sz="0" w:space="0" w:color="auto"/>
        <w:left w:val="none" w:sz="0" w:space="0" w:color="auto"/>
        <w:bottom w:val="none" w:sz="0" w:space="0" w:color="auto"/>
        <w:right w:val="none" w:sz="0" w:space="0" w:color="auto"/>
      </w:divBdr>
    </w:div>
    <w:div w:id="165051930">
      <w:bodyDiv w:val="1"/>
      <w:marLeft w:val="0"/>
      <w:marRight w:val="0"/>
      <w:marTop w:val="0"/>
      <w:marBottom w:val="0"/>
      <w:divBdr>
        <w:top w:val="none" w:sz="0" w:space="0" w:color="auto"/>
        <w:left w:val="none" w:sz="0" w:space="0" w:color="auto"/>
        <w:bottom w:val="none" w:sz="0" w:space="0" w:color="auto"/>
        <w:right w:val="none" w:sz="0" w:space="0" w:color="auto"/>
      </w:divBdr>
    </w:div>
    <w:div w:id="176113988">
      <w:bodyDiv w:val="1"/>
      <w:marLeft w:val="0"/>
      <w:marRight w:val="0"/>
      <w:marTop w:val="0"/>
      <w:marBottom w:val="0"/>
      <w:divBdr>
        <w:top w:val="none" w:sz="0" w:space="0" w:color="auto"/>
        <w:left w:val="none" w:sz="0" w:space="0" w:color="auto"/>
        <w:bottom w:val="none" w:sz="0" w:space="0" w:color="auto"/>
        <w:right w:val="none" w:sz="0" w:space="0" w:color="auto"/>
      </w:divBdr>
    </w:div>
    <w:div w:id="236869066">
      <w:bodyDiv w:val="1"/>
      <w:marLeft w:val="0"/>
      <w:marRight w:val="0"/>
      <w:marTop w:val="0"/>
      <w:marBottom w:val="0"/>
      <w:divBdr>
        <w:top w:val="none" w:sz="0" w:space="0" w:color="auto"/>
        <w:left w:val="none" w:sz="0" w:space="0" w:color="auto"/>
        <w:bottom w:val="none" w:sz="0" w:space="0" w:color="auto"/>
        <w:right w:val="none" w:sz="0" w:space="0" w:color="auto"/>
      </w:divBdr>
    </w:div>
    <w:div w:id="247278046">
      <w:bodyDiv w:val="1"/>
      <w:marLeft w:val="0"/>
      <w:marRight w:val="0"/>
      <w:marTop w:val="0"/>
      <w:marBottom w:val="0"/>
      <w:divBdr>
        <w:top w:val="none" w:sz="0" w:space="0" w:color="auto"/>
        <w:left w:val="none" w:sz="0" w:space="0" w:color="auto"/>
        <w:bottom w:val="none" w:sz="0" w:space="0" w:color="auto"/>
        <w:right w:val="none" w:sz="0" w:space="0" w:color="auto"/>
      </w:divBdr>
    </w:div>
    <w:div w:id="282200421">
      <w:bodyDiv w:val="1"/>
      <w:marLeft w:val="0"/>
      <w:marRight w:val="0"/>
      <w:marTop w:val="0"/>
      <w:marBottom w:val="0"/>
      <w:divBdr>
        <w:top w:val="none" w:sz="0" w:space="0" w:color="auto"/>
        <w:left w:val="none" w:sz="0" w:space="0" w:color="auto"/>
        <w:bottom w:val="none" w:sz="0" w:space="0" w:color="auto"/>
        <w:right w:val="none" w:sz="0" w:space="0" w:color="auto"/>
      </w:divBdr>
    </w:div>
    <w:div w:id="366417517">
      <w:bodyDiv w:val="1"/>
      <w:marLeft w:val="0"/>
      <w:marRight w:val="0"/>
      <w:marTop w:val="0"/>
      <w:marBottom w:val="0"/>
      <w:divBdr>
        <w:top w:val="none" w:sz="0" w:space="0" w:color="auto"/>
        <w:left w:val="none" w:sz="0" w:space="0" w:color="auto"/>
        <w:bottom w:val="none" w:sz="0" w:space="0" w:color="auto"/>
        <w:right w:val="none" w:sz="0" w:space="0" w:color="auto"/>
      </w:divBdr>
    </w:div>
    <w:div w:id="397940120">
      <w:bodyDiv w:val="1"/>
      <w:marLeft w:val="0"/>
      <w:marRight w:val="0"/>
      <w:marTop w:val="0"/>
      <w:marBottom w:val="0"/>
      <w:divBdr>
        <w:top w:val="none" w:sz="0" w:space="0" w:color="auto"/>
        <w:left w:val="none" w:sz="0" w:space="0" w:color="auto"/>
        <w:bottom w:val="none" w:sz="0" w:space="0" w:color="auto"/>
        <w:right w:val="none" w:sz="0" w:space="0" w:color="auto"/>
      </w:divBdr>
    </w:div>
    <w:div w:id="475148942">
      <w:bodyDiv w:val="1"/>
      <w:marLeft w:val="0"/>
      <w:marRight w:val="0"/>
      <w:marTop w:val="0"/>
      <w:marBottom w:val="0"/>
      <w:divBdr>
        <w:top w:val="none" w:sz="0" w:space="0" w:color="auto"/>
        <w:left w:val="none" w:sz="0" w:space="0" w:color="auto"/>
        <w:bottom w:val="none" w:sz="0" w:space="0" w:color="auto"/>
        <w:right w:val="none" w:sz="0" w:space="0" w:color="auto"/>
      </w:divBdr>
    </w:div>
    <w:div w:id="528298835">
      <w:bodyDiv w:val="1"/>
      <w:marLeft w:val="0"/>
      <w:marRight w:val="0"/>
      <w:marTop w:val="0"/>
      <w:marBottom w:val="0"/>
      <w:divBdr>
        <w:top w:val="none" w:sz="0" w:space="0" w:color="auto"/>
        <w:left w:val="none" w:sz="0" w:space="0" w:color="auto"/>
        <w:bottom w:val="none" w:sz="0" w:space="0" w:color="auto"/>
        <w:right w:val="none" w:sz="0" w:space="0" w:color="auto"/>
      </w:divBdr>
    </w:div>
    <w:div w:id="552009793">
      <w:bodyDiv w:val="1"/>
      <w:marLeft w:val="0"/>
      <w:marRight w:val="0"/>
      <w:marTop w:val="0"/>
      <w:marBottom w:val="0"/>
      <w:divBdr>
        <w:top w:val="none" w:sz="0" w:space="0" w:color="auto"/>
        <w:left w:val="none" w:sz="0" w:space="0" w:color="auto"/>
        <w:bottom w:val="none" w:sz="0" w:space="0" w:color="auto"/>
        <w:right w:val="none" w:sz="0" w:space="0" w:color="auto"/>
      </w:divBdr>
    </w:div>
    <w:div w:id="569734780">
      <w:bodyDiv w:val="1"/>
      <w:marLeft w:val="0"/>
      <w:marRight w:val="0"/>
      <w:marTop w:val="0"/>
      <w:marBottom w:val="0"/>
      <w:divBdr>
        <w:top w:val="none" w:sz="0" w:space="0" w:color="auto"/>
        <w:left w:val="none" w:sz="0" w:space="0" w:color="auto"/>
        <w:bottom w:val="none" w:sz="0" w:space="0" w:color="auto"/>
        <w:right w:val="none" w:sz="0" w:space="0" w:color="auto"/>
      </w:divBdr>
    </w:div>
    <w:div w:id="595942072">
      <w:bodyDiv w:val="1"/>
      <w:marLeft w:val="0"/>
      <w:marRight w:val="0"/>
      <w:marTop w:val="0"/>
      <w:marBottom w:val="0"/>
      <w:divBdr>
        <w:top w:val="none" w:sz="0" w:space="0" w:color="auto"/>
        <w:left w:val="none" w:sz="0" w:space="0" w:color="auto"/>
        <w:bottom w:val="none" w:sz="0" w:space="0" w:color="auto"/>
        <w:right w:val="none" w:sz="0" w:space="0" w:color="auto"/>
      </w:divBdr>
    </w:div>
    <w:div w:id="684286705">
      <w:bodyDiv w:val="1"/>
      <w:marLeft w:val="0"/>
      <w:marRight w:val="0"/>
      <w:marTop w:val="0"/>
      <w:marBottom w:val="0"/>
      <w:divBdr>
        <w:top w:val="none" w:sz="0" w:space="0" w:color="auto"/>
        <w:left w:val="none" w:sz="0" w:space="0" w:color="auto"/>
        <w:bottom w:val="none" w:sz="0" w:space="0" w:color="auto"/>
        <w:right w:val="none" w:sz="0" w:space="0" w:color="auto"/>
      </w:divBdr>
    </w:div>
    <w:div w:id="769744205">
      <w:bodyDiv w:val="1"/>
      <w:marLeft w:val="0"/>
      <w:marRight w:val="0"/>
      <w:marTop w:val="0"/>
      <w:marBottom w:val="0"/>
      <w:divBdr>
        <w:top w:val="none" w:sz="0" w:space="0" w:color="auto"/>
        <w:left w:val="none" w:sz="0" w:space="0" w:color="auto"/>
        <w:bottom w:val="none" w:sz="0" w:space="0" w:color="auto"/>
        <w:right w:val="none" w:sz="0" w:space="0" w:color="auto"/>
      </w:divBdr>
    </w:div>
    <w:div w:id="816454686">
      <w:bodyDiv w:val="1"/>
      <w:marLeft w:val="0"/>
      <w:marRight w:val="0"/>
      <w:marTop w:val="0"/>
      <w:marBottom w:val="0"/>
      <w:divBdr>
        <w:top w:val="none" w:sz="0" w:space="0" w:color="auto"/>
        <w:left w:val="none" w:sz="0" w:space="0" w:color="auto"/>
        <w:bottom w:val="none" w:sz="0" w:space="0" w:color="auto"/>
        <w:right w:val="none" w:sz="0" w:space="0" w:color="auto"/>
      </w:divBdr>
    </w:div>
    <w:div w:id="823663082">
      <w:bodyDiv w:val="1"/>
      <w:marLeft w:val="0"/>
      <w:marRight w:val="0"/>
      <w:marTop w:val="0"/>
      <w:marBottom w:val="0"/>
      <w:divBdr>
        <w:top w:val="none" w:sz="0" w:space="0" w:color="auto"/>
        <w:left w:val="none" w:sz="0" w:space="0" w:color="auto"/>
        <w:bottom w:val="none" w:sz="0" w:space="0" w:color="auto"/>
        <w:right w:val="none" w:sz="0" w:space="0" w:color="auto"/>
      </w:divBdr>
    </w:div>
    <w:div w:id="859011722">
      <w:bodyDiv w:val="1"/>
      <w:marLeft w:val="0"/>
      <w:marRight w:val="0"/>
      <w:marTop w:val="0"/>
      <w:marBottom w:val="0"/>
      <w:divBdr>
        <w:top w:val="none" w:sz="0" w:space="0" w:color="auto"/>
        <w:left w:val="none" w:sz="0" w:space="0" w:color="auto"/>
        <w:bottom w:val="none" w:sz="0" w:space="0" w:color="auto"/>
        <w:right w:val="none" w:sz="0" w:space="0" w:color="auto"/>
      </w:divBdr>
    </w:div>
    <w:div w:id="861670253">
      <w:bodyDiv w:val="1"/>
      <w:marLeft w:val="0"/>
      <w:marRight w:val="0"/>
      <w:marTop w:val="0"/>
      <w:marBottom w:val="0"/>
      <w:divBdr>
        <w:top w:val="none" w:sz="0" w:space="0" w:color="auto"/>
        <w:left w:val="none" w:sz="0" w:space="0" w:color="auto"/>
        <w:bottom w:val="none" w:sz="0" w:space="0" w:color="auto"/>
        <w:right w:val="none" w:sz="0" w:space="0" w:color="auto"/>
      </w:divBdr>
    </w:div>
    <w:div w:id="881867369">
      <w:bodyDiv w:val="1"/>
      <w:marLeft w:val="0"/>
      <w:marRight w:val="0"/>
      <w:marTop w:val="0"/>
      <w:marBottom w:val="0"/>
      <w:divBdr>
        <w:top w:val="none" w:sz="0" w:space="0" w:color="auto"/>
        <w:left w:val="none" w:sz="0" w:space="0" w:color="auto"/>
        <w:bottom w:val="none" w:sz="0" w:space="0" w:color="auto"/>
        <w:right w:val="none" w:sz="0" w:space="0" w:color="auto"/>
      </w:divBdr>
    </w:div>
    <w:div w:id="952127469">
      <w:bodyDiv w:val="1"/>
      <w:marLeft w:val="0"/>
      <w:marRight w:val="0"/>
      <w:marTop w:val="0"/>
      <w:marBottom w:val="0"/>
      <w:divBdr>
        <w:top w:val="none" w:sz="0" w:space="0" w:color="auto"/>
        <w:left w:val="none" w:sz="0" w:space="0" w:color="auto"/>
        <w:bottom w:val="none" w:sz="0" w:space="0" w:color="auto"/>
        <w:right w:val="none" w:sz="0" w:space="0" w:color="auto"/>
      </w:divBdr>
    </w:div>
    <w:div w:id="963267871">
      <w:bodyDiv w:val="1"/>
      <w:marLeft w:val="0"/>
      <w:marRight w:val="0"/>
      <w:marTop w:val="0"/>
      <w:marBottom w:val="0"/>
      <w:divBdr>
        <w:top w:val="none" w:sz="0" w:space="0" w:color="auto"/>
        <w:left w:val="none" w:sz="0" w:space="0" w:color="auto"/>
        <w:bottom w:val="none" w:sz="0" w:space="0" w:color="auto"/>
        <w:right w:val="none" w:sz="0" w:space="0" w:color="auto"/>
      </w:divBdr>
    </w:div>
    <w:div w:id="975914273">
      <w:bodyDiv w:val="1"/>
      <w:marLeft w:val="0"/>
      <w:marRight w:val="0"/>
      <w:marTop w:val="0"/>
      <w:marBottom w:val="0"/>
      <w:divBdr>
        <w:top w:val="none" w:sz="0" w:space="0" w:color="auto"/>
        <w:left w:val="none" w:sz="0" w:space="0" w:color="auto"/>
        <w:bottom w:val="none" w:sz="0" w:space="0" w:color="auto"/>
        <w:right w:val="none" w:sz="0" w:space="0" w:color="auto"/>
      </w:divBdr>
    </w:div>
    <w:div w:id="1007557614">
      <w:bodyDiv w:val="1"/>
      <w:marLeft w:val="0"/>
      <w:marRight w:val="0"/>
      <w:marTop w:val="0"/>
      <w:marBottom w:val="0"/>
      <w:divBdr>
        <w:top w:val="none" w:sz="0" w:space="0" w:color="auto"/>
        <w:left w:val="none" w:sz="0" w:space="0" w:color="auto"/>
        <w:bottom w:val="none" w:sz="0" w:space="0" w:color="auto"/>
        <w:right w:val="none" w:sz="0" w:space="0" w:color="auto"/>
      </w:divBdr>
    </w:div>
    <w:div w:id="1008026668">
      <w:bodyDiv w:val="1"/>
      <w:marLeft w:val="0"/>
      <w:marRight w:val="0"/>
      <w:marTop w:val="0"/>
      <w:marBottom w:val="0"/>
      <w:divBdr>
        <w:top w:val="none" w:sz="0" w:space="0" w:color="auto"/>
        <w:left w:val="none" w:sz="0" w:space="0" w:color="auto"/>
        <w:bottom w:val="none" w:sz="0" w:space="0" w:color="auto"/>
        <w:right w:val="none" w:sz="0" w:space="0" w:color="auto"/>
      </w:divBdr>
    </w:div>
    <w:div w:id="1089228857">
      <w:bodyDiv w:val="1"/>
      <w:marLeft w:val="0"/>
      <w:marRight w:val="0"/>
      <w:marTop w:val="0"/>
      <w:marBottom w:val="0"/>
      <w:divBdr>
        <w:top w:val="none" w:sz="0" w:space="0" w:color="auto"/>
        <w:left w:val="none" w:sz="0" w:space="0" w:color="auto"/>
        <w:bottom w:val="none" w:sz="0" w:space="0" w:color="auto"/>
        <w:right w:val="none" w:sz="0" w:space="0" w:color="auto"/>
      </w:divBdr>
    </w:div>
    <w:div w:id="1123622502">
      <w:bodyDiv w:val="1"/>
      <w:marLeft w:val="0"/>
      <w:marRight w:val="0"/>
      <w:marTop w:val="0"/>
      <w:marBottom w:val="0"/>
      <w:divBdr>
        <w:top w:val="none" w:sz="0" w:space="0" w:color="auto"/>
        <w:left w:val="none" w:sz="0" w:space="0" w:color="auto"/>
        <w:bottom w:val="none" w:sz="0" w:space="0" w:color="auto"/>
        <w:right w:val="none" w:sz="0" w:space="0" w:color="auto"/>
      </w:divBdr>
    </w:div>
    <w:div w:id="1165392694">
      <w:bodyDiv w:val="1"/>
      <w:marLeft w:val="0"/>
      <w:marRight w:val="0"/>
      <w:marTop w:val="0"/>
      <w:marBottom w:val="0"/>
      <w:divBdr>
        <w:top w:val="none" w:sz="0" w:space="0" w:color="auto"/>
        <w:left w:val="none" w:sz="0" w:space="0" w:color="auto"/>
        <w:bottom w:val="none" w:sz="0" w:space="0" w:color="auto"/>
        <w:right w:val="none" w:sz="0" w:space="0" w:color="auto"/>
      </w:divBdr>
    </w:div>
    <w:div w:id="1178815575">
      <w:bodyDiv w:val="1"/>
      <w:marLeft w:val="0"/>
      <w:marRight w:val="0"/>
      <w:marTop w:val="0"/>
      <w:marBottom w:val="0"/>
      <w:divBdr>
        <w:top w:val="none" w:sz="0" w:space="0" w:color="auto"/>
        <w:left w:val="none" w:sz="0" w:space="0" w:color="auto"/>
        <w:bottom w:val="none" w:sz="0" w:space="0" w:color="auto"/>
        <w:right w:val="none" w:sz="0" w:space="0" w:color="auto"/>
      </w:divBdr>
    </w:div>
    <w:div w:id="1182940923">
      <w:bodyDiv w:val="1"/>
      <w:marLeft w:val="0"/>
      <w:marRight w:val="0"/>
      <w:marTop w:val="0"/>
      <w:marBottom w:val="0"/>
      <w:divBdr>
        <w:top w:val="none" w:sz="0" w:space="0" w:color="auto"/>
        <w:left w:val="none" w:sz="0" w:space="0" w:color="auto"/>
        <w:bottom w:val="none" w:sz="0" w:space="0" w:color="auto"/>
        <w:right w:val="none" w:sz="0" w:space="0" w:color="auto"/>
      </w:divBdr>
    </w:div>
    <w:div w:id="1195927155">
      <w:bodyDiv w:val="1"/>
      <w:marLeft w:val="0"/>
      <w:marRight w:val="0"/>
      <w:marTop w:val="0"/>
      <w:marBottom w:val="0"/>
      <w:divBdr>
        <w:top w:val="none" w:sz="0" w:space="0" w:color="auto"/>
        <w:left w:val="none" w:sz="0" w:space="0" w:color="auto"/>
        <w:bottom w:val="none" w:sz="0" w:space="0" w:color="auto"/>
        <w:right w:val="none" w:sz="0" w:space="0" w:color="auto"/>
      </w:divBdr>
    </w:div>
    <w:div w:id="1235581152">
      <w:bodyDiv w:val="1"/>
      <w:marLeft w:val="0"/>
      <w:marRight w:val="0"/>
      <w:marTop w:val="0"/>
      <w:marBottom w:val="0"/>
      <w:divBdr>
        <w:top w:val="none" w:sz="0" w:space="0" w:color="auto"/>
        <w:left w:val="none" w:sz="0" w:space="0" w:color="auto"/>
        <w:bottom w:val="none" w:sz="0" w:space="0" w:color="auto"/>
        <w:right w:val="none" w:sz="0" w:space="0" w:color="auto"/>
      </w:divBdr>
    </w:div>
    <w:div w:id="1312490731">
      <w:bodyDiv w:val="1"/>
      <w:marLeft w:val="0"/>
      <w:marRight w:val="0"/>
      <w:marTop w:val="0"/>
      <w:marBottom w:val="0"/>
      <w:divBdr>
        <w:top w:val="none" w:sz="0" w:space="0" w:color="auto"/>
        <w:left w:val="none" w:sz="0" w:space="0" w:color="auto"/>
        <w:bottom w:val="none" w:sz="0" w:space="0" w:color="auto"/>
        <w:right w:val="none" w:sz="0" w:space="0" w:color="auto"/>
      </w:divBdr>
    </w:div>
    <w:div w:id="1338464338">
      <w:bodyDiv w:val="1"/>
      <w:marLeft w:val="0"/>
      <w:marRight w:val="0"/>
      <w:marTop w:val="0"/>
      <w:marBottom w:val="0"/>
      <w:divBdr>
        <w:top w:val="none" w:sz="0" w:space="0" w:color="auto"/>
        <w:left w:val="none" w:sz="0" w:space="0" w:color="auto"/>
        <w:bottom w:val="none" w:sz="0" w:space="0" w:color="auto"/>
        <w:right w:val="none" w:sz="0" w:space="0" w:color="auto"/>
      </w:divBdr>
    </w:div>
    <w:div w:id="1376469313">
      <w:bodyDiv w:val="1"/>
      <w:marLeft w:val="0"/>
      <w:marRight w:val="0"/>
      <w:marTop w:val="0"/>
      <w:marBottom w:val="0"/>
      <w:divBdr>
        <w:top w:val="none" w:sz="0" w:space="0" w:color="auto"/>
        <w:left w:val="none" w:sz="0" w:space="0" w:color="auto"/>
        <w:bottom w:val="none" w:sz="0" w:space="0" w:color="auto"/>
        <w:right w:val="none" w:sz="0" w:space="0" w:color="auto"/>
      </w:divBdr>
    </w:div>
    <w:div w:id="1427654604">
      <w:bodyDiv w:val="1"/>
      <w:marLeft w:val="0"/>
      <w:marRight w:val="0"/>
      <w:marTop w:val="0"/>
      <w:marBottom w:val="0"/>
      <w:divBdr>
        <w:top w:val="none" w:sz="0" w:space="0" w:color="auto"/>
        <w:left w:val="none" w:sz="0" w:space="0" w:color="auto"/>
        <w:bottom w:val="none" w:sz="0" w:space="0" w:color="auto"/>
        <w:right w:val="none" w:sz="0" w:space="0" w:color="auto"/>
      </w:divBdr>
    </w:div>
    <w:div w:id="1461802874">
      <w:bodyDiv w:val="1"/>
      <w:marLeft w:val="0"/>
      <w:marRight w:val="0"/>
      <w:marTop w:val="0"/>
      <w:marBottom w:val="0"/>
      <w:divBdr>
        <w:top w:val="none" w:sz="0" w:space="0" w:color="auto"/>
        <w:left w:val="none" w:sz="0" w:space="0" w:color="auto"/>
        <w:bottom w:val="none" w:sz="0" w:space="0" w:color="auto"/>
        <w:right w:val="none" w:sz="0" w:space="0" w:color="auto"/>
      </w:divBdr>
    </w:div>
    <w:div w:id="1520195190">
      <w:bodyDiv w:val="1"/>
      <w:marLeft w:val="0"/>
      <w:marRight w:val="0"/>
      <w:marTop w:val="0"/>
      <w:marBottom w:val="0"/>
      <w:divBdr>
        <w:top w:val="none" w:sz="0" w:space="0" w:color="auto"/>
        <w:left w:val="none" w:sz="0" w:space="0" w:color="auto"/>
        <w:bottom w:val="none" w:sz="0" w:space="0" w:color="auto"/>
        <w:right w:val="none" w:sz="0" w:space="0" w:color="auto"/>
      </w:divBdr>
    </w:div>
    <w:div w:id="1538932981">
      <w:bodyDiv w:val="1"/>
      <w:marLeft w:val="0"/>
      <w:marRight w:val="0"/>
      <w:marTop w:val="0"/>
      <w:marBottom w:val="0"/>
      <w:divBdr>
        <w:top w:val="none" w:sz="0" w:space="0" w:color="auto"/>
        <w:left w:val="none" w:sz="0" w:space="0" w:color="auto"/>
        <w:bottom w:val="none" w:sz="0" w:space="0" w:color="auto"/>
        <w:right w:val="none" w:sz="0" w:space="0" w:color="auto"/>
      </w:divBdr>
    </w:div>
    <w:div w:id="1646815090">
      <w:bodyDiv w:val="1"/>
      <w:marLeft w:val="0"/>
      <w:marRight w:val="0"/>
      <w:marTop w:val="0"/>
      <w:marBottom w:val="0"/>
      <w:divBdr>
        <w:top w:val="none" w:sz="0" w:space="0" w:color="auto"/>
        <w:left w:val="none" w:sz="0" w:space="0" w:color="auto"/>
        <w:bottom w:val="none" w:sz="0" w:space="0" w:color="auto"/>
        <w:right w:val="none" w:sz="0" w:space="0" w:color="auto"/>
      </w:divBdr>
    </w:div>
    <w:div w:id="1652247758">
      <w:bodyDiv w:val="1"/>
      <w:marLeft w:val="0"/>
      <w:marRight w:val="0"/>
      <w:marTop w:val="0"/>
      <w:marBottom w:val="0"/>
      <w:divBdr>
        <w:top w:val="none" w:sz="0" w:space="0" w:color="auto"/>
        <w:left w:val="none" w:sz="0" w:space="0" w:color="auto"/>
        <w:bottom w:val="none" w:sz="0" w:space="0" w:color="auto"/>
        <w:right w:val="none" w:sz="0" w:space="0" w:color="auto"/>
      </w:divBdr>
    </w:div>
    <w:div w:id="1687629844">
      <w:bodyDiv w:val="1"/>
      <w:marLeft w:val="0"/>
      <w:marRight w:val="0"/>
      <w:marTop w:val="0"/>
      <w:marBottom w:val="0"/>
      <w:divBdr>
        <w:top w:val="none" w:sz="0" w:space="0" w:color="auto"/>
        <w:left w:val="none" w:sz="0" w:space="0" w:color="auto"/>
        <w:bottom w:val="none" w:sz="0" w:space="0" w:color="auto"/>
        <w:right w:val="none" w:sz="0" w:space="0" w:color="auto"/>
      </w:divBdr>
    </w:div>
    <w:div w:id="1701740392">
      <w:bodyDiv w:val="1"/>
      <w:marLeft w:val="0"/>
      <w:marRight w:val="0"/>
      <w:marTop w:val="0"/>
      <w:marBottom w:val="0"/>
      <w:divBdr>
        <w:top w:val="none" w:sz="0" w:space="0" w:color="auto"/>
        <w:left w:val="none" w:sz="0" w:space="0" w:color="auto"/>
        <w:bottom w:val="none" w:sz="0" w:space="0" w:color="auto"/>
        <w:right w:val="none" w:sz="0" w:space="0" w:color="auto"/>
      </w:divBdr>
    </w:div>
    <w:div w:id="1719552054">
      <w:bodyDiv w:val="1"/>
      <w:marLeft w:val="0"/>
      <w:marRight w:val="0"/>
      <w:marTop w:val="0"/>
      <w:marBottom w:val="0"/>
      <w:divBdr>
        <w:top w:val="none" w:sz="0" w:space="0" w:color="auto"/>
        <w:left w:val="none" w:sz="0" w:space="0" w:color="auto"/>
        <w:bottom w:val="none" w:sz="0" w:space="0" w:color="auto"/>
        <w:right w:val="none" w:sz="0" w:space="0" w:color="auto"/>
      </w:divBdr>
    </w:div>
    <w:div w:id="1763262265">
      <w:bodyDiv w:val="1"/>
      <w:marLeft w:val="0"/>
      <w:marRight w:val="0"/>
      <w:marTop w:val="0"/>
      <w:marBottom w:val="0"/>
      <w:divBdr>
        <w:top w:val="none" w:sz="0" w:space="0" w:color="auto"/>
        <w:left w:val="none" w:sz="0" w:space="0" w:color="auto"/>
        <w:bottom w:val="none" w:sz="0" w:space="0" w:color="auto"/>
        <w:right w:val="none" w:sz="0" w:space="0" w:color="auto"/>
      </w:divBdr>
    </w:div>
    <w:div w:id="1815833326">
      <w:bodyDiv w:val="1"/>
      <w:marLeft w:val="0"/>
      <w:marRight w:val="0"/>
      <w:marTop w:val="0"/>
      <w:marBottom w:val="0"/>
      <w:divBdr>
        <w:top w:val="none" w:sz="0" w:space="0" w:color="auto"/>
        <w:left w:val="none" w:sz="0" w:space="0" w:color="auto"/>
        <w:bottom w:val="none" w:sz="0" w:space="0" w:color="auto"/>
        <w:right w:val="none" w:sz="0" w:space="0" w:color="auto"/>
      </w:divBdr>
    </w:div>
    <w:div w:id="1818185778">
      <w:bodyDiv w:val="1"/>
      <w:marLeft w:val="0"/>
      <w:marRight w:val="0"/>
      <w:marTop w:val="0"/>
      <w:marBottom w:val="0"/>
      <w:divBdr>
        <w:top w:val="none" w:sz="0" w:space="0" w:color="auto"/>
        <w:left w:val="none" w:sz="0" w:space="0" w:color="auto"/>
        <w:bottom w:val="none" w:sz="0" w:space="0" w:color="auto"/>
        <w:right w:val="none" w:sz="0" w:space="0" w:color="auto"/>
      </w:divBdr>
    </w:div>
    <w:div w:id="1876115912">
      <w:bodyDiv w:val="1"/>
      <w:marLeft w:val="0"/>
      <w:marRight w:val="0"/>
      <w:marTop w:val="0"/>
      <w:marBottom w:val="0"/>
      <w:divBdr>
        <w:top w:val="none" w:sz="0" w:space="0" w:color="auto"/>
        <w:left w:val="none" w:sz="0" w:space="0" w:color="auto"/>
        <w:bottom w:val="none" w:sz="0" w:space="0" w:color="auto"/>
        <w:right w:val="none" w:sz="0" w:space="0" w:color="auto"/>
      </w:divBdr>
    </w:div>
    <w:div w:id="1886285442">
      <w:bodyDiv w:val="1"/>
      <w:marLeft w:val="0"/>
      <w:marRight w:val="0"/>
      <w:marTop w:val="0"/>
      <w:marBottom w:val="0"/>
      <w:divBdr>
        <w:top w:val="none" w:sz="0" w:space="0" w:color="auto"/>
        <w:left w:val="none" w:sz="0" w:space="0" w:color="auto"/>
        <w:bottom w:val="none" w:sz="0" w:space="0" w:color="auto"/>
        <w:right w:val="none" w:sz="0" w:space="0" w:color="auto"/>
      </w:divBdr>
    </w:div>
    <w:div w:id="1890653070">
      <w:bodyDiv w:val="1"/>
      <w:marLeft w:val="0"/>
      <w:marRight w:val="0"/>
      <w:marTop w:val="0"/>
      <w:marBottom w:val="0"/>
      <w:divBdr>
        <w:top w:val="none" w:sz="0" w:space="0" w:color="auto"/>
        <w:left w:val="none" w:sz="0" w:space="0" w:color="auto"/>
        <w:bottom w:val="none" w:sz="0" w:space="0" w:color="auto"/>
        <w:right w:val="none" w:sz="0" w:space="0" w:color="auto"/>
      </w:divBdr>
    </w:div>
    <w:div w:id="1901745975">
      <w:bodyDiv w:val="1"/>
      <w:marLeft w:val="0"/>
      <w:marRight w:val="0"/>
      <w:marTop w:val="0"/>
      <w:marBottom w:val="0"/>
      <w:divBdr>
        <w:top w:val="none" w:sz="0" w:space="0" w:color="auto"/>
        <w:left w:val="none" w:sz="0" w:space="0" w:color="auto"/>
        <w:bottom w:val="none" w:sz="0" w:space="0" w:color="auto"/>
        <w:right w:val="none" w:sz="0" w:space="0" w:color="auto"/>
      </w:divBdr>
    </w:div>
    <w:div w:id="1904633329">
      <w:bodyDiv w:val="1"/>
      <w:marLeft w:val="0"/>
      <w:marRight w:val="0"/>
      <w:marTop w:val="0"/>
      <w:marBottom w:val="0"/>
      <w:divBdr>
        <w:top w:val="none" w:sz="0" w:space="0" w:color="auto"/>
        <w:left w:val="none" w:sz="0" w:space="0" w:color="auto"/>
        <w:bottom w:val="none" w:sz="0" w:space="0" w:color="auto"/>
        <w:right w:val="none" w:sz="0" w:space="0" w:color="auto"/>
      </w:divBdr>
    </w:div>
    <w:div w:id="1924414814">
      <w:bodyDiv w:val="1"/>
      <w:marLeft w:val="0"/>
      <w:marRight w:val="0"/>
      <w:marTop w:val="0"/>
      <w:marBottom w:val="0"/>
      <w:divBdr>
        <w:top w:val="none" w:sz="0" w:space="0" w:color="auto"/>
        <w:left w:val="none" w:sz="0" w:space="0" w:color="auto"/>
        <w:bottom w:val="none" w:sz="0" w:space="0" w:color="auto"/>
        <w:right w:val="none" w:sz="0" w:space="0" w:color="auto"/>
      </w:divBdr>
    </w:div>
    <w:div w:id="1942101024">
      <w:bodyDiv w:val="1"/>
      <w:marLeft w:val="0"/>
      <w:marRight w:val="0"/>
      <w:marTop w:val="0"/>
      <w:marBottom w:val="0"/>
      <w:divBdr>
        <w:top w:val="none" w:sz="0" w:space="0" w:color="auto"/>
        <w:left w:val="none" w:sz="0" w:space="0" w:color="auto"/>
        <w:bottom w:val="none" w:sz="0" w:space="0" w:color="auto"/>
        <w:right w:val="none" w:sz="0" w:space="0" w:color="auto"/>
      </w:divBdr>
    </w:div>
    <w:div w:id="1957176704">
      <w:bodyDiv w:val="1"/>
      <w:marLeft w:val="0"/>
      <w:marRight w:val="0"/>
      <w:marTop w:val="0"/>
      <w:marBottom w:val="0"/>
      <w:divBdr>
        <w:top w:val="none" w:sz="0" w:space="0" w:color="auto"/>
        <w:left w:val="none" w:sz="0" w:space="0" w:color="auto"/>
        <w:bottom w:val="none" w:sz="0" w:space="0" w:color="auto"/>
        <w:right w:val="none" w:sz="0" w:space="0" w:color="auto"/>
      </w:divBdr>
    </w:div>
    <w:div w:id="1966617208">
      <w:bodyDiv w:val="1"/>
      <w:marLeft w:val="0"/>
      <w:marRight w:val="0"/>
      <w:marTop w:val="0"/>
      <w:marBottom w:val="0"/>
      <w:divBdr>
        <w:top w:val="none" w:sz="0" w:space="0" w:color="auto"/>
        <w:left w:val="none" w:sz="0" w:space="0" w:color="auto"/>
        <w:bottom w:val="none" w:sz="0" w:space="0" w:color="auto"/>
        <w:right w:val="none" w:sz="0" w:space="0" w:color="auto"/>
      </w:divBdr>
    </w:div>
    <w:div w:id="1971201922">
      <w:bodyDiv w:val="1"/>
      <w:marLeft w:val="0"/>
      <w:marRight w:val="0"/>
      <w:marTop w:val="0"/>
      <w:marBottom w:val="0"/>
      <w:divBdr>
        <w:top w:val="none" w:sz="0" w:space="0" w:color="auto"/>
        <w:left w:val="none" w:sz="0" w:space="0" w:color="auto"/>
        <w:bottom w:val="none" w:sz="0" w:space="0" w:color="auto"/>
        <w:right w:val="none" w:sz="0" w:space="0" w:color="auto"/>
      </w:divBdr>
    </w:div>
    <w:div w:id="1981887051">
      <w:bodyDiv w:val="1"/>
      <w:marLeft w:val="0"/>
      <w:marRight w:val="0"/>
      <w:marTop w:val="0"/>
      <w:marBottom w:val="0"/>
      <w:divBdr>
        <w:top w:val="none" w:sz="0" w:space="0" w:color="auto"/>
        <w:left w:val="none" w:sz="0" w:space="0" w:color="auto"/>
        <w:bottom w:val="none" w:sz="0" w:space="0" w:color="auto"/>
        <w:right w:val="none" w:sz="0" w:space="0" w:color="auto"/>
      </w:divBdr>
    </w:div>
    <w:div w:id="2023779774">
      <w:bodyDiv w:val="1"/>
      <w:marLeft w:val="0"/>
      <w:marRight w:val="0"/>
      <w:marTop w:val="0"/>
      <w:marBottom w:val="0"/>
      <w:divBdr>
        <w:top w:val="none" w:sz="0" w:space="0" w:color="auto"/>
        <w:left w:val="none" w:sz="0" w:space="0" w:color="auto"/>
        <w:bottom w:val="none" w:sz="0" w:space="0" w:color="auto"/>
        <w:right w:val="none" w:sz="0" w:space="0" w:color="auto"/>
      </w:divBdr>
    </w:div>
    <w:div w:id="2050450683">
      <w:bodyDiv w:val="1"/>
      <w:marLeft w:val="0"/>
      <w:marRight w:val="0"/>
      <w:marTop w:val="0"/>
      <w:marBottom w:val="0"/>
      <w:divBdr>
        <w:top w:val="none" w:sz="0" w:space="0" w:color="auto"/>
        <w:left w:val="none" w:sz="0" w:space="0" w:color="auto"/>
        <w:bottom w:val="none" w:sz="0" w:space="0" w:color="auto"/>
        <w:right w:val="none" w:sz="0" w:space="0" w:color="auto"/>
      </w:divBdr>
    </w:div>
    <w:div w:id="2104957294">
      <w:bodyDiv w:val="1"/>
      <w:marLeft w:val="0"/>
      <w:marRight w:val="0"/>
      <w:marTop w:val="0"/>
      <w:marBottom w:val="0"/>
      <w:divBdr>
        <w:top w:val="none" w:sz="0" w:space="0" w:color="auto"/>
        <w:left w:val="none" w:sz="0" w:space="0" w:color="auto"/>
        <w:bottom w:val="none" w:sz="0" w:space="0" w:color="auto"/>
        <w:right w:val="none" w:sz="0" w:space="0" w:color="auto"/>
      </w:divBdr>
    </w:div>
    <w:div w:id="2142113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oter" Target="footer2.xml"/><Relationship Id="rId27" Type="http://schemas.openxmlformats.org/officeDocument/2006/relationships/image" Target="media/image15.png"/><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iledefrance-mobilites.fr/decouvrir/investisseurs" TargetMode="External"/><Relationship Id="rId1" Type="http://schemas.openxmlformats.org/officeDocument/2006/relationships/hyperlink" Target="http://www.omnil.fr/spip.php?article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7853AA-CAC8-46F0-9C7E-67DA1A217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63</Pages>
  <Words>21466</Words>
  <Characters>118066</Characters>
  <Application>Microsoft Office Word</Application>
  <DocSecurity>0</DocSecurity>
  <Lines>983</Lines>
  <Paragraphs>278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Arold ROSEMOND</dc:creator>
  <cp:keywords/>
  <dc:description/>
  <cp:lastModifiedBy>Lafleur Ednie</cp:lastModifiedBy>
  <cp:revision>177</cp:revision>
  <cp:lastPrinted>2021-05-19T14:36:00Z</cp:lastPrinted>
  <dcterms:created xsi:type="dcterms:W3CDTF">2021-05-03T16:40:00Z</dcterms:created>
  <dcterms:modified xsi:type="dcterms:W3CDTF">2022-02-22T20:39:00Z</dcterms:modified>
</cp:coreProperties>
</file>