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23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0348"/>
      </w:tblGrid>
      <w:tr>
        <w:trPr/>
        <w:tc>
          <w:tcPr>
            <w:tcW w:w="1979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HU004</w:t>
            </w:r>
          </w:p>
        </w:tc>
        <w:tc>
          <w:tcPr>
            <w:tcW w:w="1034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Como</w:t>
            </w:r>
            <w:r>
              <w:rPr>
                <w:rFonts w:cs="Calibri" w:cstheme="minorHAnsi"/>
                <w:sz w:val="24"/>
                <w:szCs w:val="24"/>
              </w:rPr>
              <w:t xml:space="preserve"> usuario registrado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="Calibri" w:cstheme="minorHAnsi"/>
                <w:sz w:val="24"/>
                <w:szCs w:val="24"/>
              </w:rPr>
              <w:t xml:space="preserve"> pagar una polera y una blusa agregados al carrito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="Calibri" w:cstheme="minorHAnsi"/>
                <w:sz w:val="24"/>
                <w:szCs w:val="24"/>
              </w:rPr>
              <w:t xml:space="preserve"> poder acceder a ellos a futuro.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Criterios de aceptación: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1: Operación exitosa.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usuario está con sesión iniciada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queda stock de </w:t>
            </w:r>
            <w:r>
              <w:rPr>
                <w:rFonts w:cs="Calibri" w:cstheme="minorHAnsi"/>
                <w:sz w:val="24"/>
                <w:szCs w:val="24"/>
              </w:rPr>
              <w:t xml:space="preserve">polera </w:t>
            </w:r>
            <w:r>
              <w:rPr>
                <w:rFonts w:cs="Calibri" w:cstheme="minorHAnsi"/>
                <w:sz w:val="24"/>
                <w:szCs w:val="24"/>
                <w:lang w:val="en-US"/>
              </w:rPr>
              <w:t>“Faded Short Sleeve T-Shirts”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queda stock de </w:t>
            </w:r>
            <w:r>
              <w:rPr>
                <w:rFonts w:cs="Calibri" w:cstheme="minorHAnsi"/>
                <w:sz w:val="24"/>
                <w:szCs w:val="24"/>
              </w:rPr>
              <w:t>blusa “Blouse”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método de pago puede cubrir el gasto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pagar lo agregado al carrito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“sí” puede realizar la transacción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el usuario puede ver una ventana con el pago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cs="Calibri" w:cstheme="minorHAnsi"/>
          <w:b/>
          <w:b/>
          <w:sz w:val="56"/>
          <w:szCs w:val="40"/>
        </w:rPr>
      </w:pPr>
      <w:r>
        <w:rPr>
          <w:rFonts w:cs="Calibri" w:cstheme="minorHAnsi"/>
          <w:b/>
          <w:sz w:val="56"/>
          <w:szCs w:val="40"/>
        </w:rPr>
      </w:r>
    </w:p>
    <w:p>
      <w:pPr>
        <w:pStyle w:val="Normal"/>
        <w:jc w:val="center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</w:p>
    <w:p>
      <w:pPr>
        <w:pStyle w:val="Normal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87"/>
        <w:gridCol w:w="2086"/>
        <w:gridCol w:w="3373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TC-0007</w:t>
            </w:r>
            <w:bookmarkStart w:id="0" w:name="_GoBack"/>
            <w:bookmarkEnd w:id="0"/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Descripción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Pago exitoso de polera y </w:t>
            </w:r>
            <w:r>
              <w:rPr>
                <w:rFonts w:cs="Calibri" w:cstheme="minorHAnsi"/>
              </w:rPr>
              <w:t>blusa</w:t>
            </w:r>
            <w:r>
              <w:rPr>
                <w:rFonts w:cs="Calibri" w:cstheme="minorHAnsi"/>
              </w:rPr>
              <w:t xml:space="preserve"> en sistema AP.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Realizar el pago de polera y </w:t>
            </w:r>
            <w:r>
              <w:rPr>
                <w:rFonts w:cs="Calibri" w:cstheme="minorHAnsi"/>
              </w:rPr>
              <w:t>blusa</w:t>
            </w:r>
            <w:r>
              <w:rPr>
                <w:rFonts w:cs="Calibri" w:cstheme="minorHAnsi"/>
              </w:rPr>
              <w:t xml:space="preserve">, agregados anteriormente al carrito, en la ventada de pago de AP, usando un método de pago provisto por el usuario </w:t>
            </w:r>
            <w:r>
              <w:rPr>
                <w:rFonts w:cs="Calibri" w:cstheme="minorHAnsi"/>
              </w:rPr>
              <w:t>con sesión iniciada</w:t>
            </w:r>
            <w:r>
              <w:rPr>
                <w:rFonts w:cs="Calibri" w:cstheme="minorHAnsi"/>
              </w:rPr>
              <w:t>. El sistema SI realiza la transacción y se concreta el pago.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HU004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05/06/2022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Pass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AW debe estar disponible para ser accedido desde un navegador WEB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El usuario debe haber realizado inicio de sesión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Debe quedar stock de ambos productos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El método de pago debe contener el saldo suficiente para realizar la transacción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2552"/>
        <w:gridCol w:w="1560"/>
        <w:gridCol w:w="2692"/>
        <w:gridCol w:w="1986"/>
        <w:gridCol w:w="708"/>
        <w:gridCol w:w="2551"/>
      </w:tblGrid>
      <w:tr>
        <w:trPr/>
        <w:tc>
          <w:tcPr>
            <w:tcW w:w="703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156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69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986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8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1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“Add to cart”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Aparece ventana emergente con opciones “Continue Shopping” y “Proceed to Checkout”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Polera “Faded Short Sleeve T-Shirts”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“Continue shopping”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Ventana emergente desaparece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“Add to cart”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Aparece ventana emergente con opciones “Continue Shopping” y “Proceed to Checkout”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Blusa “Blouse”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“Proceed to Checkout”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“Summary”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“Proceed to Checkout”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“Addreses”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Hacer click en “Bank wire”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”Shipping”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Hacer click en cuadrado abajo de “Terms of Service”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cuadrado mencionado aparece con un ticket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“Proceed to Checkout”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“Payment”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“Pay by bank wire”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“Order summary”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Hacer click en “I confirm my order”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 dirige a ventana “Order confirmation”</w:t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pago fué realizado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Como es una página de prueba, el stock del vestido y el método de pago son pre-condiciones a modo de mención.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before="0" w:after="160"/>
        <w:rPr>
          <w:rFonts w:cs="Calibri" w:cstheme="minorHAnsi"/>
          <w:b/>
          <w:b/>
        </w:rPr>
      </w:pPr>
      <w:r>
        <w:rPr/>
      </w:r>
    </w:p>
    <w:sectPr>
      <w:type w:val="nextPage"/>
      <w:pgSz w:orient="landscape" w:w="15840" w:h="122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a463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46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b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LibreOffice/6.4.7.2$Linux_X86_64 LibreOffice_project/40$Build-2</Application>
  <Pages>3</Pages>
  <Words>419</Words>
  <Characters>2087</Characters>
  <CharactersWithSpaces>2412</CharactersWithSpaces>
  <Paragraphs>88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2022-05-11T23:49:00Z</dcterms:created>
  <dc:creator>Alcides</dc:creator>
  <dc:description/>
  <dc:language>es-CL</dc:language>
  <cp:lastModifiedBy/>
  <cp:lastPrinted>2016-06-08T19:15:00Z</cp:lastPrinted>
  <dcterms:modified xsi:type="dcterms:W3CDTF">2022-08-28T18:56:41Z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