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Automated Business Report</w:t>
      </w:r>
    </w:p>
    <w:p>
      <w:r>
        <w:t>Generated on: 23/03/2026 11:45</w:t>
      </w:r>
    </w:p>
    <w:p>
      <w:r>
        <w:t>Database: amazon_db</w:t>
      </w:r>
    </w:p>
    <w:sectPr w:rsidR="00FC693F" w:rsidRPr="0006063C" w:rsidSect="00034616">
      <w:pgSz w:w="12240" w:h="15840"/>
      <w:pgMar w:top="1440" w:right="1800" w:bottom="1440" w:left="1800" w:header="720" w:footer="720" w:gutter="0"/>
      <w:cols w:space="720"/>
      <w:docGrid w:linePitch="360"/>
    </w:sectPr>
    <w:p>
      <w:pPr>
        <w:pStyle w:val="Heading1"/>
      </w:pPr>
      <w:r>
        <w:t>Business Performance Report</w:t>
      </w:r>
    </w:p>
    <w:p>
      <w:pPr>
        <w:pStyle w:val="Heading3"/>
      </w:pPr>
      <w:r>
        <w:t>Prepared by: Business Analytics Division</w:t>
      </w:r>
    </w:p>
    <w:p>
      <w:pPr>
        <w:pStyle w:val="Heading2"/>
      </w:pPr>
      <w:r>
        <w:t>Executive Summary</w:t>
      </w:r>
    </w:p>
    <w:p>
      <w:r>
        <w:t xml:space="preserve">This report provides a comprehensive analysis of key performance indicators (KPIs) derived from transactional and customer data. Total revenue across all recorded transactions stands at approximately </w:t>
      </w:r>
      <w:r>
        <w:rPr>
          <w:b/>
        </w:rPr>
        <w:t>$12.64 million</w:t>
      </w:r>
      <w:r>
        <w:t>, with the electronics category serving as the dominant revenue driver. Profit margins remain consistently strong across all product categories, ranging from approximately 71% to 76%. Sales distribution data reveals a significant concentration of transactions among customers with unclassified gender profiles, which warrants data quality attention. Revenue performance peaked in September 2021, August 2023, and July 2021, suggesting potential seasonal trends. One KPI query related to age group analysis encountered a technical failure and will require remediation before insights can be derived.</w:t>
      </w:r>
    </w:p>
    <w:p>
      <w:pPr>
        <w:pStyle w:val="Heading2"/>
      </w:pPr>
      <w:r>
        <w:t>1. Total Revenue Across All Transactions</w:t>
      </w:r>
    </w:p>
    <w:p>
      <w:r>
        <w:t>This KPI represents the aggregate revenue generated across the entire transaction dataset.</w:t>
      </w:r>
    </w:p>
    <w:p>
      <w:pPr>
        <w:pStyle w:val="ListBullet"/>
      </w:pPr>
      <w:r>
        <w:rPr>
          <w:b/>
        </w:rPr>
        <w:t>Total Revenue: $12,642,070.56</w:t>
      </w:r>
    </w:p>
    <w:p>
      <w:pPr>
        <w:pStyle w:val="ListBullet"/>
      </w:pPr>
      <w:r>
        <w:t>This figure establishes the overall financial baseline against which all category-level and segment-level performance should be evaluated.</w:t>
      </w:r>
    </w:p>
    <w:p>
      <w:pPr>
        <w:pStyle w:val="ListBullet"/>
      </w:pPr>
      <w:r>
        <w:t>The volume of revenue suggests a substantial and active customer base with consistent purchasing activity across multiple product lines.</w:t>
      </w:r>
    </w:p>
    <w:p>
      <w:pPr>
        <w:pStyle w:val="ListBullet"/>
      </w:pPr>
      <w:r>
        <w:t>Further period-over-period comparison is recommended to assess growth trajectory once historical baselines are formally established.</w:t>
      </w:r>
    </w:p>
    <w:p>
      <w:pPr>
        <w:pStyle w:val="Heading2"/>
      </w:pPr>
      <w:r>
        <w:t>2. Revenue and Profit Breakdown by Product Category</w:t>
      </w:r>
    </w:p>
    <w:p>
      <w:r>
        <w:t>This section examines performance across six distinct product categories, covering total orders, units sold, revenue, cost of goods sold (COGS), profit, and profit margin.</w:t>
      </w:r>
    </w:p>
    <w:p>
      <w:pPr>
        <w:pStyle w:val="Heading3"/>
      </w:pPr>
      <w:r>
        <w:t>Electronics</w:t>
      </w:r>
    </w:p>
    <w:p>
      <w:pPr>
        <w:pStyle w:val="ListBullet"/>
      </w:pPr>
      <w:r>
        <w:t xml:space="preserve">Total Orders: </w:t>
      </w:r>
      <w:r>
        <w:rPr>
          <w:b/>
        </w:rPr>
        <w:t>9,671</w:t>
      </w:r>
      <w:r>
        <w:t xml:space="preserve"> | Units Sold: </w:t>
      </w:r>
      <w:r>
        <w:rPr>
          <w:b/>
        </w:rPr>
        <w:t>12,209</w:t>
      </w:r>
    </w:p>
    <w:p>
      <w:pPr>
        <w:pStyle w:val="ListBullet"/>
      </w:pPr>
      <w:r>
        <w:t xml:space="preserve">Total Revenue: </w:t>
      </w:r>
      <w:r>
        <w:rPr>
          <w:b/>
        </w:rPr>
        <w:t>$9,559,627.91</w:t>
      </w:r>
      <w:r>
        <w:t xml:space="preserve"> — accounting for approximately </w:t>
      </w:r>
      <w:r>
        <w:rPr>
          <w:b/>
        </w:rPr>
        <w:t>75.6%</w:t>
      </w:r>
      <w:r>
        <w:t xml:space="preserve"> of overall company revenue</w:t>
      </w:r>
    </w:p>
    <w:p>
      <w:pPr>
        <w:pStyle w:val="ListBullet"/>
      </w:pPr>
      <w:r>
        <w:t xml:space="preserve">Total COGS: </w:t>
      </w:r>
      <w:r>
        <w:rPr>
          <w:b/>
        </w:rPr>
        <w:t>$2,339,834.10</w:t>
      </w:r>
      <w:r>
        <w:t xml:space="preserve"> | Total Profit: </w:t>
      </w:r>
      <w:r>
        <w:rPr>
          <w:b/>
        </w:rPr>
        <w:t>$7,219,793.81</w:t>
      </w:r>
    </w:p>
    <w:p>
      <w:pPr>
        <w:pStyle w:val="ListBullet"/>
      </w:pPr>
      <w:r>
        <w:t xml:space="preserve">Profit Margin: </w:t>
      </w:r>
      <w:r>
        <w:rPr>
          <w:b/>
        </w:rPr>
        <w:t>75.52%</w:t>
      </w:r>
    </w:p>
    <w:p>
      <w:pPr>
        <w:pStyle w:val="ListBullet"/>
      </w:pPr>
      <w:r>
        <w:t>Electronics is by far the highest-performing category in both revenue and absolute profit, making it the core pillar of the business.</w:t>
      </w:r>
    </w:p>
    <w:p>
      <w:pPr>
        <w:pStyle w:val="Heading3"/>
      </w:pPr>
      <w:r>
        <w:t>Sports &amp; Outdoors</w:t>
      </w:r>
    </w:p>
    <w:p>
      <w:pPr>
        <w:pStyle w:val="ListBullet"/>
      </w:pPr>
      <w:r>
        <w:t xml:space="preserve">Total Orders: </w:t>
      </w:r>
      <w:r>
        <w:rPr>
          <w:b/>
        </w:rPr>
        <w:t>2,186</w:t>
      </w:r>
      <w:r>
        <w:t xml:space="preserve"> | Units Sold: </w:t>
      </w:r>
      <w:r>
        <w:rPr>
          <w:b/>
        </w:rPr>
        <w:t>6,710</w:t>
      </w:r>
    </w:p>
    <w:p>
      <w:pPr>
        <w:pStyle w:val="ListBullet"/>
      </w:pPr>
      <w:r>
        <w:t xml:space="preserve">Total Revenue: </w:t>
      </w:r>
      <w:r>
        <w:rPr>
          <w:b/>
        </w:rPr>
        <w:t>$386,906.90</w:t>
      </w:r>
      <w:r>
        <w:t xml:space="preserve"> | Total Profit: </w:t>
      </w:r>
      <w:r>
        <w:rPr>
          <w:b/>
        </w:rPr>
        <w:t>$275,834.13</w:t>
      </w:r>
    </w:p>
    <w:p>
      <w:pPr>
        <w:pStyle w:val="ListBullet"/>
      </w:pPr>
      <w:r>
        <w:t xml:space="preserve">Profit Margin: </w:t>
      </w:r>
      <w:r>
        <w:rPr>
          <w:b/>
        </w:rPr>
        <w:t>71.29%</w:t>
      </w:r>
    </w:p>
    <w:p>
      <w:pPr>
        <w:pStyle w:val="ListBullet"/>
      </w:pPr>
      <w:r>
        <w:t>This category ranks second in revenue and demonstrates healthy unit volume relative to order count, suggesting multi-unit purchases per transaction.</w:t>
      </w:r>
    </w:p>
    <w:p>
      <w:pPr>
        <w:pStyle w:val="Heading3"/>
      </w:pPr>
      <w:r>
        <w:t>Toys &amp; Games</w:t>
      </w:r>
    </w:p>
    <w:p>
      <w:pPr>
        <w:pStyle w:val="ListBullet"/>
      </w:pPr>
      <w:r>
        <w:t xml:space="preserve">Total Orders: </w:t>
      </w:r>
      <w:r>
        <w:rPr>
          <w:b/>
        </w:rPr>
        <w:t>1,900</w:t>
      </w:r>
      <w:r>
        <w:t xml:space="preserve"> | Units Sold: </w:t>
      </w:r>
      <w:r>
        <w:rPr>
          <w:b/>
        </w:rPr>
        <w:t>5,610</w:t>
      </w:r>
    </w:p>
    <w:p>
      <w:pPr>
        <w:pStyle w:val="ListBullet"/>
      </w:pPr>
      <w:r>
        <w:t xml:space="preserve">Total Revenue: </w:t>
      </w:r>
      <w:r>
        <w:rPr>
          <w:b/>
        </w:rPr>
        <w:t>$296,750.90</w:t>
      </w:r>
      <w:r>
        <w:t xml:space="preserve"> | Total Profit: </w:t>
      </w:r>
      <w:r>
        <w:rPr>
          <w:b/>
        </w:rPr>
        <w:t>$223,028.25</w:t>
      </w:r>
    </w:p>
    <w:p>
      <w:pPr>
        <w:pStyle w:val="ListBullet"/>
      </w:pPr>
      <w:r>
        <w:t xml:space="preserve">Profit Margin: </w:t>
      </w:r>
      <w:r>
        <w:rPr>
          <w:b/>
        </w:rPr>
        <w:t>75.16%</w:t>
      </w:r>
    </w:p>
    <w:p>
      <w:pPr>
        <w:pStyle w:val="ListBullet"/>
      </w:pPr>
      <w:r>
        <w:t>Toys &amp; Games maintains a strong profit margin closely aligned with Electronics, indicating effective cost management within this category.</w:t>
      </w:r>
    </w:p>
    <w:p>
      <w:pPr>
        <w:pStyle w:val="Heading3"/>
      </w:pPr>
      <w:r>
        <w:t>Pet Supplies</w:t>
      </w:r>
    </w:p>
    <w:p>
      <w:pPr>
        <w:pStyle w:val="ListBullet"/>
      </w:pPr>
      <w:r>
        <w:t xml:space="preserve">Total Orders: </w:t>
      </w:r>
      <w:r>
        <w:rPr>
          <w:b/>
        </w:rPr>
        <w:t>2,244</w:t>
      </w:r>
      <w:r>
        <w:t xml:space="preserve"> | Units Sold: </w:t>
      </w:r>
      <w:r>
        <w:rPr>
          <w:b/>
        </w:rPr>
        <w:t>6,520</w:t>
      </w:r>
    </w:p>
    <w:p>
      <w:pPr>
        <w:pStyle w:val="ListBullet"/>
      </w:pPr>
      <w:r>
        <w:t xml:space="preserve">Total Revenue: </w:t>
      </w:r>
      <w:r>
        <w:rPr>
          <w:b/>
        </w:rPr>
        <w:t>$223,439.80</w:t>
      </w:r>
      <w:r>
        <w:t xml:space="preserve"> | Total Profit: </w:t>
      </w:r>
      <w:r>
        <w:rPr>
          <w:b/>
        </w:rPr>
        <w:t>$162,580.20</w:t>
      </w:r>
    </w:p>
    <w:p>
      <w:pPr>
        <w:pStyle w:val="ListBullet"/>
      </w:pPr>
      <w:r>
        <w:t xml:space="preserve">Profit Margin: </w:t>
      </w:r>
      <w:r>
        <w:rPr>
          <w:b/>
        </w:rPr>
        <w:t>72.76%</w:t>
      </w:r>
    </w:p>
    <w:p>
      <w:pPr>
        <w:pStyle w:val="ListBullet"/>
      </w:pPr>
      <w:r>
        <w:t>Pet Supplies records the highest number of orders among the lower-revenue categories, reflecting high transaction frequency at lower average order values.</w:t>
      </w:r>
    </w:p>
    <w:p>
      <w:pPr>
        <w:pStyle w:val="Heading3"/>
      </w:pPr>
      <w:r>
        <w:t>Clothing</w:t>
      </w:r>
    </w:p>
    <w:p>
      <w:pPr>
        <w:pStyle w:val="ListBullet"/>
      </w:pPr>
      <w:r>
        <w:t xml:space="preserve">Total Orders: </w:t>
      </w:r>
      <w:r>
        <w:rPr>
          <w:b/>
        </w:rPr>
        <w:t>1,300</w:t>
      </w:r>
      <w:r>
        <w:t xml:space="preserve"> | Units Sold: </w:t>
      </w:r>
      <w:r>
        <w:rPr>
          <w:b/>
        </w:rPr>
        <w:t>2,536</w:t>
      </w:r>
    </w:p>
    <w:p>
      <w:pPr>
        <w:pStyle w:val="ListBullet"/>
      </w:pPr>
      <w:r>
        <w:t xml:space="preserve">Total Revenue: </w:t>
      </w:r>
      <w:r>
        <w:rPr>
          <w:b/>
        </w:rPr>
        <w:t>$116,645.64</w:t>
      </w:r>
      <w:r>
        <w:t xml:space="preserve"> | Total Profit: </w:t>
      </w:r>
      <w:r>
        <w:rPr>
          <w:b/>
        </w:rPr>
        <w:t>$87,160.05</w:t>
      </w:r>
    </w:p>
    <w:p>
      <w:pPr>
        <w:pStyle w:val="ListBullet"/>
      </w:pPr>
      <w:r>
        <w:t xml:space="preserve">Profit Margin: </w:t>
      </w:r>
      <w:r>
        <w:rPr>
          <w:b/>
        </w:rPr>
        <w:t>74.72%</w:t>
      </w:r>
    </w:p>
    <w:p>
      <w:pPr>
        <w:pStyle w:val="ListBullet"/>
      </w:pPr>
      <w:r>
        <w:t>While revenue contribution is modest, the profit margin remains competitive, suggesting strong pricing discipline relative to cost.</w:t>
      </w:r>
    </w:p>
    <w:p>
      <w:pPr>
        <w:pStyle w:val="Heading3"/>
      </w:pPr>
      <w:r>
        <w:t>Home &amp; Kitchen</w:t>
      </w:r>
    </w:p>
    <w:p>
      <w:pPr>
        <w:pStyle w:val="ListBullet"/>
      </w:pPr>
      <w:r>
        <w:t xml:space="preserve">Total Orders: </w:t>
      </w:r>
      <w:r>
        <w:rPr>
          <w:b/>
        </w:rPr>
        <w:t>1,000</w:t>
      </w:r>
      <w:r>
        <w:t xml:space="preserve"> | Units Sold: </w:t>
      </w:r>
      <w:r>
        <w:rPr>
          <w:b/>
        </w:rPr>
        <w:t>1,948</w:t>
      </w:r>
    </w:p>
    <w:p>
      <w:pPr>
        <w:pStyle w:val="ListBullet"/>
      </w:pPr>
      <w:r>
        <w:t xml:space="preserve">Total Revenue: </w:t>
      </w:r>
      <w:r>
        <w:rPr>
          <w:b/>
        </w:rPr>
        <w:t>$77,195.52</w:t>
      </w:r>
      <w:r>
        <w:t xml:space="preserve"> | Total Profit: </w:t>
      </w:r>
      <w:r>
        <w:rPr>
          <w:b/>
        </w:rPr>
        <w:t>$56,987.10</w:t>
      </w:r>
    </w:p>
    <w:p>
      <w:pPr>
        <w:pStyle w:val="ListBullet"/>
      </w:pPr>
      <w:r>
        <w:t xml:space="preserve">Profit Margin: </w:t>
      </w:r>
      <w:r>
        <w:rPr>
          <w:b/>
        </w:rPr>
        <w:t>73.82%</w:t>
      </w:r>
    </w:p>
    <w:p>
      <w:pPr>
        <w:pStyle w:val="ListBullet"/>
      </w:pPr>
      <w:r>
        <w:t>Home &amp; Kitchen is the lowest-performing category by both revenue and order volume; however, its margin remains solid and consistent with the broader portfolio.</w:t>
      </w:r>
    </w:p>
    <w:p>
      <w:pPr>
        <w:pStyle w:val="Heading3"/>
      </w:pPr>
      <w:r>
        <w:t>Key Category-Level Findings:</w:t>
      </w:r>
    </w:p>
    <w:p>
      <w:pPr>
        <w:pStyle w:val="ListBullet"/>
      </w:pPr>
      <w:r>
        <w:t xml:space="preserve">All six categories maintain profit margins above </w:t>
      </w:r>
      <w:r>
        <w:rPr>
          <w:b/>
        </w:rPr>
        <w:t>71%</w:t>
      </w:r>
      <w:r>
        <w:t>, reflecting a consistently favorable cost structure across the product portfolio.</w:t>
      </w:r>
    </w:p>
    <w:p>
      <w:pPr>
        <w:pStyle w:val="ListBullet"/>
      </w:pPr>
      <w:r>
        <w:t>Electronics disproportionately dominates revenue, representing over three-quarters of total company sales. This concentration presents both a strength and a strategic risk.</w:t>
      </w:r>
    </w:p>
    <w:p>
      <w:pPr>
        <w:pStyle w:val="ListBullet"/>
      </w:pPr>
      <w:r>
        <w:t>Diversification efforts should be considered to reduce over-reliance on a single category.</w:t>
      </w:r>
    </w:p>
    <w:p>
      <w:pPr>
        <w:pStyle w:val="ListBullet"/>
      </w:pPr>
      <w:r>
        <w:t>Sports &amp; Outdoors and Pet Supplies demonstrate high unit sales volumes relative to revenue, indicating opportunities to evaluate pricing strategy or upsell potential.</w:t>
      </w:r>
    </w:p>
    <w:p>
      <w:pPr>
        <w:pStyle w:val="Heading2"/>
      </w:pPr>
      <w:r>
        <w:t>3. Best Performing Age Group by Total Spending</w:t>
      </w:r>
    </w:p>
    <w:p>
      <w:r>
        <w:rPr>
          <w:b/>
        </w:rPr>
        <w:t>Status: Data Unavailable — Query Failure</w:t>
      </w:r>
    </w:p>
    <w:p>
      <w:pPr>
        <w:pStyle w:val="ListBullet"/>
      </w:pPr>
      <w:r>
        <w:t xml:space="preserve">This KPI could not be computed due to a </w:t>
      </w:r>
      <w:r>
        <w:rPr>
          <w:b/>
        </w:rPr>
        <w:t>SQL syntax error</w:t>
      </w:r>
      <w:r>
        <w:t xml:space="preserve"> encountered during query execution.</w:t>
      </w:r>
    </w:p>
    <w:p>
      <w:pPr>
        <w:pStyle w:val="ListBullet"/>
      </w:pPr>
      <w:r>
        <w:t xml:space="preserve">The system log indicates the following error: </w:t>
      </w:r>
      <w:r>
        <w:rPr>
          <w:i/>
        </w:rPr>
        <w:t>"Syntax error at or near 'I' — the customer table does not appear to contain an age or birth date column."</w:t>
      </w:r>
    </w:p>
    <w:p>
      <w:pPr>
        <w:pStyle w:val="ListBullet"/>
      </w:pPr>
      <w:r>
        <w:rPr>
          <w:b/>
        </w:rPr>
        <w:t>Recommended Action:</w:t>
      </w:r>
      <w:r>
        <w:t xml:space="preserve"> The analytics team should review the underlying database schema to confirm the availability of demographic age data. If age data exists under an alternate column name, the query should be corrected and re-executed. If no such data is available, a data collection initiative should be prioritized to enable future age-based segmentation.</w:t>
      </w:r>
    </w:p>
    <w:p>
      <w:pPr>
        <w:pStyle w:val="ListBullet"/>
      </w:pPr>
      <w:r>
        <w:t>This gap represents a missed opportunity for targeted marketing and customer lifetime value analysis.</w:t>
      </w:r>
    </w:p>
    <w:p>
      <w:pPr>
        <w:pStyle w:val="Heading2"/>
      </w:pPr>
      <w:r>
        <w:t>4. Sales Distribution by Gender</w:t>
      </w:r>
    </w:p>
    <w:p>
      <w:r>
        <w:t>This KPI analyzes total orders, customer count, total sales, average sale per item, and percentage share of overall sales segmented by gender.</w:t>
      </w:r>
    </w:p>
    <w:p>
      <w:pPr>
        <w:pStyle w:val="Heading3"/>
      </w:pPr>
      <w:r>
        <w:t>Unknown / Unclassified Gender</w:t>
      </w:r>
    </w:p>
    <w:p>
      <w:pPr>
        <w:pStyle w:val="ListBullet"/>
      </w:pPr>
      <w:r>
        <w:t xml:space="preserve">Total Orders: </w:t>
      </w:r>
      <w:r>
        <w:rPr>
          <w:b/>
        </w:rPr>
        <w:t>17,901</w:t>
      </w:r>
      <w:r>
        <w:t xml:space="preserve"> | Total Customers: </w:t>
      </w:r>
      <w:r>
        <w:rPr>
          <w:b/>
        </w:rPr>
        <w:t>558</w:t>
      </w:r>
    </w:p>
    <w:p>
      <w:pPr>
        <w:pStyle w:val="ListBullet"/>
      </w:pPr>
      <w:r>
        <w:t xml:space="preserve">Total Sales: </w:t>
      </w:r>
      <w:r>
        <w:rPr>
          <w:b/>
        </w:rPr>
        <w:t>$10,436,842.74</w:t>
      </w:r>
    </w:p>
    <w:p>
      <w:pPr>
        <w:pStyle w:val="ListBullet"/>
      </w:pPr>
      <w:r>
        <w:t xml:space="preserve">Average Sale Per Item: </w:t>
      </w:r>
      <w:r>
        <w:rPr>
          <w:b/>
        </w:rPr>
        <w:t>$583.03</w:t>
      </w:r>
    </w:p>
    <w:p>
      <w:pPr>
        <w:pStyle w:val="ListBullet"/>
      </w:pPr>
      <w:r>
        <w:t xml:space="preserve">Sales Percentage: </w:t>
      </w:r>
      <w:r>
        <w:rPr>
          <w:b/>
        </w:rPr>
        <w:t>82.56%</w:t>
      </w:r>
    </w:p>
    <w:p>
      <w:pPr>
        <w:pStyle w:val="ListBullet"/>
      </w:pPr>
      <w:r>
        <w:t xml:space="preserve">The overwhelming majority of sales — over </w:t>
      </w:r>
      <w:r>
        <w:rPr>
          <w:b/>
        </w:rPr>
        <w:t>82%</w:t>
      </w:r>
      <w:r>
        <w:t xml:space="preserve"> — are attributed to customers whose gender is unclassified. This is a significant data quality concern that severely limits the usefulness of gender-based segmentation.</w:t>
      </w:r>
    </w:p>
    <w:p>
      <w:pPr>
        <w:pStyle w:val="Heading3"/>
      </w:pPr>
      <w:r>
        <w:t>Male</w:t>
      </w:r>
    </w:p>
    <w:p>
      <w:pPr>
        <w:pStyle w:val="ListBullet"/>
      </w:pPr>
      <w:r>
        <w:t xml:space="preserve">Total Orders: </w:t>
      </w:r>
      <w:r>
        <w:rPr>
          <w:b/>
        </w:rPr>
        <w:t>3,200</w:t>
      </w:r>
      <w:r>
        <w:t xml:space="preserve"> | Total Customers: </w:t>
      </w:r>
      <w:r>
        <w:rPr>
          <w:b/>
        </w:rPr>
        <w:t>83</w:t>
      </w:r>
    </w:p>
    <w:p>
      <w:pPr>
        <w:pStyle w:val="ListBullet"/>
      </w:pPr>
      <w:r>
        <w:t xml:space="preserve">Total Sales: </w:t>
      </w:r>
      <w:r>
        <w:rPr>
          <w:b/>
        </w:rPr>
        <w:t>$1,902,176.86</w:t>
      </w:r>
    </w:p>
    <w:p>
      <w:pPr>
        <w:pStyle w:val="ListBullet"/>
      </w:pPr>
      <w:r>
        <w:t xml:space="preserve">Average Sale Per Item: </w:t>
      </w:r>
      <w:r>
        <w:rPr>
          <w:b/>
        </w:rPr>
        <w:t>$594.43</w:t>
      </w:r>
    </w:p>
    <w:p>
      <w:pPr>
        <w:pStyle w:val="ListBullet"/>
      </w:pPr>
      <w:r>
        <w:t xml:space="preserve">Sales Percentage: </w:t>
      </w:r>
      <w:r>
        <w:rPr>
          <w:b/>
        </w:rPr>
        <w:t>15.05%</w:t>
      </w:r>
    </w:p>
    <w:p>
      <w:pPr>
        <w:pStyle w:val="ListBullet"/>
      </w:pPr>
      <w:r>
        <w:t>Male-identified customers represent the largest share of classified gender sales, with the highest average sale per item among all gender groups.</w:t>
      </w:r>
    </w:p>
    <w:p>
      <w:pPr>
        <w:pStyle w:val="Heading3"/>
      </w:pPr>
      <w:r>
        <w:t>Female</w:t>
      </w:r>
    </w:p>
    <w:p>
      <w:pPr>
        <w:pStyle w:val="ListBullet"/>
      </w:pPr>
      <w:r>
        <w:t xml:space="preserve">Total Orders: </w:t>
      </w:r>
      <w:r>
        <w:rPr>
          <w:b/>
        </w:rPr>
        <w:t>528</w:t>
      </w:r>
      <w:r>
        <w:t xml:space="preserve"> | Total Customers: </w:t>
      </w:r>
      <w:r>
        <w:rPr>
          <w:b/>
        </w:rPr>
        <w:t>45</w:t>
      </w:r>
    </w:p>
    <w:p>
      <w:pPr>
        <w:pStyle w:val="ListBullet"/>
      </w:pPr>
      <w:r>
        <w:t xml:space="preserve">Total Sales: </w:t>
      </w:r>
      <w:r>
        <w:rPr>
          <w:b/>
        </w:rPr>
        <w:t>$303,050.96</w:t>
      </w:r>
    </w:p>
    <w:p>
      <w:pPr>
        <w:pStyle w:val="ListBullet"/>
      </w:pPr>
      <w:r>
        <w:t xml:space="preserve">Average Sale Per Item: </w:t>
      </w:r>
      <w:r>
        <w:rPr>
          <w:b/>
        </w:rPr>
        <w:t>$573.96</w:t>
      </w:r>
    </w:p>
    <w:p>
      <w:pPr>
        <w:pStyle w:val="ListBullet"/>
      </w:pPr>
      <w:r>
        <w:t xml:space="preserve">Sales Percentage: </w:t>
      </w:r>
      <w:r>
        <w:rPr>
          <w:b/>
        </w:rPr>
        <w:t>2.40%</w:t>
      </w:r>
    </w:p>
    <w:p>
      <w:pPr>
        <w:pStyle w:val="ListBullet"/>
      </w:pPr>
      <w:r>
        <w:t>Female-identified customers represent a small but non-trivial segment of classified sales.</w:t>
      </w:r>
    </w:p>
    <w:p>
      <w:pPr>
        <w:pStyle w:val="Heading3"/>
      </w:pPr>
      <w:r>
        <w:t>Key Gender Segmentation Findings:</w:t>
      </w:r>
    </w:p>
    <w:p>
      <w:pPr>
        <w:pStyle w:val="ListBullet"/>
      </w:pPr>
      <w:r>
        <w:t xml:space="preserve">The </w:t>
      </w:r>
      <w:r>
        <w:rPr>
          <w:b/>
        </w:rPr>
        <w:t>82.56% unclassified gender rate</w:t>
      </w:r>
      <w:r>
        <w:t xml:space="preserve"> renders meaningful gender-based analysis nearly impossible at this time and must be treated as a </w:t>
      </w:r>
      <w:r>
        <w:rPr>
          <w:b/>
        </w:rPr>
        <w:t>critical data integrity issue</w:t>
      </w:r>
      <w:r>
        <w:t>.</w:t>
      </w:r>
    </w:p>
    <w:p>
      <w:pPr>
        <w:pStyle w:val="ListBullet"/>
      </w:pPr>
      <w:r>
        <w:t xml:space="preserve">Among classified customers, </w:t>
      </w:r>
      <w:r>
        <w:rPr>
          <w:b/>
        </w:rPr>
        <w:t>male customers outperform female customers</w:t>
      </w:r>
      <w:r>
        <w:t xml:space="preserve"> across all measured metrics — orders, total sales, and average sale value.</w:t>
      </w:r>
    </w:p>
    <w:p>
      <w:pPr>
        <w:pStyle w:val="ListBullet"/>
      </w:pPr>
      <w:r>
        <w:t>The average sale per item is relatively consistent across all groups ($574–$594), suggesting price sensitivity does not vary significantly by gender among classified customers.</w:t>
      </w:r>
    </w:p>
    <w:p>
      <w:pPr>
        <w:pStyle w:val="ListBullet"/>
      </w:pPr>
      <w:r>
        <w:rPr>
          <w:b/>
        </w:rPr>
        <w:t>Recommended Action:</w:t>
      </w:r>
      <w:r>
        <w:t xml:space="preserve"> Implement a structured data collection process at the point of customer registration or transaction to capture gender information. A data cleansing initiative should also be applied to existing records where possible.</w:t>
      </w:r>
    </w:p>
    <w:p>
      <w:pPr>
        <w:pStyle w:val="Heading2"/>
      </w:pPr>
      <w:r>
        <w:t>5. Top 3 Months by Revenue</w:t>
      </w:r>
    </w:p>
    <w:p>
      <w:r>
        <w:t>This KPI identifies the three highest-grossing months across the full transaction history.</w:t>
      </w:r>
    </w:p>
    <w:p>
      <w:pPr>
        <w:pStyle w:val="ListBullet"/>
      </w:pPr>
      <w:r>
        <w:rPr>
          <w:b/>
        </w:rPr>
        <w:t>1st Place — September 2021:</w:t>
      </w:r>
      <w:r>
        <w:t xml:space="preserve"> Total Revenue of </w:t>
      </w:r>
      <w:r>
        <w:rPr>
          <w:b/>
        </w:rPr>
        <w:t>$365,575.51</w:t>
      </w:r>
    </w:p>
    <w:p>
      <w:pPr>
        <w:pStyle w:val="ListBullet"/>
      </w:pPr>
      <w:r>
        <w:rPr>
          <w:b/>
        </w:rPr>
        <w:t>2nd Place — August 2023:</w:t>
      </w:r>
      <w:r>
        <w:t xml:space="preserve"> Total Revenue of </w:t>
      </w:r>
      <w:r>
        <w:rPr>
          <w:b/>
        </w:rPr>
        <w:t>$359,027.24</w:t>
      </w:r>
    </w:p>
    <w:p>
      <w:pPr>
        <w:pStyle w:val="ListBullet"/>
      </w:pPr>
      <w:r>
        <w:rPr>
          <w:b/>
        </w:rPr>
        <w:t>3rd Place — July 2021:</w:t>
      </w:r>
      <w:r>
        <w:t xml:space="preserve"> Total Revenue of </w:t>
      </w:r>
      <w:r>
        <w:rPr>
          <w:b/>
        </w:rPr>
        <w:t>$341,012.73</w:t>
      </w:r>
    </w:p>
    <w:p>
      <w:pPr>
        <w:pStyle w:val="Heading3"/>
      </w:pPr>
      <w:r>
        <w:t>Key Findings:</w:t>
      </w:r>
    </w:p>
    <w:p>
      <w:pPr>
        <w:pStyle w:val="ListBullet"/>
      </w:pPr>
      <w:r>
        <w:t xml:space="preserve">Two of the top three revenue months occurred in </w:t>
      </w:r>
      <w:r>
        <w:rPr>
          <w:b/>
        </w:rPr>
        <w:t>mid-to-late 2021</w:t>
      </w:r>
      <w:r>
        <w:t>, suggesting that this period represented a significant peak in commercial activity.</w:t>
      </w:r>
    </w:p>
    <w:p>
      <w:pPr>
        <w:pStyle w:val="ListBullet"/>
      </w:pPr>
      <w:r>
        <w:t xml:space="preserve">All three top-performing months fall within the </w:t>
      </w:r>
      <w:r>
        <w:rPr>
          <w:b/>
        </w:rPr>
        <w:t>July–September window</w:t>
      </w:r>
      <w:r>
        <w:t xml:space="preserve">, indicating a potential </w:t>
      </w:r>
      <w:r>
        <w:rPr>
          <w:b/>
        </w:rPr>
        <w:t>seasonal sales uplift</w:t>
      </w:r>
      <w:r>
        <w:t xml:space="preserve"> during the summer and early autumn period.</w:t>
      </w:r>
    </w:p>
    <w:p>
      <w:pPr>
        <w:pStyle w:val="ListBullet"/>
      </w:pPr>
      <w:r>
        <w:t xml:space="preserve">The reappearance of a peak month in </w:t>
      </w:r>
      <w:r>
        <w:rPr>
          <w:b/>
        </w:rPr>
        <w:t>August 2023</w:t>
      </w:r>
      <w:r>
        <w:t xml:space="preserve"> suggests this seasonal pattern may be recurring and could be leveraged for targeted promotional campaigns and inventory planning.</w:t>
      </w:r>
    </w:p>
    <w:p>
      <w:pPr>
        <w:pStyle w:val="ListBullet"/>
      </w:pPr>
      <w:r>
        <w:rPr>
          <w:b/>
        </w:rPr>
        <w:t>Recommended Action:</w:t>
      </w:r>
      <w:r>
        <w:t xml:space="preserve"> Conduct a full month-by-month revenue trend analysis to confirm seasonality patterns and determine whether the summer period consistently outperforms other quarters. This would enable more precise forecasting and resource allocation.</w:t>
      </w:r>
    </w:p>
    <w:p>
      <w:pPr>
        <w:pStyle w:val="Heading2"/>
      </w:pPr>
      <w:r>
        <w:t>Summary of Recommendations</w:t>
      </w:r>
    </w:p>
    <w:p>
      <w:pPr>
        <w:pStyle w:val="ListNumber"/>
      </w:pPr>
      <w:r>
        <w:rPr>
          <w:b/>
        </w:rPr>
        <w:t>Reduce category concentration risk</w:t>
      </w:r>
      <w:r>
        <w:t xml:space="preserve"> by investing in marketing and product development for non-electronics categories, particularly Sports &amp; Outdoors and Pet Supplies, which already demonstrate strong unit volume.</w:t>
      </w:r>
    </w:p>
    <w:p>
      <w:pPr>
        <w:pStyle w:val="ListNumber"/>
      </w:pPr>
      <w:r>
        <w:rPr>
          <w:b/>
        </w:rPr>
        <w:t>Remediate the age group query failure</w:t>
      </w:r>
      <w:r>
        <w:t xml:space="preserve"> by auditing the database schema and either correcting the query or initiating a data collection program to capture customer age information.</w:t>
      </w:r>
    </w:p>
    <w:p>
      <w:pPr>
        <w:pStyle w:val="ListNumber"/>
      </w:pPr>
      <w:r>
        <w:rPr>
          <w:b/>
        </w:rPr>
        <w:t>Address the gender classification data gap</w:t>
      </w:r>
      <w:r>
        <w:t xml:space="preserve"> as a priority data governance initiative, as the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