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b916a9287cedea0e6606cacc202a8b7c198b12"/>
    <w:p>
      <w:pPr>
        <w:pStyle w:val="Heading1"/>
      </w:pPr>
      <w:r>
        <w:t xml:space="preserve">Integrated Thinking, ESG Costs and the Levers of Control at Campari Group</w:t>
      </w:r>
    </w:p>
    <w:bookmarkStart w:id="20" w:name="X958762e8c7a4b75c057723cca9173ca1b2ba61e"/>
    <w:p>
      <w:pPr>
        <w:pStyle w:val="Heading3"/>
      </w:pPr>
      <w:r>
        <w:t xml:space="preserve">Applying the</w:t>
      </w:r>
      <w:r>
        <w:t xml:space="preserve"> </w:t>
      </w:r>
      <w:r>
        <w:rPr>
          <w:rStyle w:val="VerbatimChar"/>
        </w:rPr>
        <w:t xml:space="preserve">&lt;IR&gt;</w:t>
      </w:r>
      <w:r>
        <w:t xml:space="preserve"> </w:t>
      </w:r>
      <w:r>
        <w:t xml:space="preserve">Framework, ESG Cost Analysis and Simons’ Levers of Control to Davide Campari-Milano N.V.</w:t>
      </w:r>
    </w:p>
    <w:p>
      <w:pPr>
        <w:pStyle w:val="FirstParagraph"/>
      </w:pPr>
      <w:r>
        <w:rPr>
          <w:bCs/>
          <w:b/>
        </w:rPr>
        <w:t xml:space="preserve">Course:</w:t>
      </w:r>
      <w:r>
        <w:t xml:space="preserve"> </w:t>
      </w:r>
      <w:r>
        <w:t xml:space="preserve">CON 34122 · Control y Gestión de Costos</w:t>
      </w:r>
      <w:r>
        <w:t xml:space="preserve"> </w:t>
      </w:r>
      <w:r>
        <w:rPr>
          <w:bCs/>
          <w:b/>
        </w:rPr>
        <w:t xml:space="preserve">Program:</w:t>
      </w:r>
      <w:r>
        <w:t xml:space="preserve"> </w:t>
      </w:r>
      <w:r>
        <w:t xml:space="preserve">ITAM — Maestría · April–June 2026</w:t>
      </w:r>
      <w:r>
        <w:t xml:space="preserve"> </w:t>
      </w:r>
      <w:r>
        <w:rPr>
          <w:bCs/>
          <w:b/>
        </w:rPr>
        <w:t xml:space="preserve">Professor:</w:t>
      </w:r>
      <w:r>
        <w:t xml:space="preserve"> </w:t>
      </w:r>
      <w:r>
        <w:t xml:space="preserve">Orlando Garciacano C.</w:t>
      </w:r>
      <w:r>
        <w:t xml:space="preserve"> </w:t>
      </w:r>
      <w:r>
        <w:rPr>
          <w:bCs/>
          <w:b/>
        </w:rPr>
        <w:t xml:space="preserve">Modality:</w:t>
      </w:r>
      <w:r>
        <w:t xml:space="preserve"> </w:t>
      </w:r>
      <w:r>
        <w:t xml:space="preserve">Individual final paper</w:t>
      </w:r>
      <w:r>
        <w:t xml:space="preserve"> </w:t>
      </w:r>
      <w:r>
        <w:rPr>
          <w:bCs/>
          <w:b/>
        </w:rPr>
        <w:t xml:space="preserve">Company analysed:</w:t>
      </w:r>
      <w:r>
        <w:t xml:space="preserve"> </w:t>
      </w:r>
      <w:r>
        <w:t xml:space="preserve">Davide Campari-Milano N.V. (Campari Group) —</w:t>
      </w:r>
      <w:r>
        <w:t xml:space="preserve"> </w:t>
      </w:r>
      <w:r>
        <w:rPr>
          <w:iCs/>
          <w:i/>
        </w:rPr>
        <w:t xml:space="preserve">Option C: company with public sustainability / annual reporting</w:t>
      </w:r>
      <w:r>
        <w:t xml:space="preserve"> </w:t>
      </w:r>
      <w:r>
        <w:rPr>
          <w:bCs/>
          <w:b/>
        </w:rPr>
        <w:t xml:space="preserve">Date:</w:t>
      </w:r>
      <w:r>
        <w:t xml:space="preserve"> </w:t>
      </w:r>
      <w:r>
        <w:t xml:space="preserve">June 2026</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paper analyses</w:t>
      </w:r>
      <w:r>
        <w:t xml:space="preserve"> </w:t>
      </w:r>
      <w:r>
        <w:rPr>
          <w:bCs/>
          <w:b/>
        </w:rPr>
        <w:t xml:space="preserve">Campari Group</w:t>
      </w:r>
      <w:r>
        <w:t xml:space="preserve">, the world’s sixth-largest premium spirits company, through the three conceptual threads of the course: the</w:t>
      </w:r>
      <w:r>
        <w:t xml:space="preserve"> </w:t>
      </w:r>
      <w:r>
        <w:rPr>
          <w:bCs/>
          <w:b/>
        </w:rPr>
        <w:t xml:space="preserve">Integrated Reporting</w:t>
      </w:r>
      <w:r>
        <w:rPr>
          <w:bCs/>
          <w:b/>
        </w:rPr>
        <w:t xml:space="preserve"> </w:t>
      </w:r>
      <w:r>
        <w:rPr>
          <w:rStyle w:val="VerbatimChar"/>
          <w:bCs/>
          <w:b/>
        </w:rPr>
        <w:t xml:space="preserve">&lt;IR&gt;</w:t>
      </w:r>
      <w:r>
        <w:rPr>
          <w:bCs/>
          <w:b/>
        </w:rPr>
        <w:t xml:space="preserve"> </w:t>
      </w:r>
      <w:r>
        <w:rPr>
          <w:bCs/>
          <w:b/>
        </w:rPr>
        <w:t xml:space="preserve">Framework</w:t>
      </w:r>
      <w:r>
        <w:t xml:space="preserve"> </w:t>
      </w:r>
      <w:r>
        <w:t xml:space="preserve">and its</w:t>
      </w:r>
      <w:r>
        <w:t xml:space="preserve"> </w:t>
      </w:r>
      <w:r>
        <w:rPr>
          <w:bCs/>
          <w:b/>
        </w:rPr>
        <w:t xml:space="preserve">6 Capitals</w:t>
      </w:r>
      <w:r>
        <w:t xml:space="preserve">, the analysis of</w:t>
      </w:r>
      <w:r>
        <w:t xml:space="preserve"> </w:t>
      </w:r>
      <w:r>
        <w:rPr>
          <w:bCs/>
          <w:b/>
        </w:rPr>
        <w:t xml:space="preserve">ESG costs</w:t>
      </w:r>
      <w:r>
        <w:t xml:space="preserve"> </w:t>
      </w:r>
      <w:r>
        <w:t xml:space="preserve">(financial and non-financial), and</w:t>
      </w:r>
      <w:r>
        <w:t xml:space="preserve"> </w:t>
      </w:r>
      <w:r>
        <w:rPr>
          <w:bCs/>
          <w:b/>
        </w:rPr>
        <w:t xml:space="preserve">Robert Simons’ Levers of Control</w:t>
      </w:r>
      <w:r>
        <w:t xml:space="preserve">.</w:t>
      </w:r>
    </w:p>
    <w:p>
      <w:pPr>
        <w:pStyle w:val="BodyText"/>
      </w:pPr>
      <w:r>
        <w:t xml:space="preserve">Campari is a particularly instructive case because its economics are dominated by costs that the traditional accounting system does</w:t>
      </w:r>
      <w:r>
        <w:t xml:space="preserve"> </w:t>
      </w:r>
      <w:r>
        <w:rPr>
          <w:iCs/>
          <w:i/>
        </w:rPr>
        <w:t xml:space="preserve">not</w:t>
      </w:r>
      <w:r>
        <w:t xml:space="preserve"> </w:t>
      </w:r>
      <w:r>
        <w:t xml:space="preserve">capture well. Roughly</w:t>
      </w:r>
      <w:r>
        <w:t xml:space="preserve"> </w:t>
      </w:r>
      <w:r>
        <w:rPr>
          <w:bCs/>
          <w:b/>
        </w:rPr>
        <w:t xml:space="preserve">93% of its carbon footprint sits in Scope 3</w:t>
      </w:r>
      <w:r>
        <w:t xml:space="preserve"> </w:t>
      </w:r>
      <w:r>
        <w:t xml:space="preserve">(≈819,971 t CO₂e in 2024, of which ~62% is purchased goods — overwhelmingly</w:t>
      </w:r>
      <w:r>
        <w:t xml:space="preserve"> </w:t>
      </w:r>
      <w:r>
        <w:rPr>
          <w:bCs/>
          <w:b/>
        </w:rPr>
        <w:t xml:space="preserve">glass packaging</w:t>
      </w:r>
      <w:r>
        <w:t xml:space="preserve"> </w:t>
      </w:r>
      <w:r>
        <w:t xml:space="preserve">and agricultural raw materials), while its reported income statement shows only the</w:t>
      </w:r>
      <w:r>
        <w:t xml:space="preserve"> </w:t>
      </w:r>
      <w:r>
        <w:rPr>
          <w:bCs/>
          <w:b/>
        </w:rPr>
        <w:t xml:space="preserve">tariff</w:t>
      </w:r>
      <w:r>
        <w:t xml:space="preserve"> </w:t>
      </w:r>
      <w:r>
        <w:t xml:space="preserve">for energy, water and waste, not their real cost on the Natural and Social capitals. Its most strategic raw material —</w:t>
      </w:r>
      <w:r>
        <w:t xml:space="preserve"> </w:t>
      </w:r>
      <w:r>
        <w:rPr>
          <w:bCs/>
          <w:b/>
        </w:rPr>
        <w:t xml:space="preserve">Blue Weber agave</w:t>
      </w:r>
      <w:r>
        <w:t xml:space="preserve"> </w:t>
      </w:r>
      <w:r>
        <w:t xml:space="preserve">for the Espolòn tequila house — has a</w:t>
      </w:r>
      <w:r>
        <w:t xml:space="preserve"> </w:t>
      </w:r>
      <w:r>
        <w:rPr>
          <w:bCs/>
          <w:b/>
        </w:rPr>
        <w:t xml:space="preserve">7–8 year biological cycle</w:t>
      </w:r>
      <w:r>
        <w:t xml:space="preserve">, creating a long-horizon cost-and-supply exposure invisible to a period-by-period P&amp;L.</w:t>
      </w:r>
    </w:p>
    <w:p>
      <w:pPr>
        <w:pStyle w:val="BodyText"/>
      </w:pPr>
      <w:r>
        <w:t xml:space="preserve">The central argument is that Campari</w:t>
      </w:r>
      <w:r>
        <w:t xml:space="preserve"> </w:t>
      </w:r>
      <w:r>
        <w:rPr>
          <w:bCs/>
          <w:b/>
        </w:rPr>
        <w:t xml:space="preserve">manages the financial capital extremely well and the natural capital surprisingly well at the operational level</w:t>
      </w:r>
      <w:r>
        <w:t xml:space="preserve"> </w:t>
      </w:r>
      <w:r>
        <w:t xml:space="preserve">(98.4% renewable electricity, water intensity −66% vs. 2019), but its</w:t>
      </w:r>
      <w:r>
        <w:t xml:space="preserve"> </w:t>
      </w:r>
      <w:r>
        <w:rPr>
          <w:bCs/>
          <w:b/>
        </w:rPr>
        <w:t xml:space="preserve">cost system and its Levers of Control are not yet wired to see, cost and steer the Scope 3 / packaging / agricultural exposure</w:t>
      </w:r>
      <w:r>
        <w:t xml:space="preserve"> </w:t>
      </w:r>
      <w:r>
        <w:t xml:space="preserve">that is, financially and from an impact standpoint, its single most material ESG issue. Using the diagnostic logic of Simons, the</w:t>
      </w:r>
      <w:r>
        <w:t xml:space="preserve"> </w:t>
      </w:r>
      <w:r>
        <w:rPr>
          <w:bCs/>
          <w:b/>
        </w:rPr>
        <w:t xml:space="preserve">weakest lever today is the Diagnostic Control System for non-financial Critical Performance Variables</w:t>
      </w:r>
      <w:r>
        <w:t xml:space="preserve">, with a secondary gap in the</w:t>
      </w:r>
      <w:r>
        <w:t xml:space="preserve"> </w:t>
      </w:r>
      <w:r>
        <w:rPr>
          <w:bCs/>
          <w:b/>
        </w:rPr>
        <w:t xml:space="preserve">Boundary Systems</w:t>
      </w:r>
      <w:r>
        <w:t xml:space="preserve"> </w:t>
      </w:r>
      <w:r>
        <w:t xml:space="preserve">governing the supply chain.</w:t>
      </w:r>
    </w:p>
    <w:p>
      <w:pPr>
        <w:pStyle w:val="BodyText"/>
      </w:pPr>
      <w:r>
        <w:t xml:space="preserve">The paper closes with concrete, course-anchored proposals organised by the four levers and a phased implementation roadmap (6 months / 1–2 years / 3–5 years).</w:t>
      </w:r>
    </w:p>
    <w:p>
      <w:pPr>
        <w:pStyle w:val="BlockText"/>
      </w:pPr>
      <w:r>
        <w:rPr>
          <w:bCs/>
          <w:b/>
        </w:rPr>
        <w:t xml:space="preserve">A note on data and the</w:t>
      </w:r>
      <w:r>
        <w:rPr>
          <w:bCs/>
          <w:b/>
        </w:rPr>
        <w:t xml:space="preserve"> </w:t>
      </w:r>
      <w:r>
        <w:rPr>
          <w:bCs/>
          <w:b/>
        </w:rPr>
        <w:t xml:space="preserve">“</w:t>
      </w:r>
      <w:r>
        <w:rPr>
          <w:bCs/>
          <w:b/>
        </w:rPr>
        <w:t xml:space="preserve">AI test.</w:t>
      </w:r>
      <w:r>
        <w:rPr>
          <w:bCs/>
          <w:b/>
        </w:rPr>
        <w:t xml:space="preserve">”</w:t>
      </w:r>
      <w:r>
        <w:t xml:space="preserve"> </w:t>
      </w:r>
      <w:r>
        <w:t xml:space="preserve">Campari’s granular cost data is not public. Where the analysis requires figures the company does not disclose (e.g., the cost-pool split of overhead, the per-bottle carbon cost), this paper builds</w:t>
      </w:r>
      <w:r>
        <w:t xml:space="preserve"> </w:t>
      </w:r>
      <w:r>
        <w:rPr>
          <w:bCs/>
          <w:b/>
        </w:rPr>
        <w:t xml:space="preserve">explicit, reasoned, clearly-labelled assumptions</w:t>
      </w:r>
      <w:r>
        <w:t xml:space="preserve"> </w:t>
      </w:r>
      <w:r>
        <w:t xml:space="preserve">from real public anchors (net sales, gross margin, GHG inventory, capacity investments). Every illustrative number is flagged as such. Real public figures are cited to source. Nine specific data points that require confirmation against the primary</w:t>
      </w:r>
      <w:r>
        <w:t xml:space="preserve"> </w:t>
      </w:r>
      <w:r>
        <w:rPr>
          <w:iCs/>
          <w:i/>
        </w:rPr>
        <w:t xml:space="preserve">Annual Report 2024</w:t>
      </w:r>
      <w:r>
        <w:t xml:space="preserve"> </w:t>
      </w:r>
      <w:r>
        <w:t xml:space="preserve">are listed in</w:t>
      </w:r>
      <w:r>
        <w:t xml:space="preserve"> </w:t>
      </w:r>
      <w:r>
        <w:rPr>
          <w:bCs/>
          <w:b/>
        </w:rPr>
        <w:t xml:space="preserve">Appendix B</w:t>
      </w:r>
      <w:r>
        <w:t xml:space="preserve">. This is the analytical posture the rubric requests for Option C/D work: the value is in the</w:t>
      </w:r>
      <w:r>
        <w:t xml:space="preserve"> </w:t>
      </w:r>
      <w:r>
        <w:rPr>
          <w:iCs/>
          <w:i/>
        </w:rPr>
        <w:t xml:space="preserve">application</w:t>
      </w:r>
      <w:r>
        <w:t xml:space="preserve"> </w:t>
      </w:r>
      <w:r>
        <w:t xml:space="preserve">of the frameworks to Campari’s specific reality, not in generic theory.</w:t>
      </w:r>
    </w:p>
    <w:p>
      <w:r>
        <w:pict>
          <v:rect style="width:0;height:1.5pt" o:hralign="center" o:hrstd="t" o:hr="t"/>
        </w:pict>
      </w:r>
    </w:p>
    <w:bookmarkEnd w:id="21"/>
    <w:bookmarkEnd w:id="22"/>
    <w:bookmarkStart w:id="28" w:name="X1263a16b75a9f08c3eb3610441fd073ca07be5c"/>
    <w:p>
      <w:pPr>
        <w:pStyle w:val="Heading1"/>
      </w:pPr>
      <w:r>
        <w:t xml:space="preserve">SECTION 1 · Analysis of the Current Situation</w:t>
      </w:r>
    </w:p>
    <w:p>
      <w:pPr>
        <w:pStyle w:val="FirstParagraph"/>
      </w:pPr>
      <w:r>
        <w:rPr>
          <w:iCs/>
          <w:i/>
        </w:rPr>
        <w:t xml:space="preserve">Purpose: to demonstrate that Campari can be read with the lenses of the course — not only with traditional financial accounting.</w:t>
      </w:r>
    </w:p>
    <w:bookmarkStart w:id="23" w:name="company-description"/>
    <w:p>
      <w:pPr>
        <w:pStyle w:val="Heading2"/>
      </w:pPr>
      <w:r>
        <w:t xml:space="preserve">1.1 Company description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Legal entity</w:t>
            </w:r>
          </w:p>
        </w:tc>
        <w:tc>
          <w:tcPr/>
          <w:p>
            <w:pPr>
              <w:pStyle w:val="Compact"/>
              <w:jc w:val="left"/>
            </w:pPr>
            <w:r>
              <w:t xml:space="preserve">Davide Campari-Milano N.V. (redomiciled in the Netherlands; historically an Italian S.p.A.). Operating HQ: Sesto San Giovanni, Milan. Founded 1860 by Gaspare Campari.</w:t>
            </w:r>
          </w:p>
        </w:tc>
      </w:tr>
      <w:tr>
        <w:tc>
          <w:tcPr/>
          <w:p>
            <w:pPr>
              <w:pStyle w:val="Compact"/>
              <w:jc w:val="left"/>
            </w:pPr>
            <w:r>
              <w:rPr>
                <w:bCs/>
                <w:b/>
              </w:rPr>
              <w:t xml:space="preserve">Sector</w:t>
            </w:r>
          </w:p>
        </w:tc>
        <w:tc>
          <w:tcPr/>
          <w:p>
            <w:pPr>
              <w:pStyle w:val="Compact"/>
              <w:jc w:val="left"/>
            </w:pPr>
            <w:r>
              <w:t xml:space="preserve">Premium and super-premium branded spirits (aperitifs, liqueurs, whiskey, rum, tequila, cognac, champagne). 6th-largest global player.</w:t>
            </w:r>
          </w:p>
        </w:tc>
      </w:tr>
      <w:tr>
        <w:tc>
          <w:tcPr/>
          <w:p>
            <w:pPr>
              <w:pStyle w:val="Compact"/>
              <w:jc w:val="left"/>
            </w:pPr>
            <w:r>
              <w:rPr>
                <w:bCs/>
                <w:b/>
              </w:rPr>
              <w:t xml:space="preserve">Business model</w:t>
            </w:r>
          </w:p>
        </w:tc>
        <w:tc>
          <w:tcPr/>
          <w:p>
            <w:pPr>
              <w:pStyle w:val="Compact"/>
              <w:jc w:val="left"/>
            </w:pPr>
            <w:r>
              <w:t xml:space="preserve">Brand-building and distribution of owned iconic brands, with growing</w:t>
            </w:r>
            <w:r>
              <w:t xml:space="preserve"> </w:t>
            </w:r>
            <w:r>
              <w:rPr>
                <w:bCs/>
                <w:b/>
              </w:rPr>
              <w:t xml:space="preserve">vertical integration</w:t>
            </w:r>
            <w:r>
              <w:t xml:space="preserve"> </w:t>
            </w:r>
            <w:r>
              <w:t xml:space="preserve">(control of raw materials and of the route-to-market). Direct distribution in key markets.</w:t>
            </w:r>
          </w:p>
        </w:tc>
      </w:tr>
      <w:tr>
        <w:tc>
          <w:tcPr/>
          <w:p>
            <w:pPr>
              <w:pStyle w:val="Compact"/>
              <w:jc w:val="left"/>
            </w:pPr>
            <w:r>
              <w:rPr>
                <w:bCs/>
                <w:b/>
              </w:rPr>
              <w:t xml:space="preserve">Main brands (Houses)</w:t>
            </w:r>
          </w:p>
        </w:tc>
        <w:tc>
          <w:tcPr/>
          <w:p>
            <w:pPr>
              <w:pStyle w:val="Compact"/>
              <w:jc w:val="left"/>
            </w:pPr>
            <w:r>
              <w:rPr>
                <w:iCs/>
                <w:i/>
              </w:rPr>
              <w:t xml:space="preserve">Aperitifs:</w:t>
            </w:r>
            <w:r>
              <w:t xml:space="preserve"> </w:t>
            </w:r>
            <w:r>
              <w:rPr>
                <w:bCs/>
                <w:b/>
              </w:rPr>
              <w:t xml:space="preserve">Aperol, Campari</w:t>
            </w:r>
            <w:r>
              <w:t xml:space="preserve">, Crodino, Cinzano ·</w:t>
            </w:r>
            <w:r>
              <w:t xml:space="preserve"> </w:t>
            </w:r>
            <w:r>
              <w:rPr>
                <w:iCs/>
                <w:i/>
              </w:rPr>
              <w:t xml:space="preserve">Whiskey &amp; Rum:</w:t>
            </w:r>
            <w:r>
              <w:t xml:space="preserve"> </w:t>
            </w:r>
            <w:r>
              <w:rPr>
                <w:bCs/>
                <w:b/>
              </w:rPr>
              <w:t xml:space="preserve">Wild Turkey</w:t>
            </w:r>
            <w:r>
              <w:t xml:space="preserve">, Appleton Estate, Wray &amp; Nephew ·</w:t>
            </w:r>
            <w:r>
              <w:t xml:space="preserve"> </w:t>
            </w:r>
            <w:r>
              <w:rPr>
                <w:iCs/>
                <w:i/>
              </w:rPr>
              <w:t xml:space="preserve">Agave:</w:t>
            </w:r>
            <w:r>
              <w:t xml:space="preserve"> </w:t>
            </w:r>
            <w:r>
              <w:rPr>
                <w:bCs/>
                <w:b/>
              </w:rPr>
              <w:t xml:space="preserve">Espolòn</w:t>
            </w:r>
            <w:r>
              <w:t xml:space="preserve">, Montelobos ·</w:t>
            </w:r>
            <w:r>
              <w:t xml:space="preserve"> </w:t>
            </w:r>
            <w:r>
              <w:rPr>
                <w:iCs/>
                <w:i/>
              </w:rPr>
              <w:t xml:space="preserve">Cognac &amp; Champagne:</w:t>
            </w:r>
            <w:r>
              <w:t xml:space="preserve"> </w:t>
            </w:r>
            <w:r>
              <w:rPr>
                <w:bCs/>
                <w:b/>
              </w:rPr>
              <w:t xml:space="preserve">Grand Marnier, Courvoisier</w:t>
            </w:r>
            <w:r>
              <w:t xml:space="preserve"> </w:t>
            </w:r>
            <w:r>
              <w:t xml:space="preserve">(acquired 2024), Lallier ·</w:t>
            </w:r>
            <w:r>
              <w:t xml:space="preserve"> </w:t>
            </w:r>
            <w:r>
              <w:rPr>
                <w:iCs/>
                <w:i/>
              </w:rPr>
              <w:t xml:space="preserve">Others:</w:t>
            </w:r>
            <w:r>
              <w:t xml:space="preserve"> </w:t>
            </w:r>
            <w:r>
              <w:t xml:space="preserve">SKYY, Bulldog, Averna, Aperol Spritz</w:t>
            </w:r>
          </w:p>
        </w:tc>
      </w:tr>
      <w:tr>
        <w:tc>
          <w:tcPr/>
          <w:p>
            <w:pPr>
              <w:pStyle w:val="Compact"/>
              <w:jc w:val="left"/>
            </w:pPr>
            <w:r>
              <w:rPr>
                <w:bCs/>
                <w:b/>
              </w:rPr>
              <w:t xml:space="preserve">Geographic footprint</w:t>
            </w:r>
          </w:p>
        </w:tc>
        <w:tc>
          <w:tcPr/>
          <w:p>
            <w:pPr>
              <w:pStyle w:val="Compact"/>
              <w:jc w:val="left"/>
            </w:pPr>
            <w:r>
              <w:t xml:space="preserve">Sells in</w:t>
            </w:r>
            <w:r>
              <w:t xml:space="preserve"> </w:t>
            </w:r>
            <w:r>
              <w:rPr>
                <w:bCs/>
                <w:b/>
              </w:rPr>
              <w:t xml:space="preserve">&gt;190 countries</w:t>
            </w:r>
            <w:r>
              <w:t xml:space="preserve">; owned distribution network in</w:t>
            </w:r>
            <w:r>
              <w:t xml:space="preserve"> </w:t>
            </w:r>
            <w:r>
              <w:rPr>
                <w:bCs/>
                <w:b/>
              </w:rPr>
              <w:t xml:space="preserve">~27 countries</w:t>
            </w:r>
          </w:p>
        </w:tc>
      </w:tr>
      <w:tr>
        <w:tc>
          <w:tcPr/>
          <w:p>
            <w:pPr>
              <w:pStyle w:val="Compact"/>
              <w:jc w:val="left"/>
            </w:pPr>
            <w:r>
              <w:rPr>
                <w:bCs/>
                <w:b/>
              </w:rPr>
              <w:t xml:space="preserve">Scale (FY2024)</w:t>
            </w:r>
          </w:p>
        </w:tc>
        <w:tc>
          <w:tcPr/>
          <w:p>
            <w:pPr>
              <w:pStyle w:val="Compact"/>
              <w:jc w:val="left"/>
            </w:pPr>
            <w:r>
              <w:t xml:space="preserve">Net sales</w:t>
            </w:r>
            <w:r>
              <w:t xml:space="preserve"> </w:t>
            </w:r>
            <w:r>
              <w:rPr>
                <w:bCs/>
                <w:b/>
              </w:rPr>
              <w:t xml:space="preserve">€3,070m</w:t>
            </w:r>
            <w:r>
              <w:t xml:space="preserve">; gross margin</w:t>
            </w:r>
            <w:r>
              <w:t xml:space="preserve"> </w:t>
            </w:r>
            <w:r>
              <w:rPr>
                <w:bCs/>
                <w:b/>
              </w:rPr>
              <w:t xml:space="preserve">57.6%</w:t>
            </w:r>
            <w:r>
              <w:t xml:space="preserve">; adjusted EBIT</w:t>
            </w:r>
            <w:r>
              <w:t xml:space="preserve"> </w:t>
            </w:r>
            <w:r>
              <w:rPr>
                <w:bCs/>
                <w:b/>
              </w:rPr>
              <w:t xml:space="preserve">€637m (20.9%)</w:t>
            </w:r>
            <w:r>
              <w:t xml:space="preserve">; ~4,000–5,000 employees (</w:t>
            </w:r>
            <w:r>
              <w:t xml:space="preserve">“</w:t>
            </w:r>
            <w:r>
              <w:t xml:space="preserve">Camparistas</w:t>
            </w:r>
            <w:r>
              <w:t xml:space="preserve">”</w:t>
            </w:r>
            <w:r>
              <w:t xml:space="preserve">); ~22–24 production sites</w:t>
            </w:r>
          </w:p>
        </w:tc>
      </w:tr>
    </w:tbl>
    <w:p>
      <w:pPr>
        <w:pStyle w:val="BodyText"/>
      </w:pPr>
      <w:r>
        <w:rPr>
          <w:bCs/>
          <w:b/>
        </w:rPr>
        <w:t xml:space="preserve">Reading Campari with the IIRC value-creation model.</w:t>
      </w:r>
      <w:r>
        <w:t xml:space="preserve"> </w:t>
      </w:r>
      <w:r>
        <w:t xml:space="preserve">Campari’s</w:t>
      </w:r>
      <w:r>
        <w:t xml:space="preserve"> </w:t>
      </w:r>
      <w:r>
        <w:rPr>
          <w:iCs/>
          <w:i/>
        </w:rPr>
        <w:t xml:space="preserve">inputs</w:t>
      </w:r>
      <w:r>
        <w:t xml:space="preserve"> </w:t>
      </w:r>
      <w:r>
        <w:t xml:space="preserve">are the six capitals (below); its</w:t>
      </w:r>
      <w:r>
        <w:t xml:space="preserve"> </w:t>
      </w:r>
      <w:r>
        <w:rPr>
          <w:iCs/>
          <w:i/>
        </w:rPr>
        <w:t xml:space="preserve">business model</w:t>
      </w:r>
      <w:r>
        <w:t xml:space="preserve"> </w:t>
      </w:r>
      <w:r>
        <w:t xml:space="preserve">transforms agricultural raw materials, glass and alcohol into branded spirits; its</w:t>
      </w:r>
      <w:r>
        <w:t xml:space="preserve"> </w:t>
      </w:r>
      <w:r>
        <w:rPr>
          <w:iCs/>
          <w:i/>
        </w:rPr>
        <w:t xml:space="preserve">outputs</w:t>
      </w:r>
      <w:r>
        <w:t xml:space="preserve"> </w:t>
      </w:r>
      <w:r>
        <w:t xml:space="preserve">are bottles, brand equity and — critically —</w:t>
      </w:r>
      <w:r>
        <w:t xml:space="preserve"> </w:t>
      </w:r>
      <w:r>
        <w:rPr>
          <w:bCs/>
          <w:b/>
        </w:rPr>
        <w:t xml:space="preserve">waste, emissions and water effluents</w:t>
      </w:r>
      <w:r>
        <w:t xml:space="preserve">; its</w:t>
      </w:r>
      <w:r>
        <w:t xml:space="preserve"> </w:t>
      </w:r>
      <w:r>
        <w:rPr>
          <w:iCs/>
          <w:i/>
        </w:rPr>
        <w:t xml:space="preserve">outcomes</w:t>
      </w:r>
      <w:r>
        <w:t xml:space="preserve"> </w:t>
      </w:r>
      <w:r>
        <w:t xml:space="preserve">are returns to shareholders, jobs and cultural cachet on one side, and carbon, water stress and alcohol-related social impact on the other. The direction of the IIRC arrow —</w:t>
      </w:r>
      <w:r>
        <w:t xml:space="preserve"> </w:t>
      </w:r>
      <w:r>
        <w:rPr>
          <w:bCs/>
          <w:b/>
        </w:rPr>
        <w:t xml:space="preserve">creation, preservation or erosion of value</w:t>
      </w:r>
      <w:r>
        <w:t xml:space="preserve"> </w:t>
      </w:r>
      <w:r>
        <w:t xml:space="preserve">— is exactly what a traditional P&amp;L cannot show on its own.</w:t>
      </w:r>
    </w:p>
    <w:bookmarkEnd w:id="23"/>
    <w:bookmarkStart w:id="24" w:name="the-6-capitals-at-campari"/>
    <w:p>
      <w:pPr>
        <w:pStyle w:val="Heading2"/>
      </w:pPr>
      <w:r>
        <w:t xml:space="preserve">1.2 The 6 Capitals at Campari</w:t>
      </w:r>
    </w:p>
    <w:p>
      <w:pPr>
        <w:pStyle w:val="FirstParagraph"/>
      </w:pPr>
      <w:r>
        <w:t xml:space="preserve">Following Session 1, each capital is both an</w:t>
      </w:r>
      <w:r>
        <w:t xml:space="preserve"> </w:t>
      </w:r>
      <w:r>
        <w:rPr>
          <w:bCs/>
          <w:b/>
        </w:rPr>
        <w:t xml:space="preserve">input</w:t>
      </w:r>
      <w:r>
        <w:t xml:space="preserve"> </w:t>
      </w:r>
      <w:r>
        <w:t xml:space="preserve">(what the firm uses) and an</w:t>
      </w:r>
      <w:r>
        <w:t xml:space="preserve"> </w:t>
      </w:r>
      <w:r>
        <w:rPr>
          <w:bCs/>
          <w:b/>
        </w:rPr>
        <w:t xml:space="preserve">outcome</w:t>
      </w:r>
      <w:r>
        <w:t xml:space="preserve"> </w:t>
      </w:r>
      <w:r>
        <w:t xml:space="preserve">(what it returns or erodes). The table assesses how well Campari manages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Capital</w:t>
            </w:r>
          </w:p>
        </w:tc>
        <w:tc>
          <w:tcPr/>
          <w:p>
            <w:pPr>
              <w:pStyle w:val="Compact"/>
              <w:jc w:val="left"/>
            </w:pPr>
            <w:r>
              <w:t xml:space="preserve">How it manifests at Campari</w:t>
            </w:r>
          </w:p>
        </w:tc>
        <w:tc>
          <w:tcPr/>
          <w:p>
            <w:pPr>
              <w:pStyle w:val="Compact"/>
              <w:jc w:val="left"/>
            </w:pPr>
            <w:r>
              <w:t xml:space="preserve">Managed</w:t>
            </w:r>
            <w:r>
              <w:t xml:space="preserve"> </w:t>
            </w:r>
            <w:r>
              <w:rPr>
                <w:bCs/>
                <w:b/>
              </w:rPr>
              <w:t xml:space="preserve">well</w:t>
            </w:r>
            <w:r>
              <w:t xml:space="preserve"> </w:t>
            </w:r>
            <w:r>
              <w:t xml:space="preserve">/</w:t>
            </w:r>
            <w:r>
              <w:t xml:space="preserve"> </w:t>
            </w:r>
            <w:r>
              <w:rPr>
                <w:bCs/>
                <w:b/>
              </w:rPr>
              <w:t xml:space="preserve">poorly</w:t>
            </w:r>
          </w:p>
        </w:tc>
      </w:tr>
      <w:tr>
        <w:tc>
          <w:tcPr/>
          <w:p>
            <w:pPr>
              <w:pStyle w:val="Compact"/>
              <w:jc w:val="left"/>
            </w:pPr>
            <w:r>
              <w:rPr>
                <w:bCs/>
                <w:b/>
              </w:rPr>
              <w:t xml:space="preserve">Financial</w:t>
            </w:r>
          </w:p>
        </w:tc>
        <w:tc>
          <w:tcPr/>
          <w:p>
            <w:pPr>
              <w:pStyle w:val="Compact"/>
              <w:jc w:val="left"/>
            </w:pPr>
            <w:r>
              <w:t xml:space="preserve">Net sales €3,070m; adj. EBIT margin 20.9%; gross margin 57.6%; Net debt/EBITDA 3.2x (raised by the €1.08bn Courvoisier acquisition).</w:t>
            </w:r>
          </w:p>
        </w:tc>
        <w:tc>
          <w:tcPr/>
          <w:p>
            <w:pPr>
              <w:pStyle w:val="Compact"/>
              <w:jc w:val="left"/>
            </w:pPr>
            <w:r>
              <w:rPr>
                <w:bCs/>
                <w:b/>
              </w:rPr>
              <w:t xml:space="preserve">Well.</w:t>
            </w:r>
            <w:r>
              <w:t xml:space="preserve"> </w:t>
            </w:r>
            <w:r>
              <w:t xml:space="preserve">Disciplined premium pricing and strong cash generation; leverage actively managed back down from 3.5x to 3.2x.</w:t>
            </w:r>
          </w:p>
        </w:tc>
      </w:tr>
      <w:tr>
        <w:tc>
          <w:tcPr/>
          <w:p>
            <w:pPr>
              <w:pStyle w:val="Compact"/>
              <w:jc w:val="left"/>
            </w:pPr>
            <w:r>
              <w:rPr>
                <w:bCs/>
                <w:b/>
              </w:rPr>
              <w:t xml:space="preserve">Physical (Manufactured)</w:t>
            </w:r>
          </w:p>
        </w:tc>
        <w:tc>
          <w:tcPr/>
          <w:p>
            <w:pPr>
              <w:pStyle w:val="Compact"/>
              <w:jc w:val="left"/>
            </w:pPr>
            <w:r>
              <w:t xml:space="preserve">~22–24 plants; flagship</w:t>
            </w:r>
            <w:r>
              <w:t xml:space="preserve"> </w:t>
            </w:r>
            <w:r>
              <w:rPr>
                <w:bCs/>
                <w:b/>
              </w:rPr>
              <w:t xml:space="preserve">Novi Ligure</w:t>
            </w:r>
            <w:r>
              <w:t xml:space="preserve"> </w:t>
            </w:r>
            <w:r>
              <w:t xml:space="preserve">(Aperol, Campari, Crodino), where capacity for Aperol was</w:t>
            </w:r>
            <w:r>
              <w:t xml:space="preserve"> </w:t>
            </w:r>
            <w:r>
              <w:rPr>
                <w:bCs/>
                <w:b/>
              </w:rPr>
              <w:t xml:space="preserve">doubled in 2024 (~€75m)</w:t>
            </w:r>
            <w:r>
              <w:t xml:space="preserve">; distilleries (Wild Turkey, Appleton, Espolòn).</w:t>
            </w:r>
          </w:p>
        </w:tc>
        <w:tc>
          <w:tcPr/>
          <w:p>
            <w:pPr>
              <w:pStyle w:val="Compact"/>
              <w:jc w:val="left"/>
            </w:pPr>
            <w:r>
              <w:rPr>
                <w:bCs/>
                <w:b/>
              </w:rPr>
              <w:t xml:space="preserve">Well.</w:t>
            </w:r>
            <w:r>
              <w:t xml:space="preserve"> </w:t>
            </w:r>
            <w:r>
              <w:t xml:space="preserve">Targeted capacity investment ahead of demand; but capacity decisions carry heavy fixed-cost commitments (see §1.3, §2.2).</w:t>
            </w:r>
          </w:p>
        </w:tc>
      </w:tr>
      <w:tr>
        <w:tc>
          <w:tcPr/>
          <w:p>
            <w:pPr>
              <w:pStyle w:val="Compact"/>
              <w:jc w:val="left"/>
            </w:pPr>
            <w:r>
              <w:rPr>
                <w:bCs/>
                <w:b/>
              </w:rPr>
              <w:t xml:space="preserve">Intellectual</w:t>
            </w:r>
          </w:p>
        </w:tc>
        <w:tc>
          <w:tcPr/>
          <w:p>
            <w:pPr>
              <w:pStyle w:val="Compact"/>
              <w:jc w:val="left"/>
            </w:pPr>
            <w:r>
              <w:t xml:space="preserve">The crown jewel:</w:t>
            </w:r>
            <w:r>
              <w:t xml:space="preserve"> </w:t>
            </w:r>
            <w:r>
              <w:rPr>
                <w:bCs/>
                <w:b/>
              </w:rPr>
              <w:t xml:space="preserve">iconic brand equity</w:t>
            </w:r>
            <w:r>
              <w:t xml:space="preserve"> </w:t>
            </w:r>
            <w:r>
              <w:t xml:space="preserve">(Aperol, Campari), proprietary recipes (herb/citrus infusions), the</w:t>
            </w:r>
            <w:r>
              <w:t xml:space="preserve"> </w:t>
            </w:r>
            <w:r>
              <w:t xml:space="preserve">“</w:t>
            </w:r>
            <w:r>
              <w:t xml:space="preserve">Camparista</w:t>
            </w:r>
            <w:r>
              <w:t xml:space="preserve">”</w:t>
            </w:r>
            <w:r>
              <w:t xml:space="preserve"> </w:t>
            </w:r>
            <w:r>
              <w:t xml:space="preserve">know-how, the Spritz cultural ritual.</w:t>
            </w:r>
          </w:p>
        </w:tc>
        <w:tc>
          <w:tcPr/>
          <w:p>
            <w:pPr>
              <w:pStyle w:val="Compact"/>
              <w:jc w:val="left"/>
            </w:pPr>
            <w:r>
              <w:rPr>
                <w:bCs/>
                <w:b/>
              </w:rPr>
              <w:t xml:space="preserve">Well</w:t>
            </w:r>
            <w:r>
              <w:t xml:space="preserve">, though largely</w:t>
            </w:r>
            <w:r>
              <w:t xml:space="preserve"> </w:t>
            </w:r>
            <w:r>
              <w:rPr>
                <w:iCs/>
                <w:i/>
              </w:rPr>
              <w:t xml:space="preserve">off-balance-sheet</w:t>
            </w:r>
            <w:r>
              <w:t xml:space="preserve">: most brand value is invisible to the cost system (the</w:t>
            </w:r>
            <w:r>
              <w:t xml:space="preserve"> </w:t>
            </w:r>
            <w:r>
              <w:t xml:space="preserve">“</w:t>
            </w:r>
            <w:r>
              <w:t xml:space="preserve">iceberg</w:t>
            </w:r>
            <w:r>
              <w:t xml:space="preserve">”</w:t>
            </w:r>
            <w:r>
              <w:t xml:space="preserve">).</w:t>
            </w:r>
          </w:p>
        </w:tc>
      </w:tr>
      <w:tr>
        <w:tc>
          <w:tcPr/>
          <w:p>
            <w:pPr>
              <w:pStyle w:val="Compact"/>
              <w:jc w:val="left"/>
            </w:pPr>
            <w:r>
              <w:rPr>
                <w:bCs/>
                <w:b/>
              </w:rPr>
              <w:t xml:space="preserve">Human</w:t>
            </w:r>
          </w:p>
        </w:tc>
        <w:tc>
          <w:tcPr/>
          <w:p>
            <w:pPr>
              <w:pStyle w:val="Compact"/>
              <w:jc w:val="left"/>
            </w:pPr>
            <w:r>
              <w:t xml:space="preserve">~4,000–5,000 Camparistas; DE&amp;I focus; culture explicitly</w:t>
            </w:r>
            <w:r>
              <w:t xml:space="preserve"> </w:t>
            </w:r>
            <w:r>
              <w:t xml:space="preserve">“</w:t>
            </w:r>
            <w:r>
              <w:t xml:space="preserve">about people and brands.</w:t>
            </w:r>
            <w:r>
              <w:t xml:space="preserve">”</w:t>
            </w:r>
          </w:p>
        </w:tc>
        <w:tc>
          <w:tcPr/>
          <w:p>
            <w:pPr>
              <w:pStyle w:val="Compact"/>
              <w:jc w:val="left"/>
            </w:pPr>
            <w:r>
              <w:rPr>
                <w:bCs/>
                <w:b/>
              </w:rPr>
              <w:t xml:space="preserve">Adequately</w:t>
            </w:r>
            <w:r>
              <w:t xml:space="preserve">, but with disclosure gaps: training hours, % women in management, and safety (LTIR) figures are not clearly public (Appendix B).</w:t>
            </w:r>
          </w:p>
        </w:tc>
      </w:tr>
      <w:tr>
        <w:tc>
          <w:tcPr/>
          <w:p>
            <w:pPr>
              <w:pStyle w:val="Compact"/>
              <w:jc w:val="left"/>
            </w:pPr>
            <w:r>
              <w:rPr>
                <w:bCs/>
                <w:b/>
              </w:rPr>
              <w:t xml:space="preserve">Social &amp; Relational</w:t>
            </w:r>
          </w:p>
        </w:tc>
        <w:tc>
          <w:tcPr/>
          <w:p>
            <w:pPr>
              <w:pStyle w:val="Compact"/>
              <w:jc w:val="left"/>
            </w:pPr>
            <w:r>
              <w:t xml:space="preserve">“</w:t>
            </w:r>
            <w:r>
              <w:t xml:space="preserve">Licence to operate</w:t>
            </w:r>
            <w:r>
              <w:t xml:space="preserve">”</w:t>
            </w:r>
            <w:r>
              <w:t xml:space="preserve"> </w:t>
            </w:r>
            <w:r>
              <w:t xml:space="preserve">in a sector under permanent scrutiny:</w:t>
            </w:r>
            <w:r>
              <w:t xml:space="preserve"> </w:t>
            </w:r>
            <w:r>
              <w:rPr>
                <w:bCs/>
                <w:b/>
              </w:rPr>
              <w:t xml:space="preserve">responsible drinking</w:t>
            </w:r>
            <w:r>
              <w:t xml:space="preserve"> </w:t>
            </w:r>
            <w:r>
              <w:t xml:space="preserve">(Global Strategy on Responsible Drinking, 2020), community involvement, relationships with</w:t>
            </w:r>
            <w:r>
              <w:t xml:space="preserve"> </w:t>
            </w:r>
            <w:r>
              <w:rPr>
                <w:bCs/>
                <w:b/>
              </w:rPr>
              <w:t xml:space="preserve">agave farmers in Jalisco</w:t>
            </w:r>
            <w:r>
              <w:t xml:space="preserve"> </w:t>
            </w:r>
            <w:r>
              <w:t xml:space="preserve">and cane growers in Jamaica.</w:t>
            </w:r>
          </w:p>
        </w:tc>
        <w:tc>
          <w:tcPr/>
          <w:p>
            <w:pPr>
              <w:pStyle w:val="Compact"/>
              <w:jc w:val="left"/>
            </w:pPr>
            <w:r>
              <w:rPr>
                <w:bCs/>
                <w:b/>
              </w:rPr>
              <w:t xml:space="preserve">Mixed.</w:t>
            </w:r>
            <w:r>
              <w:t xml:space="preserve"> </w:t>
            </w:r>
            <w:r>
              <w:t xml:space="preserve">Strong programmes exist, but alcohol-related social cost is structurally material and only partly managed.</w:t>
            </w:r>
          </w:p>
        </w:tc>
      </w:tr>
      <w:tr>
        <w:tc>
          <w:tcPr/>
          <w:p>
            <w:pPr>
              <w:pStyle w:val="Compact"/>
              <w:jc w:val="left"/>
            </w:pPr>
            <w:r>
              <w:rPr>
                <w:bCs/>
                <w:b/>
              </w:rPr>
              <w:t xml:space="preserve">Natural</w:t>
            </w:r>
          </w:p>
        </w:tc>
        <w:tc>
          <w:tcPr/>
          <w:p>
            <w:pPr>
              <w:pStyle w:val="Compact"/>
              <w:jc w:val="left"/>
            </w:pPr>
            <w:r>
              <w:t xml:space="preserve">Energy, water, waste, agriculture.</w:t>
            </w:r>
            <w:r>
              <w:t xml:space="preserve"> </w:t>
            </w:r>
            <w:r>
              <w:rPr>
                <w:bCs/>
                <w:b/>
              </w:rPr>
              <w:t xml:space="preserve">98.4% renewable electricity</w:t>
            </w:r>
            <w:r>
              <w:t xml:space="preserve">;</w:t>
            </w:r>
            <w:r>
              <w:t xml:space="preserve"> </w:t>
            </w:r>
            <w:r>
              <w:rPr>
                <w:bCs/>
                <w:b/>
              </w:rPr>
              <w:t xml:space="preserve">water intensity −66% vs. 2019</w:t>
            </w:r>
            <w:r>
              <w:t xml:space="preserve">; but</w:t>
            </w:r>
            <w:r>
              <w:t xml:space="preserve"> </w:t>
            </w:r>
            <w:r>
              <w:rPr>
                <w:bCs/>
                <w:b/>
              </w:rPr>
              <w:t xml:space="preserve">Scope 3 ≈ 820,000 t CO₂e (~93% of footprint)</w:t>
            </w:r>
            <w:r>
              <w:t xml:space="preserve">, driven by</w:t>
            </w:r>
            <w:r>
              <w:t xml:space="preserve"> </w:t>
            </w:r>
            <w:r>
              <w:rPr>
                <w:bCs/>
                <w:b/>
              </w:rPr>
              <w:t xml:space="preserve">glass</w:t>
            </w:r>
            <w:r>
              <w:t xml:space="preserve"> </w:t>
            </w:r>
            <w:r>
              <w:t xml:space="preserve">and raw materials.</w:t>
            </w:r>
          </w:p>
        </w:tc>
        <w:tc>
          <w:tcPr/>
          <w:p>
            <w:pPr>
              <w:pStyle w:val="Compact"/>
              <w:jc w:val="left"/>
            </w:pPr>
            <w:r>
              <w:rPr>
                <w:bCs/>
                <w:b/>
              </w:rPr>
              <w:t xml:space="preserve">Operationally well, structurally incomplete.</w:t>
            </w:r>
            <w:r>
              <w:t xml:space="preserve"> </w:t>
            </w:r>
            <w:r>
              <w:t xml:space="preserve">Excellent on its</w:t>
            </w:r>
            <w:r>
              <w:t xml:space="preserve"> </w:t>
            </w:r>
            <w:r>
              <w:rPr>
                <w:iCs/>
                <w:i/>
              </w:rPr>
              <w:t xml:space="preserve">own</w:t>
            </w:r>
            <w:r>
              <w:t xml:space="preserve"> </w:t>
            </w:r>
            <w:r>
              <w:t xml:space="preserve">footprint (Scope 1+2), weak on the</w:t>
            </w:r>
            <w:r>
              <w:t xml:space="preserve"> </w:t>
            </w:r>
            <w:r>
              <w:rPr>
                <w:iCs/>
                <w:i/>
              </w:rPr>
              <w:t xml:space="preserve">value-chain</w:t>
            </w:r>
            <w:r>
              <w:t xml:space="preserve"> </w:t>
            </w:r>
            <w:r>
              <w:t xml:space="preserve">footprint it influences but does not control.</w:t>
            </w:r>
          </w:p>
        </w:tc>
      </w:tr>
    </w:tbl>
    <w:p>
      <w:pPr>
        <w:pStyle w:val="BodyText"/>
      </w:pPr>
      <w:r>
        <w:rPr>
          <w:bCs/>
          <w:b/>
        </w:rPr>
        <w:t xml:space="preserve">The</w:t>
      </w:r>
      <w:r>
        <w:rPr>
          <w:bCs/>
          <w:b/>
        </w:rPr>
        <w:t xml:space="preserve"> </w:t>
      </w:r>
      <w:r>
        <w:rPr>
          <w:bCs/>
          <w:b/>
        </w:rPr>
        <w:t xml:space="preserve">“</w:t>
      </w:r>
      <w:r>
        <w:rPr>
          <w:bCs/>
          <w:b/>
        </w:rPr>
        <w:t xml:space="preserve">Iceberg of Costs</w:t>
      </w:r>
      <w:r>
        <w:rPr>
          <w:bCs/>
          <w:b/>
        </w:rPr>
        <w:t xml:space="preserve">”</w:t>
      </w:r>
      <w:r>
        <w:rPr>
          <w:bCs/>
          <w:b/>
        </w:rPr>
        <w:t xml:space="preserve"> </w:t>
      </w:r>
      <w:r>
        <w:rPr>
          <w:bCs/>
          <w:b/>
        </w:rPr>
        <w:t xml:space="preserve">applied to Campari.</w:t>
      </w:r>
      <w:r>
        <w:t xml:space="preserve"> </w:t>
      </w:r>
      <w:r>
        <w:t xml:space="preserve">Above the waterline, the traditional cost statement shows the</w:t>
      </w:r>
      <w:r>
        <w:t xml:space="preserve"> </w:t>
      </w:r>
      <w:r>
        <w:rPr>
          <w:bCs/>
          <w:b/>
        </w:rPr>
        <w:t xml:space="preserve">Financial Capital</w:t>
      </w:r>
      <w:r>
        <w:t xml:space="preserve">: COGS, labour, overhead. Below the surface lie the real costs tied to the other five capitals:</w:t>
      </w:r>
    </w:p>
    <w:p>
      <w:pPr>
        <w:numPr>
          <w:ilvl w:val="0"/>
          <w:numId w:val="1001"/>
        </w:numPr>
        <w:pStyle w:val="Compact"/>
      </w:pPr>
      <w:r>
        <w:rPr>
          <w:bCs/>
          <w:b/>
        </w:rPr>
        <w:t xml:space="preserve">Natural:</w:t>
      </w:r>
      <w:r>
        <w:t xml:space="preserve"> </w:t>
      </w:r>
      <w:r>
        <w:t xml:space="preserve">the social cost of ~820,000 t of Scope 3 CO₂e, the watershed cost of production water, the end-of-life cost of glass.</w:t>
      </w:r>
    </w:p>
    <w:p>
      <w:pPr>
        <w:numPr>
          <w:ilvl w:val="0"/>
          <w:numId w:val="1001"/>
        </w:numPr>
        <w:pStyle w:val="Compact"/>
      </w:pPr>
      <w:r>
        <w:rPr>
          <w:bCs/>
          <w:b/>
        </w:rPr>
        <w:t xml:space="preserve">Human:</w:t>
      </w:r>
      <w:r>
        <w:t xml:space="preserve"> </w:t>
      </w:r>
      <w:r>
        <w:t xml:space="preserve">the cost of Camparista turnover, recruitment and training, and burnout.</w:t>
      </w:r>
    </w:p>
    <w:p>
      <w:pPr>
        <w:numPr>
          <w:ilvl w:val="0"/>
          <w:numId w:val="1001"/>
        </w:numPr>
        <w:pStyle w:val="Compact"/>
      </w:pPr>
      <w:r>
        <w:rPr>
          <w:bCs/>
          <w:b/>
        </w:rPr>
        <w:t xml:space="preserve">Social:</w:t>
      </w:r>
      <w:r>
        <w:t xml:space="preserve"> </w:t>
      </w:r>
      <w:r>
        <w:t xml:space="preserve">the contingent cost of alcohol-marketing regulation, litigation and reputational damage.</w:t>
      </w:r>
    </w:p>
    <w:p>
      <w:pPr>
        <w:numPr>
          <w:ilvl w:val="0"/>
          <w:numId w:val="1001"/>
        </w:numPr>
        <w:pStyle w:val="Compact"/>
      </w:pPr>
      <w:r>
        <w:rPr>
          <w:bCs/>
          <w:b/>
        </w:rPr>
        <w:t xml:space="preserve">Physical:</w:t>
      </w:r>
      <w:r>
        <w:t xml:space="preserve"> </w:t>
      </w:r>
      <w:r>
        <w:t xml:space="preserve">deferred maintenance of ageing distilleries.</w:t>
      </w:r>
    </w:p>
    <w:p>
      <w:pPr>
        <w:numPr>
          <w:ilvl w:val="0"/>
          <w:numId w:val="1001"/>
        </w:numPr>
        <w:pStyle w:val="Compact"/>
      </w:pPr>
      <w:r>
        <w:rPr>
          <w:bCs/>
          <w:b/>
        </w:rPr>
        <w:t xml:space="preserve">Intellectual:</w:t>
      </w:r>
      <w:r>
        <w:t xml:space="preserve"> </w:t>
      </w:r>
      <w:r>
        <w:t xml:space="preserve">the cost of brand dilution or loss of recipe know-how.</w:t>
      </w:r>
    </w:p>
    <w:p>
      <w:pPr>
        <w:pStyle w:val="BlockText"/>
      </w:pPr>
      <w:r>
        <w:rPr>
          <w:bCs/>
          <w:b/>
        </w:rPr>
        <w:t xml:space="preserve">Integrated Thinking makes the whole iceberg visible.</w:t>
      </w:r>
      <w:r>
        <w:t xml:space="preserve"> </w:t>
      </w:r>
      <w:r>
        <w:t xml:space="preserve">At Campari the largest submerged block is unmistakably the</w:t>
      </w:r>
      <w:r>
        <w:t xml:space="preserve"> </w:t>
      </w:r>
      <w:r>
        <w:rPr>
          <w:bCs/>
          <w:b/>
        </w:rPr>
        <w:t xml:space="preserve">glass-and-agriculture Scope 3 cost</w:t>
      </w:r>
      <w:r>
        <w:t xml:space="preserve"> </w:t>
      </w:r>
      <w:r>
        <w:t xml:space="preserve">— a Natural-capital cost that today appears in the income statement only as a</w:t>
      </w:r>
      <w:r>
        <w:t xml:space="preserve"> </w:t>
      </w:r>
      <w:r>
        <w:rPr>
          <w:iCs/>
          <w:i/>
        </w:rPr>
        <w:t xml:space="preserve">purchasing</w:t>
      </w:r>
      <w:r>
        <w:t xml:space="preserve"> </w:t>
      </w:r>
      <w:r>
        <w:t xml:space="preserve">line, never as a</w:t>
      </w:r>
      <w:r>
        <w:t xml:space="preserve"> </w:t>
      </w:r>
      <w:r>
        <w:rPr>
          <w:iCs/>
          <w:i/>
        </w:rPr>
        <w:t xml:space="preserve">carbon</w:t>
      </w:r>
      <w:r>
        <w:t xml:space="preserve"> </w:t>
      </w:r>
      <w:r>
        <w:t xml:space="preserve">line.</w:t>
      </w:r>
    </w:p>
    <w:bookmarkEnd w:id="24"/>
    <w:bookmarkStart w:id="25" w:name="current-cost-system"/>
    <w:p>
      <w:pPr>
        <w:pStyle w:val="Heading2"/>
      </w:pPr>
      <w:r>
        <w:t xml:space="preserve">1.3 Current cost system</w:t>
      </w:r>
    </w:p>
    <w:p>
      <w:pPr>
        <w:pStyle w:val="FirstParagraph"/>
      </w:pPr>
      <w:r>
        <w:t xml:space="preserve">Campari does not publicly disclose the architecture of its internal cost system. From its operations we can describe what is</w:t>
      </w:r>
      <w:r>
        <w:t xml:space="preserve"> </w:t>
      </w:r>
      <w:r>
        <w:rPr>
          <w:bCs/>
          <w:b/>
        </w:rPr>
        <w:t xml:space="preserve">known</w:t>
      </w:r>
      <w:r>
        <w:t xml:space="preserve"> </w:t>
      </w:r>
      <w:r>
        <w:t xml:space="preserve">and flag the</w:t>
      </w:r>
      <w:r>
        <w:t xml:space="preserve"> </w:t>
      </w:r>
      <w:r>
        <w:rPr>
          <w:bCs/>
          <w:b/>
        </w:rPr>
        <w:t xml:space="preserve">information gaps</w:t>
      </w:r>
      <w:r>
        <w:t xml:space="preserve"> </w:t>
      </w:r>
      <w:r>
        <w:t xml:space="preserve">(as the rubric requests).</w:t>
      </w:r>
    </w:p>
    <w:p>
      <w:pPr>
        <w:pStyle w:val="BodyText"/>
      </w:pPr>
      <w:r>
        <w:rPr>
          <w:bCs/>
          <w:b/>
        </w:rPr>
        <w:t xml:space="preserve">What is known / highly probable:</w:t>
      </w:r>
      <w:r>
        <w:t xml:space="preserve"> </w:t>
      </w:r>
      <w:r>
        <w:t xml:space="preserve">- Campari is a</w:t>
      </w:r>
      <w:r>
        <w:t xml:space="preserve"> </w:t>
      </w:r>
      <w:r>
        <w:rPr>
          <w:bCs/>
          <w:b/>
        </w:rPr>
        <w:t xml:space="preserve">process-and-batch manufacturer</w:t>
      </w:r>
      <w:r>
        <w:t xml:space="preserve">: continuous, homogeneous production of liquids (infusion, blending, ageing) combined with</w:t>
      </w:r>
      <w:r>
        <w:t xml:space="preserve"> </w:t>
      </w:r>
      <w:r>
        <w:rPr>
          <w:bCs/>
          <w:b/>
        </w:rPr>
        <w:t xml:space="preserve">batch bottling runs</w:t>
      </w:r>
      <w:r>
        <w:t xml:space="preserve"> </w:t>
      </w:r>
      <w:r>
        <w:t xml:space="preserve">per SKU. In the course taxonomy (Session 5) this is a</w:t>
      </w:r>
      <w:r>
        <w:t xml:space="preserve"> </w:t>
      </w:r>
      <w:r>
        <w:rPr>
          <w:bCs/>
          <w:b/>
        </w:rPr>
        <w:t xml:space="preserve">hybrid / operation-costing</w:t>
      </w:r>
      <w:r>
        <w:t xml:space="preserve"> </w:t>
      </w:r>
      <w:r>
        <w:t xml:space="preserve">environment — process costing for the liquid, job/batch costing for bottling and packaging variants.</w:t>
      </w:r>
      <w:r>
        <w:t xml:space="preserve"> </w:t>
      </w:r>
      <w:r>
        <w:t xml:space="preserve">- The</w:t>
      </w:r>
      <w:r>
        <w:t xml:space="preserve"> </w:t>
      </w:r>
      <w:r>
        <w:rPr>
          <w:bCs/>
          <w:b/>
        </w:rPr>
        <w:t xml:space="preserve">three cost elements</w:t>
      </w:r>
      <w:r>
        <w:t xml:space="preserve"> </w:t>
      </w:r>
      <w:r>
        <w:t xml:space="preserve">are present:</w:t>
      </w:r>
      <w:r>
        <w:t xml:space="preserve"> </w:t>
      </w:r>
      <w:r>
        <w:rPr>
          <w:bCs/>
          <w:b/>
        </w:rPr>
        <w:t xml:space="preserve">Direct Materials</w:t>
      </w:r>
      <w:r>
        <w:t xml:space="preserve"> </w:t>
      </w:r>
      <w:r>
        <w:t xml:space="preserve">(alcohol, sugar, botanicals,</w:t>
      </w:r>
      <w:r>
        <w:t xml:space="preserve"> </w:t>
      </w:r>
      <w:r>
        <w:rPr>
          <w:bCs/>
          <w:b/>
        </w:rPr>
        <w:t xml:space="preserve">agave</w:t>
      </w:r>
      <w:r>
        <w:t xml:space="preserve">, and especially</w:t>
      </w:r>
      <w:r>
        <w:t xml:space="preserve"> </w:t>
      </w:r>
      <w:r>
        <w:rPr>
          <w:bCs/>
          <w:b/>
        </w:rPr>
        <w:t xml:space="preserve">glass/packaging</w:t>
      </w:r>
      <w:r>
        <w:t xml:space="preserve">),</w:t>
      </w:r>
      <w:r>
        <w:t xml:space="preserve"> </w:t>
      </w:r>
      <w:r>
        <w:rPr>
          <w:bCs/>
          <w:b/>
        </w:rPr>
        <w:t xml:space="preserve">Direct Labour</w:t>
      </w:r>
      <w:r>
        <w:t xml:space="preserve"> </w:t>
      </w:r>
      <w:r>
        <w:t xml:space="preserve">(distillery and bottling operators), and</w:t>
      </w:r>
      <w:r>
        <w:t xml:space="preserve"> </w:t>
      </w:r>
      <w:r>
        <w:rPr>
          <w:bCs/>
          <w:b/>
        </w:rPr>
        <w:t xml:space="preserve">Manufacturing Overhead — GIF</w:t>
      </w:r>
      <w:r>
        <w:t xml:space="preserve"> </w:t>
      </w:r>
      <w:r>
        <w:t xml:space="preserve">(plant energy, depreciation of lines, quality, plant management).</w:t>
      </w:r>
      <w:r>
        <w:t xml:space="preserve"> </w:t>
      </w:r>
      <w:r>
        <w:t xml:space="preserve">- With a</w:t>
      </w:r>
      <w:r>
        <w:t xml:space="preserve"> </w:t>
      </w:r>
      <w:r>
        <w:rPr>
          <w:bCs/>
          <w:b/>
        </w:rPr>
        <w:t xml:space="preserve">57.6% gross margin</w:t>
      </w:r>
      <w:r>
        <w:t xml:space="preserve">, roughly</w:t>
      </w:r>
      <w:r>
        <w:t xml:space="preserve"> </w:t>
      </w:r>
      <w:r>
        <w:rPr>
          <w:bCs/>
          <w:b/>
        </w:rPr>
        <w:t xml:space="preserve">42% of net sales (~€1,303m) is COGS</w:t>
      </w:r>
      <w:r>
        <w:t xml:space="preserve">. Given the premium positioning and the prominence of packaging,</w:t>
      </w:r>
      <w:r>
        <w:t xml:space="preserve"> </w:t>
      </w:r>
      <w:r>
        <w:rPr>
          <w:bCs/>
          <w:b/>
        </w:rPr>
        <w:t xml:space="preserve">direct materials — led by glass — are the dominant variable cost</w:t>
      </w:r>
      <w:r>
        <w:t xml:space="preserve">, not direct labour. This matters: it is exactly the condition (low direct-labour share, high and heterogeneous overhead, high product diversity across 50+ brands) under which Session 8 says</w:t>
      </w:r>
      <w:r>
        <w:t xml:space="preserve"> </w:t>
      </w:r>
      <w:r>
        <w:rPr>
          <w:bCs/>
          <w:b/>
        </w:rPr>
        <w:t xml:space="preserve">traditional volume-based overhead allocation distorts product costs</w:t>
      </w:r>
      <w:r>
        <w:t xml:space="preserve">.</w:t>
      </w:r>
      <w:r>
        <w:t xml:space="preserve"> </w:t>
      </w:r>
      <w:r>
        <w:t xml:space="preserve">- Overhead is</w:t>
      </w:r>
      <w:r>
        <w:t xml:space="preserve"> </w:t>
      </w:r>
      <w:r>
        <w:rPr>
          <w:bCs/>
          <w:b/>
        </w:rPr>
        <w:t xml:space="preserve">almost certainly allocated on a volumetric base</w:t>
      </w:r>
      <w:r>
        <w:t xml:space="preserve"> </w:t>
      </w:r>
      <w:r>
        <w:t xml:space="preserve">(litres, machine-hours or standard cost), consistent with most CPG manufacturers — which sets up the cross-subsidisation problem analysed in §2.1.</w:t>
      </w:r>
    </w:p>
    <w:p>
      <w:pPr>
        <w:pStyle w:val="BodyText"/>
      </w:pPr>
      <w:r>
        <w:rPr>
          <w:bCs/>
          <w:b/>
        </w:rPr>
        <w:t xml:space="preserve">Information gaps (to close with management):</w:t>
      </w:r>
      <w:r>
        <w:t xml:space="preserve"> </w:t>
      </w:r>
      <w:r>
        <w:t xml:space="preserve">the actual overhead allocation base; whether Campari already runs</w:t>
      </w:r>
      <w:r>
        <w:t xml:space="preserve"> </w:t>
      </w:r>
      <w:r>
        <w:rPr>
          <w:bCs/>
          <w:b/>
        </w:rPr>
        <w:t xml:space="preserve">ABC</w:t>
      </w:r>
      <w:r>
        <w:t xml:space="preserve"> </w:t>
      </w:r>
      <w:r>
        <w:t xml:space="preserve">for any House; the standard-costing and variance framework; the per-SKU cost of packaging vs. liquid. These are the natural questions for a Session 10 mid-review conversation.</w:t>
      </w:r>
    </w:p>
    <w:p>
      <w:pPr>
        <w:pStyle w:val="BlockText"/>
      </w:pPr>
      <w:r>
        <w:rPr>
          <w:iCs/>
          <w:i/>
        </w:rPr>
        <w:t xml:space="preserve">Illustrative cost structure per 1.0 L equivalent (assumption — labelled, not disclosed by Campari).</w:t>
      </w:r>
      <w:r>
        <w:t xml:space="preserve"> </w:t>
      </w:r>
      <w:r>
        <w:t xml:space="preserve">To make the rest of the analysis concrete, this paper adopts a transparent illustrative unit economics built</w:t>
      </w:r>
      <w:r>
        <w:t xml:space="preserve"> </w:t>
      </w:r>
      <w:r>
        <w:rPr>
          <w:bCs/>
          <w:b/>
        </w:rPr>
        <w:t xml:space="preserve">down from the public gross margin</w:t>
      </w:r>
      <w:r>
        <w:t xml:space="preserve">: assume an average realised price of</w:t>
      </w:r>
      <w:r>
        <w:t xml:space="preserve"> </w:t>
      </w:r>
      <w:r>
        <w:rPr>
          <w:bCs/>
          <w:b/>
        </w:rPr>
        <w:t xml:space="preserve">€10.00/L-equivalent</w:t>
      </w:r>
      <w:r>
        <w:t xml:space="preserve">, COGS of</w:t>
      </w:r>
      <w:r>
        <w:t xml:space="preserve"> </w:t>
      </w:r>
      <w:r>
        <w:rPr>
          <w:bCs/>
          <w:b/>
        </w:rPr>
        <w:t xml:space="preserve">€4.24/L</w:t>
      </w:r>
      <w:r>
        <w:t xml:space="preserve"> </w:t>
      </w:r>
      <w:r>
        <w:t xml:space="preserve">(≈42.4%), split as Direct Materials €2.70 (of which</w:t>
      </w:r>
      <w:r>
        <w:t xml:space="preserve"> </w:t>
      </w:r>
      <w:r>
        <w:rPr>
          <w:bCs/>
          <w:b/>
        </w:rPr>
        <w:t xml:space="preserve">glass ≈ €1.30</w:t>
      </w:r>
      <w:r>
        <w:t xml:space="preserve">), Direct Labour €0.50, and Manufacturing Overhead €1.04.</w:t>
      </w:r>
      <w:r>
        <w:t xml:space="preserve"> </w:t>
      </w:r>
      <w:r>
        <w:rPr>
          <w:iCs/>
          <w:i/>
        </w:rPr>
        <w:t xml:space="preserve">These figures are internally consistent with the public 57.6% gross margin but are the author’s assumptions for didactic purposes only (see Appendix A).</w:t>
      </w:r>
    </w:p>
    <w:bookmarkEnd w:id="25"/>
    <w:bookmarkStart w:id="26" w:name="current-esg-costs"/>
    <w:p>
      <w:pPr>
        <w:pStyle w:val="Heading2"/>
      </w:pPr>
      <w:r>
        <w:t xml:space="preserve">1.4 Current ESG costs</w:t>
      </w:r>
    </w:p>
    <w:p>
      <w:pPr>
        <w:pStyle w:val="FirstParagraph"/>
      </w:pPr>
      <w:r>
        <w:t xml:space="preserve">Following Session 4’s</w:t>
      </w:r>
      <w:r>
        <w:t xml:space="preserve"> </w:t>
      </w:r>
      <w:r>
        <w:t xml:space="preserve">“</w:t>
      </w:r>
      <w:r>
        <w:t xml:space="preserve">Five Levels of Cost Objects,</w:t>
      </w:r>
      <w:r>
        <w:t xml:space="preserve">”</w:t>
      </w:r>
      <w:r>
        <w:t xml:space="preserve"> </w:t>
      </w:r>
      <w:r>
        <w:t xml:space="preserve">the</w:t>
      </w:r>
      <w:r>
        <w:t xml:space="preserve"> </w:t>
      </w:r>
      <w:r>
        <w:rPr>
          <w:bCs/>
          <w:b/>
        </w:rPr>
        <w:t xml:space="preserve">fifth level — the ESG metric as an expanded cost object</w:t>
      </w:r>
      <w:r>
        <w:t xml:space="preserve"> </w:t>
      </w:r>
      <w:r>
        <w:t xml:space="preserve">— is where Campari’s most material costs live. Two categories:</w:t>
      </w:r>
    </w:p>
    <w:p>
      <w:pPr>
        <w:pStyle w:val="BodyText"/>
      </w:pPr>
      <w:r>
        <w:rPr>
          <w:bCs/>
          <w:b/>
        </w:rPr>
        <w:t xml:space="preserve">(a) ESG costs already visible in the financial information (the tariff):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ESG cost (visible)</w:t>
            </w:r>
          </w:p>
        </w:tc>
        <w:tc>
          <w:tcPr/>
          <w:p>
            <w:pPr>
              <w:pStyle w:val="Compact"/>
              <w:jc w:val="left"/>
            </w:pPr>
            <w:r>
              <w:t xml:space="preserve">Public anchor</w:t>
            </w:r>
          </w:p>
        </w:tc>
        <w:tc>
          <w:tcPr/>
          <w:p>
            <w:pPr>
              <w:pStyle w:val="Compact"/>
              <w:jc w:val="left"/>
            </w:pPr>
            <w:r>
              <w:t xml:space="preserve">Course classification</w:t>
            </w:r>
          </w:p>
        </w:tc>
      </w:tr>
      <w:tr>
        <w:tc>
          <w:tcPr/>
          <w:p>
            <w:pPr>
              <w:pStyle w:val="Compact"/>
              <w:jc w:val="left"/>
            </w:pPr>
            <w:r>
              <w:t xml:space="preserve">Energy (electricity, gas)</w:t>
            </w:r>
          </w:p>
        </w:tc>
        <w:tc>
          <w:tcPr/>
          <w:p>
            <w:pPr>
              <w:pStyle w:val="Compact"/>
              <w:jc w:val="left"/>
            </w:pPr>
            <w:r>
              <w:t xml:space="preserve">98.4% renewable electricity; renewable premium</w:t>
            </w:r>
          </w:p>
        </w:tc>
        <w:tc>
          <w:tcPr/>
          <w:p>
            <w:pPr>
              <w:pStyle w:val="Compact"/>
              <w:jc w:val="left"/>
            </w:pPr>
            <w:r>
              <w:t xml:space="preserve">GIF / overhead —</w:t>
            </w:r>
            <w:r>
              <w:t xml:space="preserve"> </w:t>
            </w:r>
            <w:r>
              <w:rPr>
                <w:bCs/>
                <w:b/>
              </w:rPr>
              <w:t xml:space="preserve">already a</w:t>
            </w:r>
            <w:r>
              <w:rPr>
                <w:bCs/>
                <w:b/>
              </w:rPr>
              <w:t xml:space="preserve"> </w:t>
            </w:r>
            <w:r>
              <w:rPr>
                <w:bCs/>
                <w:b/>
              </w:rPr>
              <w:t xml:space="preserve">“</w:t>
            </w:r>
            <w:r>
              <w:rPr>
                <w:bCs/>
                <w:b/>
              </w:rPr>
              <w:t xml:space="preserve">Green GIF</w:t>
            </w:r>
            <w:r>
              <w:rPr>
                <w:bCs/>
                <w:b/>
              </w:rPr>
              <w:t xml:space="preserve">”</w:t>
            </w:r>
            <w:r>
              <w:t xml:space="preserve"> </w:t>
            </w:r>
            <w:r>
              <w:t xml:space="preserve">(Session 5)</w:t>
            </w:r>
          </w:p>
        </w:tc>
      </w:tr>
      <w:tr>
        <w:tc>
          <w:tcPr/>
          <w:p>
            <w:pPr>
              <w:pStyle w:val="Compact"/>
              <w:jc w:val="left"/>
            </w:pPr>
            <w:r>
              <w:t xml:space="preserve">Water</w:t>
            </w:r>
          </w:p>
        </w:tc>
        <w:tc>
          <w:tcPr/>
          <w:p>
            <w:pPr>
              <w:pStyle w:val="Compact"/>
              <w:jc w:val="left"/>
            </w:pPr>
            <w:r>
              <w:t xml:space="preserve">Tariff paid per m³; intensity −66% vs. 2019</w:t>
            </w:r>
          </w:p>
        </w:tc>
        <w:tc>
          <w:tcPr/>
          <w:p>
            <w:pPr>
              <w:pStyle w:val="Compact"/>
              <w:jc w:val="left"/>
            </w:pPr>
            <w:r>
              <w:t xml:space="preserve">Variable with production volume; controllable by site</w:t>
            </w:r>
          </w:p>
        </w:tc>
      </w:tr>
      <w:tr>
        <w:tc>
          <w:tcPr/>
          <w:p>
            <w:pPr>
              <w:pStyle w:val="Compact"/>
              <w:jc w:val="left"/>
            </w:pPr>
            <w:r>
              <w:t xml:space="preserve">Waste management</w:t>
            </w:r>
          </w:p>
        </w:tc>
        <w:tc>
          <w:tcPr/>
          <w:p>
            <w:pPr>
              <w:pStyle w:val="Compact"/>
              <w:jc w:val="left"/>
            </w:pPr>
            <w:r>
              <w:t xml:space="preserve">Disposal/recycling fees</w:t>
            </w:r>
          </w:p>
        </w:tc>
        <w:tc>
          <w:tcPr/>
          <w:p>
            <w:pPr>
              <w:pStyle w:val="Compact"/>
              <w:jc w:val="left"/>
            </w:pPr>
            <w:r>
              <w:t xml:space="preserve">Variable with operation</w:t>
            </w:r>
          </w:p>
        </w:tc>
      </w:tr>
      <w:tr>
        <w:tc>
          <w:tcPr/>
          <w:p>
            <w:pPr>
              <w:pStyle w:val="Compact"/>
              <w:jc w:val="left"/>
            </w:pPr>
            <w:r>
              <w:t xml:space="preserve">Regulatory &amp; compliance</w:t>
            </w:r>
          </w:p>
        </w:tc>
        <w:tc>
          <w:tcPr/>
          <w:p>
            <w:pPr>
              <w:pStyle w:val="Compact"/>
              <w:jc w:val="left"/>
            </w:pPr>
            <w:r>
              <w:t xml:space="preserve">Alcohol marketing, excise, CSRD/ESRS reporting cost</w:t>
            </w:r>
          </w:p>
        </w:tc>
        <w:tc>
          <w:tcPr/>
          <w:p>
            <w:pPr>
              <w:pStyle w:val="Compact"/>
              <w:jc w:val="left"/>
            </w:pPr>
            <w:r>
              <w:t xml:space="preserve">Period cost; partly Boundary-system cost</w:t>
            </w:r>
          </w:p>
        </w:tc>
      </w:tr>
      <w:tr>
        <w:tc>
          <w:tcPr/>
          <w:p>
            <w:pPr>
              <w:pStyle w:val="Compact"/>
              <w:jc w:val="left"/>
            </w:pPr>
            <w:r>
              <w:t xml:space="preserve">Responsible-drinking programmes</w:t>
            </w:r>
          </w:p>
        </w:tc>
        <w:tc>
          <w:tcPr/>
          <w:p>
            <w:pPr>
              <w:pStyle w:val="Compact"/>
              <w:jc w:val="left"/>
            </w:pPr>
            <w:r>
              <w:t xml:space="preserve">Global Strategy on Responsible Drinking (2020)</w:t>
            </w:r>
          </w:p>
        </w:tc>
        <w:tc>
          <w:tcPr/>
          <w:p>
            <w:pPr>
              <w:pStyle w:val="Compact"/>
              <w:jc w:val="left"/>
            </w:pPr>
            <w:r>
              <w:t xml:space="preserve">Fixed by management decision (Social capital)</w:t>
            </w:r>
          </w:p>
        </w:tc>
      </w:tr>
      <w:tr>
        <w:tc>
          <w:tcPr/>
          <w:p>
            <w:pPr>
              <w:pStyle w:val="Compact"/>
              <w:jc w:val="left"/>
            </w:pPr>
            <w:r>
              <w:t xml:space="preserve">Agave responsible-sourcing (ARA cert.)</w:t>
            </w:r>
          </w:p>
        </w:tc>
        <w:tc>
          <w:tcPr/>
          <w:p>
            <w:pPr>
              <w:pStyle w:val="Compact"/>
              <w:jc w:val="left"/>
            </w:pPr>
            <w:r>
              <w:t xml:space="preserve">Co-investment with Jalisco growers since 2019</w:t>
            </w:r>
          </w:p>
        </w:tc>
        <w:tc>
          <w:tcPr/>
          <w:p>
            <w:pPr>
              <w:pStyle w:val="Compact"/>
              <w:jc w:val="left"/>
            </w:pPr>
            <w:r>
              <w:t xml:space="preserve">Direct material + relationship investment</w:t>
            </w:r>
          </w:p>
        </w:tc>
      </w:tr>
    </w:tbl>
    <w:p>
      <w:pPr>
        <w:pStyle w:val="BodyText"/>
      </w:pPr>
      <w:r>
        <w:rPr>
          <w:bCs/>
          <w:b/>
        </w:rPr>
        <w:t xml:space="preserve">(b) ESG costs that almost certainly exist but are</w:t>
      </w:r>
      <w:r>
        <w:rPr>
          <w:bCs/>
          <w:b/>
        </w:rPr>
        <w:t xml:space="preserve"> </w:t>
      </w:r>
      <w:r>
        <w:rPr>
          <w:iCs/>
          <w:i/>
          <w:bCs/>
          <w:b/>
        </w:rPr>
        <w:t xml:space="preserve">not</w:t>
      </w:r>
      <w:r>
        <w:rPr>
          <w:bCs/>
          <w:b/>
        </w:rPr>
        <w:t xml:space="preserve"> </w:t>
      </w:r>
      <w:r>
        <w:rPr>
          <w:bCs/>
          <w:b/>
        </w:rPr>
        <w:t xml:space="preserve">measured or reported as costs (the real cost / externality):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Hidden ESG cost</w:t>
            </w:r>
          </w:p>
        </w:tc>
        <w:tc>
          <w:tcPr/>
          <w:p>
            <w:pPr>
              <w:pStyle w:val="Compact"/>
              <w:jc w:val="left"/>
            </w:pPr>
            <w:r>
              <w:t xml:space="preserve">Why it is invisible</w:t>
            </w:r>
          </w:p>
        </w:tc>
        <w:tc>
          <w:tcPr/>
          <w:p>
            <w:pPr>
              <w:pStyle w:val="Compact"/>
              <w:jc w:val="left"/>
            </w:pPr>
            <w:r>
              <w:t xml:space="preserve">Magnitude signal</w:t>
            </w:r>
          </w:p>
        </w:tc>
      </w:tr>
      <w:tr>
        <w:tc>
          <w:tcPr/>
          <w:p>
            <w:pPr>
              <w:pStyle w:val="Compact"/>
              <w:jc w:val="left"/>
            </w:pPr>
            <w:r>
              <w:rPr>
                <w:bCs/>
                <w:b/>
              </w:rPr>
              <w:t xml:space="preserve">Carbon cost of Scope 3</w:t>
            </w:r>
          </w:p>
        </w:tc>
        <w:tc>
          <w:tcPr/>
          <w:p>
            <w:pPr>
              <w:pStyle w:val="Compact"/>
              <w:jc w:val="left"/>
            </w:pPr>
            <w:r>
              <w:t xml:space="preserve">Booked only as a</w:t>
            </w:r>
            <w:r>
              <w:t xml:space="preserve"> </w:t>
            </w:r>
            <w:r>
              <w:rPr>
                <w:iCs/>
                <w:i/>
              </w:rPr>
              <w:t xml:space="preserve">purchasing</w:t>
            </w:r>
            <w:r>
              <w:t xml:space="preserve"> </w:t>
            </w:r>
            <w:r>
              <w:t xml:space="preserve">line, never as a carbon cost</w:t>
            </w:r>
          </w:p>
        </w:tc>
        <w:tc>
          <w:tcPr/>
          <w:p>
            <w:pPr>
              <w:pStyle w:val="Compact"/>
              <w:jc w:val="left"/>
            </w:pPr>
            <w:r>
              <w:rPr>
                <w:bCs/>
                <w:b/>
              </w:rPr>
              <w:t xml:space="preserve">~820,000 t CO₂e</w:t>
            </w:r>
            <w:r>
              <w:t xml:space="preserve">; at an illustrative internal carbon price of</w:t>
            </w:r>
            <w:r>
              <w:t xml:space="preserve"> </w:t>
            </w:r>
            <w:r>
              <w:rPr>
                <w:bCs/>
                <w:b/>
              </w:rPr>
              <w:t xml:space="preserve">€80/t → ≈€65.6m/year</w:t>
            </w:r>
            <w:r>
              <w:t xml:space="preserve"> </w:t>
            </w:r>
            <w:r>
              <w:t xml:space="preserve">of unpriced exposure</w:t>
            </w:r>
            <w:r>
              <w:t xml:space="preserve"> </w:t>
            </w:r>
            <w:r>
              <w:rPr>
                <w:iCs/>
                <w:i/>
              </w:rPr>
              <w:t xml:space="preserve">(assumption)</w:t>
            </w:r>
          </w:p>
        </w:tc>
      </w:tr>
      <w:tr>
        <w:tc>
          <w:tcPr/>
          <w:p>
            <w:pPr>
              <w:pStyle w:val="Compact"/>
              <w:jc w:val="left"/>
            </w:pPr>
            <w:r>
              <w:rPr>
                <w:bCs/>
                <w:b/>
              </w:rPr>
              <w:t xml:space="preserve">End-of-life cost of glass</w:t>
            </w:r>
          </w:p>
        </w:tc>
        <w:tc>
          <w:tcPr/>
          <w:p>
            <w:pPr>
              <w:pStyle w:val="Compact"/>
              <w:jc w:val="left"/>
            </w:pPr>
            <w:r>
              <w:t xml:space="preserve">Externalised to municipalities/consumers</w:t>
            </w:r>
          </w:p>
        </w:tc>
        <w:tc>
          <w:tcPr/>
          <w:p>
            <w:pPr>
              <w:pStyle w:val="Compact"/>
              <w:jc w:val="left"/>
            </w:pPr>
            <w:r>
              <w:t xml:space="preserve">Glass ≈ 62% of Scope 3 driver</w:t>
            </w:r>
          </w:p>
        </w:tc>
      </w:tr>
      <w:tr>
        <w:tc>
          <w:tcPr/>
          <w:p>
            <w:pPr>
              <w:pStyle w:val="Compact"/>
              <w:jc w:val="left"/>
            </w:pPr>
            <w:r>
              <w:rPr>
                <w:bCs/>
                <w:b/>
              </w:rPr>
              <w:t xml:space="preserve">Watershed cost of production water</w:t>
            </w:r>
          </w:p>
        </w:tc>
        <w:tc>
          <w:tcPr/>
          <w:p>
            <w:pPr>
              <w:pStyle w:val="Compact"/>
              <w:jc w:val="left"/>
            </w:pPr>
            <w:r>
              <w:t xml:space="preserve">Only the tariff is paid, not the basin impact</w:t>
            </w:r>
          </w:p>
        </w:tc>
        <w:tc>
          <w:tcPr/>
          <w:p>
            <w:pPr>
              <w:pStyle w:val="Compact"/>
              <w:jc w:val="left"/>
            </w:pPr>
            <w:r>
              <w:t xml:space="preserve">Material in water-stressed sourcing regions</w:t>
            </w:r>
          </w:p>
        </w:tc>
      </w:tr>
      <w:tr>
        <w:tc>
          <w:tcPr/>
          <w:p>
            <w:pPr>
              <w:pStyle w:val="Compact"/>
              <w:jc w:val="left"/>
            </w:pPr>
            <w:r>
              <w:rPr>
                <w:bCs/>
                <w:b/>
              </w:rPr>
              <w:t xml:space="preserve">Long-cycle agave price/supply risk</w:t>
            </w:r>
          </w:p>
        </w:tc>
        <w:tc>
          <w:tcPr/>
          <w:p>
            <w:pPr>
              <w:pStyle w:val="Compact"/>
              <w:jc w:val="left"/>
            </w:pPr>
            <w:r>
              <w:t xml:space="preserve">7–8 year crop cycle not provisioned period-to-period</w:t>
            </w:r>
          </w:p>
        </w:tc>
        <w:tc>
          <w:tcPr/>
          <w:p>
            <w:pPr>
              <w:pStyle w:val="Compact"/>
              <w:jc w:val="left"/>
            </w:pPr>
            <w:r>
              <w:t xml:space="preserve">Direct exposure for the Espolòn house</w:t>
            </w:r>
          </w:p>
        </w:tc>
      </w:tr>
      <w:tr>
        <w:tc>
          <w:tcPr/>
          <w:p>
            <w:pPr>
              <w:pStyle w:val="Compact"/>
              <w:jc w:val="left"/>
            </w:pPr>
            <w:r>
              <w:rPr>
                <w:bCs/>
                <w:b/>
              </w:rPr>
              <w:t xml:space="preserve">Alcohol-related social cost</w:t>
            </w:r>
          </w:p>
        </w:tc>
        <w:tc>
          <w:tcPr/>
          <w:p>
            <w:pPr>
              <w:pStyle w:val="Compact"/>
              <w:jc w:val="left"/>
            </w:pPr>
            <w:r>
              <w:t xml:space="preserve">Contingent / reputational, not provisioned</w:t>
            </w:r>
          </w:p>
        </w:tc>
        <w:tc>
          <w:tcPr/>
          <w:p>
            <w:pPr>
              <w:pStyle w:val="Compact"/>
              <w:jc w:val="left"/>
            </w:pPr>
            <w:r>
              <w:t xml:space="preserve">Structural Social-capital liability</w:t>
            </w:r>
          </w:p>
        </w:tc>
      </w:tr>
    </w:tbl>
    <w:p>
      <w:pPr>
        <w:pStyle w:val="BlockText"/>
      </w:pPr>
      <w:r>
        <w:rPr>
          <w:bCs/>
          <w:b/>
        </w:rPr>
        <w:t xml:space="preserve">The key gap (Session 4).</w:t>
      </w:r>
      <w:r>
        <w:t xml:space="preserve"> </w:t>
      </w:r>
      <w:r>
        <w:t xml:space="preserve">Campari pays the</w:t>
      </w:r>
      <w:r>
        <w:t xml:space="preserve"> </w:t>
      </w:r>
      <w:r>
        <w:rPr>
          <w:bCs/>
          <w:b/>
        </w:rPr>
        <w:t xml:space="preserve">tariff</w:t>
      </w:r>
      <w:r>
        <w:t xml:space="preserve"> </w:t>
      </w:r>
      <w:r>
        <w:t xml:space="preserve">for water and energy (it enters the P&amp;L as an infrastructure cost), but the</w:t>
      </w:r>
      <w:r>
        <w:t xml:space="preserve"> </w:t>
      </w:r>
      <w:r>
        <w:rPr>
          <w:bCs/>
          <w:b/>
        </w:rPr>
        <w:t xml:space="preserve">real cost</w:t>
      </w:r>
      <w:r>
        <w:t xml:space="preserve"> </w:t>
      </w:r>
      <w:r>
        <w:t xml:space="preserve">of its Natural-capital impact — above all the</w:t>
      </w:r>
      <w:r>
        <w:t xml:space="preserve"> </w:t>
      </w:r>
      <w:r>
        <w:rPr>
          <w:bCs/>
          <w:b/>
        </w:rPr>
        <w:t xml:space="preserve">~820 kt of Scope 3 carbon embedded in glass and agriculture</w:t>
      </w:r>
      <w:r>
        <w:t xml:space="preserve"> </w:t>
      </w:r>
      <w:r>
        <w:t xml:space="preserve">— appears in</w:t>
      </w:r>
      <w:r>
        <w:t xml:space="preserve"> </w:t>
      </w:r>
      <w:r>
        <w:rPr>
          <w:bCs/>
          <w:b/>
        </w:rPr>
        <w:t xml:space="preserve">no financial statement</w:t>
      </w:r>
      <w:r>
        <w:t xml:space="preserve">, only (partially) in the sustainability disclosures. The</w:t>
      </w:r>
      <w:r>
        <w:t xml:space="preserve"> </w:t>
      </w:r>
      <w:r>
        <w:rPr>
          <w:rStyle w:val="VerbatimChar"/>
        </w:rPr>
        <w:t xml:space="preserve">&lt;IR&gt;</w:t>
      </w:r>
      <w:r>
        <w:t xml:space="preserve"> </w:t>
      </w:r>
      <w:r>
        <w:t xml:space="preserve">Framework, TCFD and</w:t>
      </w:r>
      <w:r>
        <w:t xml:space="preserve"> </w:t>
      </w:r>
      <w:r>
        <w:rPr>
          <w:bCs/>
          <w:b/>
        </w:rPr>
        <w:t xml:space="preserve">IFRS S1/S2</w:t>
      </w:r>
      <w:r>
        <w:t xml:space="preserve"> </w:t>
      </w:r>
      <w:r>
        <w:t xml:space="preserve">exist precisely to close this gap.</w:t>
      </w:r>
    </w:p>
    <w:bookmarkEnd w:id="26"/>
    <w:bookmarkStart w:id="27" w:name="diagnosis-of-the-levers-of-control"/>
    <w:p>
      <w:pPr>
        <w:pStyle w:val="Heading2"/>
      </w:pPr>
      <w:r>
        <w:t xml:space="preserve">1.5 Diagnosis of the Levers of Control</w:t>
      </w:r>
    </w:p>
    <w:p>
      <w:pPr>
        <w:pStyle w:val="FirstParagraph"/>
      </w:pPr>
      <w:r>
        <w:t xml:space="preserve">How do Simons’ four levers currently manifest at Campari?</w:t>
      </w:r>
    </w:p>
    <w:p>
      <w:pPr>
        <w:pStyle w:val="BodyText"/>
      </w:pPr>
      <w:r>
        <w:rPr>
          <w:bCs/>
          <w:b/>
        </w:rPr>
        <w:t xml:space="preserve">① Belief System — STRONG (a genuine asset).</w:t>
      </w:r>
      <w:r>
        <w:t xml:space="preserve"> </w:t>
      </w:r>
      <w:r>
        <w:t xml:space="preserve">Campari has an unusually well-articulated,</w:t>
      </w:r>
      <w:r>
        <w:t xml:space="preserve"> </w:t>
      </w:r>
      <w:r>
        <w:rPr>
          <w:iCs/>
          <w:i/>
        </w:rPr>
        <w:t xml:space="preserve">lived</w:t>
      </w:r>
      <w:r>
        <w:t xml:space="preserve"> </w:t>
      </w:r>
      <w:r>
        <w:t xml:space="preserve">belief system: the purpose of being</w:t>
      </w:r>
      <w:r>
        <w:t xml:space="preserve"> </w:t>
      </w:r>
      <w:r>
        <w:rPr>
          <w:iCs/>
          <w:i/>
        </w:rPr>
        <w:t xml:space="preserve">“</w:t>
      </w:r>
      <w:r>
        <w:rPr>
          <w:iCs/>
          <w:i/>
        </w:rPr>
        <w:t xml:space="preserve">the smallest big company in the spirits industry, building iconic brands… together with passionate Camparistas,</w:t>
      </w:r>
      <w:r>
        <w:rPr>
          <w:iCs/>
          <w:i/>
        </w:rPr>
        <w:t xml:space="preserve">”</w:t>
      </w:r>
      <w:r>
        <w:t xml:space="preserve"> </w:t>
      </w:r>
      <w:r>
        <w:t xml:space="preserve">four explicit values (</w:t>
      </w:r>
      <w:r>
        <w:rPr>
          <w:bCs/>
          <w:b/>
        </w:rPr>
        <w:t xml:space="preserve">Passion, Integrity, Pragmatism, Together</w:t>
      </w:r>
      <w:r>
        <w:t xml:space="preserve">), the</w:t>
      </w:r>
      <w:r>
        <w:t xml:space="preserve"> </w:t>
      </w:r>
      <w:r>
        <w:t xml:space="preserve">“</w:t>
      </w:r>
      <w:r>
        <w:t xml:space="preserve">Camparista</w:t>
      </w:r>
      <w:r>
        <w:t xml:space="preserve">”</w:t>
      </w:r>
      <w:r>
        <w:t xml:space="preserve"> </w:t>
      </w:r>
      <w:r>
        <w:t xml:space="preserve">culture, and a</w:t>
      </w:r>
      <w:r>
        <w:t xml:space="preserve"> </w:t>
      </w:r>
      <w:r>
        <w:rPr>
          <w:bCs/>
          <w:b/>
        </w:rPr>
        <w:t xml:space="preserve">Code of Ethics since 2004</w:t>
      </w:r>
      <w:r>
        <w:t xml:space="preserve">. This passes Simons’ diagnostic test — it is not a poster on the wall; resource-allocation decisions (long-term brand investment, agave co-investment) reflect the stated values.</w:t>
      </w:r>
      <w:r>
        <w:t xml:space="preserve"> </w:t>
      </w:r>
      <w:r>
        <w:rPr>
          <w:iCs/>
          <w:i/>
        </w:rPr>
        <w:t xml:space="preserve">This is the firm’s strongest lever.</w:t>
      </w:r>
    </w:p>
    <w:p>
      <w:pPr>
        <w:pStyle w:val="BodyText"/>
      </w:pPr>
      <w:r>
        <w:rPr>
          <w:bCs/>
          <w:b/>
        </w:rPr>
        <w:t xml:space="preserve">② Boundary Systems — MODERATE.</w:t>
      </w:r>
      <w:r>
        <w:t xml:space="preserve"> </w:t>
      </w:r>
      <w:r>
        <w:t xml:space="preserve">The Code of Ethics, the Global Strategy on Responsible Drinking (2020), and the move to</w:t>
      </w:r>
      <w:r>
        <w:t xml:space="preserve"> </w:t>
      </w:r>
      <w:r>
        <w:rPr>
          <w:bCs/>
          <w:b/>
        </w:rPr>
        <w:t xml:space="preserve">CSRD/ESRS</w:t>
      </w:r>
      <w:r>
        <w:t xml:space="preserve"> </w:t>
      </w:r>
      <w:r>
        <w:t xml:space="preserve">institutionalise some boundaries. But the</w:t>
      </w:r>
      <w:r>
        <w:t xml:space="preserve"> </w:t>
      </w:r>
      <w:r>
        <w:rPr>
          <w:bCs/>
          <w:b/>
        </w:rPr>
        <w:t xml:space="preserve">supply-chain ESG boundaries are under-formalised</w:t>
      </w:r>
      <w:r>
        <w:t xml:space="preserve">: there is no public evidence of explicit budget</w:t>
      </w:r>
      <w:r>
        <w:t xml:space="preserve"> </w:t>
      </w:r>
      <w:r>
        <w:rPr>
          <w:iCs/>
          <w:i/>
        </w:rPr>
        <w:t xml:space="preserve">limits</w:t>
      </w:r>
      <w:r>
        <w:t xml:space="preserve"> </w:t>
      </w:r>
      <w:r>
        <w:t xml:space="preserve">on Scope 3 carbon, on glass intensity, or of a formal</w:t>
      </w:r>
      <w:r>
        <w:t xml:space="preserve"> </w:t>
      </w:r>
      <w:r>
        <w:rPr>
          <w:bCs/>
          <w:b/>
        </w:rPr>
        <w:t xml:space="preserve">science-based target validated by SBTi</w:t>
      </w:r>
      <w:r>
        <w:t xml:space="preserve"> </w:t>
      </w:r>
      <w:r>
        <w:t xml:space="preserve">(the targets appear</w:t>
      </w:r>
      <w:r>
        <w:t xml:space="preserve"> </w:t>
      </w:r>
      <w:r>
        <w:t xml:space="preserve">“</w:t>
      </w:r>
      <w:r>
        <w:t xml:space="preserve">science-aligned</w:t>
      </w:r>
      <w:r>
        <w:t xml:space="preserve">”</w:t>
      </w:r>
      <w:r>
        <w:t xml:space="preserve"> </w:t>
      </w:r>
      <w:r>
        <w:t xml:space="preserve">but unvalidated — Appendix B). In Simons’ language, several ESG risks are</w:t>
      </w:r>
      <w:r>
        <w:t xml:space="preserve"> </w:t>
      </w:r>
      <w:r>
        <w:rPr>
          <w:iCs/>
          <w:i/>
        </w:rPr>
        <w:t xml:space="preserve">declared</w:t>
      </w:r>
      <w:r>
        <w:t xml:space="preserve"> </w:t>
      </w:r>
      <w:r>
        <w:t xml:space="preserve">(Belief) but not yet</w:t>
      </w:r>
      <w:r>
        <w:t xml:space="preserve"> </w:t>
      </w:r>
      <w:r>
        <w:rPr>
          <w:iCs/>
          <w:i/>
        </w:rPr>
        <w:t xml:space="preserve">bounded</w:t>
      </w:r>
      <w:r>
        <w:t xml:space="preserve"> </w:t>
      </w:r>
      <w:r>
        <w:t xml:space="preserve">(Limit).</w:t>
      </w:r>
    </w:p>
    <w:p>
      <w:pPr>
        <w:pStyle w:val="BodyText"/>
      </w:pPr>
      <w:r>
        <w:rPr>
          <w:bCs/>
          <w:b/>
        </w:rPr>
        <w:t xml:space="preserve">③ Diagnostic Control System — WEAK on ESG (the core gap).</w:t>
      </w:r>
      <w:r>
        <w:t xml:space="preserve"> </w:t>
      </w:r>
      <w:r>
        <w:t xml:space="preserve">Campari is excellent at diagnostic control of</w:t>
      </w:r>
      <w:r>
        <w:t xml:space="preserve"> </w:t>
      </w:r>
      <w:r>
        <w:rPr>
          <w:bCs/>
          <w:b/>
        </w:rPr>
        <w:t xml:space="preserve">financial</w:t>
      </w:r>
      <w:r>
        <w:t xml:space="preserve"> </w:t>
      </w:r>
      <w:r>
        <w:t xml:space="preserve">Critical Performance Variables (CPVs): net sales, organic growth, gross margin, adjusted EBIT, Net debt/EBITDA. But its</w:t>
      </w:r>
      <w:r>
        <w:t xml:space="preserve"> </w:t>
      </w:r>
      <w:r>
        <w:rPr>
          <w:bCs/>
          <w:b/>
        </w:rPr>
        <w:t xml:space="preserve">non-financial CPVs are not wired into management control at the same level</w:t>
      </w:r>
      <w:r>
        <w:t xml:space="preserve">. Scope 3 intensity, glass carbon intensity, water intensity and a per-product carbon cost should sit on the executive dashboard</w:t>
      </w:r>
      <w:r>
        <w:t xml:space="preserve"> </w:t>
      </w:r>
      <w:r>
        <w:rPr>
          <w:iCs/>
          <w:i/>
        </w:rPr>
        <w:t xml:space="preserve">next to</w:t>
      </w:r>
      <w:r>
        <w:t xml:space="preserve"> </w:t>
      </w:r>
      <w:r>
        <w:t xml:space="preserve">EBITDA (Session 3:</w:t>
      </w:r>
      <w:r>
        <w:t xml:space="preserve"> </w:t>
      </w:r>
      <w:r>
        <w:t xml:space="preserve">“</w:t>
      </w:r>
      <w:r>
        <w:t xml:space="preserve">GRI/SASB metrics are the CPVs of the ESG capital</w:t>
      </w:r>
      <w:r>
        <w:t xml:space="preserve">”</w:t>
      </w:r>
      <w:r>
        <w:t xml:space="preserve">). Today they live in the sustainability report, reviewed annually — not in the monthly control cycle.</w:t>
      </w:r>
      <w:r>
        <w:t xml:space="preserve"> </w:t>
      </w:r>
      <w:r>
        <w:rPr>
          <w:bCs/>
          <w:b/>
        </w:rPr>
        <w:t xml:space="preserve">This is the weakest lever, and therefore the core of the improvement proposal (Section 3).</w:t>
      </w:r>
    </w:p>
    <w:p>
      <w:pPr>
        <w:pStyle w:val="BodyText"/>
      </w:pPr>
      <w:r>
        <w:rPr>
          <w:bCs/>
          <w:b/>
        </w:rPr>
        <w:t xml:space="preserve">④ Interactive Control System — EMERGING.</w:t>
      </w:r>
      <w:r>
        <w:t xml:space="preserve"> </w:t>
      </w:r>
      <w:r>
        <w:t xml:space="preserve">The 2024 leadership transition, the Courvoisier acquisition and the CSRD double-materiality process show some interactive engagement with strategic uncertainties (premiumisation, climate regulation, carbon pricing). But there is no public evidence of a</w:t>
      </w:r>
      <w:r>
        <w:t xml:space="preserve"> </w:t>
      </w:r>
      <w:r>
        <w:rPr>
          <w:iCs/>
          <w:i/>
        </w:rPr>
        <w:t xml:space="preserve">recurring</w:t>
      </w:r>
      <w:r>
        <w:t xml:space="preserve"> </w:t>
      </w:r>
      <w:r>
        <w:t xml:space="preserve">interactive review in which senior leaders personally and regularly probe the ESG/Scope-3 trajectory as a strategic uncertainty — as opposed to a once-a-year materiality exercise.</w:t>
      </w:r>
    </w:p>
    <w:p>
      <w:pPr>
        <w:pStyle w:val="BlockText"/>
      </w:pPr>
      <w:r>
        <w:rPr>
          <w:bCs/>
          <w:b/>
        </w:rPr>
        <w:t xml:space="preserve">Diagnosis summary.</w:t>
      </w:r>
      <w:r>
        <w:t xml:space="preserve"> </w:t>
      </w:r>
      <w:r>
        <w:t xml:space="preserve">Strongest → weakest:</w:t>
      </w:r>
      <w:r>
        <w:t xml:space="preserve"> </w:t>
      </w:r>
      <w:r>
        <w:rPr>
          <w:bCs/>
          <w:b/>
        </w:rPr>
        <w:t xml:space="preserve">Belief (strong) &gt; Interactive (emerging) &gt; Boundary (moderate) &gt; Diagnostic-ESG (weak).</w:t>
      </w:r>
      <w:r>
        <w:t xml:space="preserve"> </w:t>
      </w:r>
      <w:r>
        <w:t xml:space="preserve">The gap between a strong</w:t>
      </w:r>
      <w:r>
        <w:t xml:space="preserve"> </w:t>
      </w:r>
      <w:r>
        <w:rPr>
          <w:iCs/>
          <w:i/>
        </w:rPr>
        <w:t xml:space="preserve">Belief</w:t>
      </w:r>
      <w:r>
        <w:t xml:space="preserve"> </w:t>
      </w:r>
      <w:r>
        <w:t xml:space="preserve">in sustainability and a weak</w:t>
      </w:r>
      <w:r>
        <w:t xml:space="preserve"> </w:t>
      </w:r>
      <w:r>
        <w:rPr>
          <w:iCs/>
          <w:i/>
        </w:rPr>
        <w:t xml:space="preserve">Diagnostic</w:t>
      </w:r>
      <w:r>
        <w:t xml:space="preserve"> </w:t>
      </w:r>
      <w:r>
        <w:t xml:space="preserve">measurement of it is, in Simons’ terms, the firm’s principal source of reputational and transition risk — and the gap that Section 3 closes.</w:t>
      </w:r>
    </w:p>
    <w:p>
      <w:r>
        <w:pict>
          <v:rect style="width:0;height:1.5pt" o:hralign="center" o:hrstd="t" o:hr="t"/>
        </w:pict>
      </w:r>
    </w:p>
    <w:bookmarkEnd w:id="27"/>
    <w:bookmarkEnd w:id="28"/>
    <w:bookmarkStart w:id="33" w:name="Xec3239f3ae1de1dd16566305f96eee9894a37fd"/>
    <w:p>
      <w:pPr>
        <w:pStyle w:val="Heading1"/>
      </w:pPr>
      <w:r>
        <w:t xml:space="preserve">SECTION 2 · Application of Integrated Thinking</w:t>
      </w:r>
    </w:p>
    <w:p>
      <w:pPr>
        <w:pStyle w:val="FirstParagraph"/>
      </w:pPr>
      <w:r>
        <w:rPr>
          <w:iCs/>
          <w:i/>
        </w:rPr>
        <w:t xml:space="preserve">Purpose: to connect the course analysis with Campari’s reality and show how integrating financial and non-financial information changes the view of profitability and sustainability.</w:t>
      </w:r>
    </w:p>
    <w:bookmarkStart w:id="29" w:name="distortions-in-cost-information"/>
    <w:p>
      <w:pPr>
        <w:pStyle w:val="Heading2"/>
      </w:pPr>
      <w:r>
        <w:t xml:space="preserve">2.1 Distortions in cost information</w:t>
      </w:r>
    </w:p>
    <w:p>
      <w:pPr>
        <w:pStyle w:val="FirstParagraph"/>
      </w:pPr>
      <w:r>
        <w:rPr>
          <w:bCs/>
          <w:b/>
        </w:rPr>
        <w:t xml:space="preserve">The structural condition for distortion is present.</w:t>
      </w:r>
      <w:r>
        <w:t xml:space="preserve"> </w:t>
      </w:r>
      <w:r>
        <w:t xml:space="preserve">Session 8 lists when traditional volume-based costing misleads: high product diversity, high overhead share, low direct-labour share, intense price competition, decisions about product mix. Campari ticks</w:t>
      </w:r>
      <w:r>
        <w:t xml:space="preserve"> </w:t>
      </w:r>
      <w:r>
        <w:rPr>
          <w:bCs/>
          <w:b/>
        </w:rPr>
        <w:t xml:space="preserve">every box</w:t>
      </w:r>
      <w:r>
        <w:t xml:space="preserve"> </w:t>
      </w:r>
      <w:r>
        <w:t xml:space="preserve">— 50+ brands spanning ultra-high-volume Aperol to low-volume craft expressions, dominant materials/overhead, premiumisation mix decisions.</w:t>
      </w:r>
    </w:p>
    <w:p>
      <w:pPr>
        <w:pStyle w:val="BodyText"/>
      </w:pPr>
      <w:r>
        <w:rPr>
          <w:bCs/>
          <w:b/>
        </w:rPr>
        <w:t xml:space="preserve">The cross-subsidisation hypothesis.</w:t>
      </w:r>
      <w:r>
        <w:t xml:space="preserve"> </w:t>
      </w:r>
      <w:r>
        <w:t xml:space="preserve">Under a single volumetric base,</w:t>
      </w:r>
      <w:r>
        <w:t xml:space="preserve"> </w:t>
      </w:r>
      <w:r>
        <w:rPr>
          <w:bCs/>
          <w:b/>
        </w:rPr>
        <w:t xml:space="preserve">high-volume / low-complexity brands (Aperol, Campari) almost certainly over-absorb overhead</w:t>
      </w:r>
      <w:r>
        <w:t xml:space="preserve">, while</w:t>
      </w:r>
      <w:r>
        <w:t xml:space="preserve"> </w:t>
      </w:r>
      <w:r>
        <w:rPr>
          <w:bCs/>
          <w:b/>
        </w:rPr>
        <w:t xml:space="preserve">low-volume / high-complexity expressions (craft agave, aged rum, limited editions) under-absorb</w:t>
      </w:r>
      <w:r>
        <w:t xml:space="preserve"> </w:t>
      </w:r>
      <w:r>
        <w:t xml:space="preserve">the design, small-batch set-up, procurement and customer-service overhead they actually consume. The likely effect — exactly as in the Classic Brass case — is that</w:t>
      </w:r>
      <w:r>
        <w:t xml:space="preserve"> </w:t>
      </w:r>
      <w:r>
        <w:rPr>
          <w:bCs/>
          <w:b/>
        </w:rPr>
        <w:t xml:space="preserve">traditional costing makes the flagship aperitifs look</w:t>
      </w:r>
      <w:r>
        <w:rPr>
          <w:bCs/>
          <w:b/>
        </w:rPr>
        <w:t xml:space="preserve"> </w:t>
      </w:r>
      <w:r>
        <w:rPr>
          <w:iCs/>
          <w:i/>
          <w:bCs/>
          <w:b/>
        </w:rPr>
        <w:t xml:space="preserve">less</w:t>
      </w:r>
      <w:r>
        <w:rPr>
          <w:bCs/>
          <w:b/>
        </w:rPr>
        <w:t xml:space="preserve"> </w:t>
      </w:r>
      <w:r>
        <w:rPr>
          <w:bCs/>
          <w:b/>
        </w:rPr>
        <w:t xml:space="preserve">profitable than they are and the long tail look</w:t>
      </w:r>
      <w:r>
        <w:rPr>
          <w:bCs/>
          <w:b/>
        </w:rPr>
        <w:t xml:space="preserve"> </w:t>
      </w:r>
      <w:r>
        <w:rPr>
          <w:iCs/>
          <w:i/>
          <w:bCs/>
          <w:b/>
        </w:rPr>
        <w:t xml:space="preserve">more</w:t>
      </w:r>
      <w:r>
        <w:rPr>
          <w:bCs/>
          <w:b/>
        </w:rPr>
        <w:t xml:space="preserve"> </w:t>
      </w:r>
      <w:r>
        <w:rPr>
          <w:bCs/>
          <w:b/>
        </w:rPr>
        <w:t xml:space="preserve">profitable than it is.</w:t>
      </w:r>
    </w:p>
    <w:p>
      <w:pPr>
        <w:pStyle w:val="BodyText"/>
      </w:pPr>
      <w:r>
        <w:rPr>
          <w:iCs/>
          <w:i/>
        </w:rPr>
        <w:t xml:space="preserve">Illustrative ABC vs. traditional comparison (assumption — to show the mechanism; figures are the author’s).</w:t>
      </w:r>
      <w:r>
        <w:t xml:space="preserve"> </w:t>
      </w:r>
      <w:r>
        <w:t xml:space="preserve">Consider two stylised lines for a single plant year with total overhead of</w:t>
      </w:r>
      <w:r>
        <w:t xml:space="preserve"> </w:t>
      </w:r>
      <w:r>
        <w:rPr>
          <w:bCs/>
          <w:b/>
        </w:rPr>
        <w:t xml:space="preserve">€100.0m</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Aperitifs (high volume)</w:t>
            </w:r>
          </w:p>
        </w:tc>
        <w:tc>
          <w:tcPr/>
          <w:p>
            <w:pPr>
              <w:pStyle w:val="Compact"/>
              <w:jc w:val="left"/>
            </w:pPr>
            <w:r>
              <w:rPr>
                <w:bCs/>
                <w:b/>
              </w:rPr>
              <w:t xml:space="preserve">Craft long-tail (low volume)</w:t>
            </w:r>
          </w:p>
        </w:tc>
        <w:tc>
          <w:tcPr/>
          <w:p>
            <w:pPr>
              <w:pStyle w:val="Compact"/>
              <w:jc w:val="left"/>
            </w:pPr>
            <w:r>
              <w:t xml:space="preserve">Total</w:t>
            </w:r>
          </w:p>
        </w:tc>
      </w:tr>
      <w:tr>
        <w:tc>
          <w:tcPr/>
          <w:p>
            <w:pPr>
              <w:pStyle w:val="Compact"/>
              <w:jc w:val="left"/>
            </w:pPr>
            <w:r>
              <w:t xml:space="preserve">Units (k 9-L cases)</w:t>
            </w:r>
          </w:p>
        </w:tc>
        <w:tc>
          <w:tcPr/>
          <w:p>
            <w:pPr>
              <w:pStyle w:val="Compact"/>
              <w:jc w:val="left"/>
            </w:pPr>
            <w:r>
              <w:t xml:space="preserve">9,000</w:t>
            </w:r>
          </w:p>
        </w:tc>
        <w:tc>
          <w:tcPr/>
          <w:p>
            <w:pPr>
              <w:pStyle w:val="Compact"/>
              <w:jc w:val="left"/>
            </w:pPr>
            <w:r>
              <w:t xml:space="preserve">1,000</w:t>
            </w:r>
          </w:p>
        </w:tc>
        <w:tc>
          <w:tcPr/>
          <w:p>
            <w:pPr>
              <w:pStyle w:val="Compact"/>
              <w:jc w:val="left"/>
            </w:pPr>
            <w:r>
              <w:t xml:space="preserve">10,000</w:t>
            </w:r>
          </w:p>
        </w:tc>
      </w:tr>
      <w:tr>
        <w:tc>
          <w:tcPr/>
          <w:p>
            <w:pPr>
              <w:pStyle w:val="Compact"/>
              <w:jc w:val="left"/>
            </w:pPr>
            <w:r>
              <w:t xml:space="preserve">Machine-hours</w:t>
            </w:r>
          </w:p>
        </w:tc>
        <w:tc>
          <w:tcPr/>
          <w:p>
            <w:pPr>
              <w:pStyle w:val="Compact"/>
              <w:jc w:val="left"/>
            </w:pPr>
            <w:r>
              <w:t xml:space="preserve">80%</w:t>
            </w:r>
          </w:p>
        </w:tc>
        <w:tc>
          <w:tcPr/>
          <w:p>
            <w:pPr>
              <w:pStyle w:val="Compact"/>
              <w:jc w:val="left"/>
            </w:pPr>
            <w:r>
              <w:t xml:space="preserve">20%</w:t>
            </w:r>
          </w:p>
        </w:tc>
        <w:tc>
          <w:tcPr/>
          <w:p>
            <w:pPr>
              <w:pStyle w:val="Compact"/>
              <w:jc w:val="left"/>
            </w:pPr>
            <w:r>
              <w:t xml:space="preserve">100%</w:t>
            </w:r>
          </w:p>
        </w:tc>
      </w:tr>
      <w:tr>
        <w:tc>
          <w:tcPr/>
          <w:p>
            <w:pPr>
              <w:pStyle w:val="Compact"/>
              <w:jc w:val="left"/>
            </w:pPr>
            <w:r>
              <w:t xml:space="preserve">Product designs / recipes</w:t>
            </w:r>
          </w:p>
        </w:tc>
        <w:tc>
          <w:tcPr/>
          <w:p>
            <w:pPr>
              <w:pStyle w:val="Compact"/>
              <w:jc w:val="left"/>
            </w:pPr>
            <w:r>
              <w:t xml:space="preserve">10</w:t>
            </w:r>
          </w:p>
        </w:tc>
        <w:tc>
          <w:tcPr/>
          <w:p>
            <w:pPr>
              <w:pStyle w:val="Compact"/>
              <w:jc w:val="left"/>
            </w:pPr>
            <w:r>
              <w:t xml:space="preserve">200</w:t>
            </w:r>
          </w:p>
        </w:tc>
        <w:tc>
          <w:tcPr/>
          <w:p>
            <w:pPr>
              <w:pStyle w:val="Compact"/>
              <w:jc w:val="left"/>
            </w:pPr>
            <w:r>
              <w:t xml:space="preserve">210</w:t>
            </w:r>
          </w:p>
        </w:tc>
      </w:tr>
      <w:tr>
        <w:tc>
          <w:tcPr/>
          <w:p>
            <w:pPr>
              <w:pStyle w:val="Compact"/>
              <w:jc w:val="left"/>
            </w:pPr>
            <w:r>
              <w:t xml:space="preserve">Procurement orders</w:t>
            </w:r>
          </w:p>
        </w:tc>
        <w:tc>
          <w:tcPr/>
          <w:p>
            <w:pPr>
              <w:pStyle w:val="Compact"/>
              <w:jc w:val="left"/>
            </w:pPr>
            <w:r>
              <w:t xml:space="preserve">600</w:t>
            </w:r>
          </w:p>
        </w:tc>
        <w:tc>
          <w:tcPr/>
          <w:p>
            <w:pPr>
              <w:pStyle w:val="Compact"/>
              <w:jc w:val="left"/>
            </w:pPr>
            <w:r>
              <w:t xml:space="preserve">1,400</w:t>
            </w:r>
          </w:p>
        </w:tc>
        <w:tc>
          <w:tcPr/>
          <w:p>
            <w:pPr>
              <w:pStyle w:val="Compact"/>
              <w:jc w:val="left"/>
            </w:pPr>
            <w:r>
              <w:t xml:space="preserve">2,000</w:t>
            </w:r>
          </w:p>
        </w:tc>
      </w:tr>
      <w:tr>
        <w:tc>
          <w:tcPr/>
          <w:p>
            <w:pPr>
              <w:pStyle w:val="Compact"/>
              <w:jc w:val="left"/>
            </w:pPr>
            <w:r>
              <w:rPr>
                <w:bCs/>
                <w:b/>
              </w:rPr>
              <w:t xml:space="preserve">Overhead — Traditional</w:t>
            </w:r>
            <w:r>
              <w:t xml:space="preserve"> </w:t>
            </w:r>
            <w:r>
              <w:t xml:space="preserve">(by machine-hours)</w:t>
            </w:r>
          </w:p>
        </w:tc>
        <w:tc>
          <w:tcPr/>
          <w:p>
            <w:pPr>
              <w:pStyle w:val="Compact"/>
              <w:jc w:val="left"/>
            </w:pPr>
            <w:r>
              <w:t xml:space="preserve">€80.0m</w:t>
            </w:r>
          </w:p>
        </w:tc>
        <w:tc>
          <w:tcPr/>
          <w:p>
            <w:pPr>
              <w:pStyle w:val="Compact"/>
              <w:jc w:val="left"/>
            </w:pPr>
            <w:r>
              <w:t xml:space="preserve">€20.0m</w:t>
            </w:r>
          </w:p>
        </w:tc>
        <w:tc>
          <w:tcPr/>
          <w:p>
            <w:pPr>
              <w:pStyle w:val="Compact"/>
              <w:jc w:val="left"/>
            </w:pPr>
            <w:r>
              <w:t xml:space="preserve">€100.0m</w:t>
            </w:r>
          </w:p>
        </w:tc>
      </w:tr>
      <w:tr>
        <w:tc>
          <w:tcPr/>
          <w:p>
            <w:pPr>
              <w:pStyle w:val="Compact"/>
              <w:jc w:val="left"/>
            </w:pPr>
            <w:r>
              <w:rPr>
                <w:bCs/>
                <w:b/>
              </w:rPr>
              <w:t xml:space="preserve">Overhead — ABC</w:t>
            </w:r>
            <w:r>
              <w:t xml:space="preserve"> </w:t>
            </w:r>
            <w:r>
              <w:t xml:space="preserve">(unit + batch + product-level drivers)</w:t>
            </w:r>
          </w:p>
        </w:tc>
        <w:tc>
          <w:tcPr/>
          <w:p>
            <w:pPr>
              <w:pStyle w:val="Compact"/>
              <w:jc w:val="left"/>
            </w:pPr>
            <w:r>
              <w:t xml:space="preserve">€62.0m</w:t>
            </w:r>
          </w:p>
        </w:tc>
        <w:tc>
          <w:tcPr/>
          <w:p>
            <w:pPr>
              <w:pStyle w:val="Compact"/>
              <w:jc w:val="left"/>
            </w:pPr>
            <w:r>
              <w:t xml:space="preserve">€38.0m</w:t>
            </w:r>
          </w:p>
        </w:tc>
        <w:tc>
          <w:tcPr/>
          <w:p>
            <w:pPr>
              <w:pStyle w:val="Compact"/>
              <w:jc w:val="left"/>
            </w:pPr>
            <w:r>
              <w:t xml:space="preserve">€100.0m</w:t>
            </w:r>
          </w:p>
        </w:tc>
      </w:tr>
      <w:tr>
        <w:tc>
          <w:tcPr/>
          <w:p>
            <w:pPr>
              <w:pStyle w:val="Compact"/>
              <w:jc w:val="left"/>
            </w:pPr>
            <w:r>
              <w:rPr>
                <w:bCs/>
                <w:b/>
              </w:rPr>
              <w:t xml:space="preserve">Difference</w:t>
            </w:r>
          </w:p>
        </w:tc>
        <w:tc>
          <w:tcPr/>
          <w:p>
            <w:pPr>
              <w:pStyle w:val="Compact"/>
              <w:jc w:val="left"/>
            </w:pPr>
            <w:r>
              <w:rPr>
                <w:bCs/>
                <w:b/>
              </w:rPr>
              <w:t xml:space="preserve">−€18.0m</w:t>
            </w:r>
          </w:p>
        </w:tc>
        <w:tc>
          <w:tcPr/>
          <w:p>
            <w:pPr>
              <w:pStyle w:val="Compact"/>
              <w:jc w:val="left"/>
            </w:pPr>
            <w:r>
              <w:rPr>
                <w:bCs/>
                <w:b/>
              </w:rPr>
              <w:t xml:space="preserve">+€18.0m</w:t>
            </w:r>
          </w:p>
        </w:tc>
        <w:tc>
          <w:tcPr/>
          <w:p>
            <w:pPr>
              <w:pStyle w:val="Compact"/>
              <w:jc w:val="left"/>
            </w:pPr>
            <w:r>
              <w:t xml:space="preserve">€0</w:t>
            </w:r>
          </w:p>
        </w:tc>
      </w:tr>
    </w:tbl>
    <w:p>
      <w:pPr>
        <w:pStyle w:val="BodyText"/>
      </w:pPr>
      <w:r>
        <w:t xml:space="preserve">The point is</w:t>
      </w:r>
      <w:r>
        <w:t xml:space="preserve"> </w:t>
      </w:r>
      <w:r>
        <w:rPr>
          <w:bCs/>
          <w:b/>
        </w:rPr>
        <w:t xml:space="preserve">not</w:t>
      </w:r>
      <w:r>
        <w:t xml:space="preserve"> </w:t>
      </w:r>
      <w:r>
        <w:t xml:space="preserve">the exact euros (Campari does not disclose them) but the</w:t>
      </w:r>
      <w:r>
        <w:t xml:space="preserve"> </w:t>
      </w:r>
      <w:r>
        <w:rPr>
          <w:bCs/>
          <w:b/>
        </w:rPr>
        <w:t xml:space="preserve">direction and mechanism</w:t>
      </w:r>
      <w:r>
        <w:t xml:space="preserve">: ABC would</w:t>
      </w:r>
      <w:r>
        <w:t xml:space="preserve"> </w:t>
      </w:r>
      <w:r>
        <w:rPr>
          <w:bCs/>
          <w:b/>
        </w:rPr>
        <w:t xml:space="preserve">redistribute, not invent, cost</w:t>
      </w:r>
      <w:r>
        <w:t xml:space="preserve"> </w:t>
      </w:r>
      <w:r>
        <w:t xml:space="preserve">(</w:t>
      </w:r>
      <w:r>
        <w:t xml:space="preserve">“</w:t>
      </w:r>
      <w:r>
        <w:t xml:space="preserve">ABC redistributes, it does not invent costs</w:t>
      </w:r>
      <w:r>
        <w:t xml:space="preserve">”</w:t>
      </w:r>
      <w:r>
        <w:t xml:space="preserve">), revealing that the aperitif engine subsidises the craft tail. Decisions made on the distorted numbers — pricing, which SKUs to push, which to rationalise, where to invest capacity — would be</w:t>
      </w:r>
      <w:r>
        <w:t xml:space="preserve"> </w:t>
      </w:r>
      <w:r>
        <w:rPr>
          <w:bCs/>
          <w:b/>
        </w:rPr>
        <w:t xml:space="preserve">systematically wrong</w:t>
      </w:r>
      <w:r>
        <w:t xml:space="preserve">, the most expensive and most invisible error in traditional costing.</w:t>
      </w:r>
    </w:p>
    <w:p>
      <w:pPr>
        <w:pStyle w:val="BodyText"/>
      </w:pPr>
      <w:r>
        <w:rPr>
          <w:bCs/>
          <w:b/>
        </w:rPr>
        <w:t xml:space="preserve">Decisions probably being made with incorrect information:</w:t>
      </w:r>
      <w:r>
        <w:t xml:space="preserve"> </w:t>
      </w:r>
      <w:r>
        <w:t xml:space="preserve">SKU rationalisation in the long tail; transfer/standard pricing across Houses; the profitability ranking used to allocate marketing spend; and — once carbon is priced —</w:t>
      </w:r>
      <w:r>
        <w:t xml:space="preserve"> </w:t>
      </w:r>
      <w:r>
        <w:rPr>
          <w:iCs/>
          <w:i/>
        </w:rPr>
        <w:t xml:space="preserve">which products to keep</w:t>
      </w:r>
      <w:r>
        <w:t xml:space="preserve">, because the craft tail is likely both the overhead-heavy</w:t>
      </w:r>
      <w:r>
        <w:t xml:space="preserve"> </w:t>
      </w:r>
      <w:r>
        <w:rPr>
          <w:bCs/>
          <w:b/>
        </w:rPr>
        <w:t xml:space="preserve">and</w:t>
      </w:r>
      <w:r>
        <w:t xml:space="preserve"> </w:t>
      </w:r>
      <w:r>
        <w:t xml:space="preserve">the carbon-heavy segment per unit.</w:t>
      </w:r>
    </w:p>
    <w:bookmarkEnd w:id="29"/>
    <w:bookmarkStart w:id="30" w:name="relevant-costs-and-decisions"/>
    <w:p>
      <w:pPr>
        <w:pStyle w:val="Heading2"/>
      </w:pPr>
      <w:r>
        <w:t xml:space="preserve">2.2 Relevant costs and decisions</w:t>
      </w:r>
    </w:p>
    <w:p>
      <w:pPr>
        <w:pStyle w:val="FirstParagraph"/>
      </w:pPr>
      <w:r>
        <w:rPr>
          <w:bCs/>
          <w:b/>
        </w:rPr>
        <w:t xml:space="preserve">A real, recent strategic decision: the 2024 Novi Ligure Aperol capacity doubling (~€75m)</w:t>
      </w:r>
      <w:r>
        <w:t xml:space="preserve"> </w:t>
      </w:r>
      <w:r>
        <w:t xml:space="preserve">and, more broadly, the capacity-vs-licence question Campari faces as Aperol Spritz demand grows. Using the relevant-cost framework (Session 7):</w:t>
      </w:r>
    </w:p>
    <w:p>
      <w:pPr>
        <w:pStyle w:val="BodyText"/>
      </w:pPr>
      <w:r>
        <w:rPr>
          <w:bCs/>
          <w:b/>
        </w:rPr>
        <w:t xml:space="preserve">Make-vs-buy framing (illustrative, assumption-based).</w:t>
      </w:r>
      <w:r>
        <w:t xml:space="preserve"> </w:t>
      </w:r>
      <w:r>
        <w:t xml:space="preserve">Suppose Campari must serve an incremental</w:t>
      </w:r>
      <w:r>
        <w:t xml:space="preserve"> </w:t>
      </w:r>
      <w:r>
        <w:rPr>
          <w:bCs/>
          <w:b/>
        </w:rPr>
        <w:t xml:space="preserve">+10m litres/year</w:t>
      </w:r>
      <w:r>
        <w:t xml:space="preserve"> </w:t>
      </w:r>
      <w:r>
        <w:t xml:space="preserve">of Aperol-style aperitif and weighs</w:t>
      </w:r>
      <w:r>
        <w:t xml:space="preserve"> </w:t>
      </w:r>
      <w:r>
        <w:rPr>
          <w:bCs/>
          <w:b/>
        </w:rPr>
        <w:t xml:space="preserve">(a) producing internally</w:t>
      </w:r>
      <w:r>
        <w:t xml:space="preserve"> </w:t>
      </w:r>
      <w:r>
        <w:t xml:space="preserve">on the new Novi Ligure line vs. </w:t>
      </w:r>
      <w:r>
        <w:rPr>
          <w:bCs/>
          <w:b/>
        </w:rPr>
        <w:t xml:space="preserve">(b) co-packing externally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Relevant cost (per year, illustrative)</w:t>
            </w:r>
          </w:p>
        </w:tc>
        <w:tc>
          <w:tcPr/>
          <w:p>
            <w:pPr>
              <w:pStyle w:val="Compact"/>
              <w:jc w:val="left"/>
            </w:pPr>
            <w:r>
              <w:t xml:space="preserve">Make (internal)</w:t>
            </w:r>
          </w:p>
        </w:tc>
        <w:tc>
          <w:tcPr/>
          <w:p>
            <w:pPr>
              <w:pStyle w:val="Compact"/>
              <w:jc w:val="left"/>
            </w:pPr>
            <w:r>
              <w:t xml:space="preserve">Buy (co-pack)</w:t>
            </w:r>
          </w:p>
        </w:tc>
      </w:tr>
      <w:tr>
        <w:tc>
          <w:tcPr/>
          <w:p>
            <w:pPr>
              <w:pStyle w:val="Compact"/>
              <w:jc w:val="left"/>
            </w:pPr>
            <w:r>
              <w:t xml:space="preserve">Incremental variable cost (materials, labour, energy)</w:t>
            </w:r>
          </w:p>
        </w:tc>
        <w:tc>
          <w:tcPr/>
          <w:p>
            <w:pPr>
              <w:pStyle w:val="Compact"/>
              <w:jc w:val="left"/>
            </w:pPr>
            <w:r>
              <w:t xml:space="preserve">€38.0m</w:t>
            </w:r>
          </w:p>
        </w:tc>
        <w:tc>
          <w:tcPr/>
          <w:p>
            <w:pPr>
              <w:pStyle w:val="Compact"/>
              <w:jc w:val="left"/>
            </w:pPr>
            <w:r>
              <w:t xml:space="preserve">—</w:t>
            </w:r>
          </w:p>
        </w:tc>
      </w:tr>
      <w:tr>
        <w:tc>
          <w:tcPr/>
          <w:p>
            <w:pPr>
              <w:pStyle w:val="Compact"/>
              <w:jc w:val="left"/>
            </w:pPr>
            <w:r>
              <w:t xml:space="preserve">Co-packing price</w:t>
            </w:r>
          </w:p>
        </w:tc>
        <w:tc>
          <w:tcPr/>
          <w:p>
            <w:pPr>
              <w:pStyle w:val="Compact"/>
              <w:jc w:val="left"/>
            </w:pPr>
            <w:r>
              <w:t xml:space="preserve">—</w:t>
            </w:r>
          </w:p>
        </w:tc>
        <w:tc>
          <w:tcPr/>
          <w:p>
            <w:pPr>
              <w:pStyle w:val="Compact"/>
              <w:jc w:val="left"/>
            </w:pPr>
            <w:r>
              <w:t xml:space="preserve">€52.0m</w:t>
            </w:r>
          </w:p>
        </w:tc>
      </w:tr>
      <w:tr>
        <w:tc>
          <w:tcPr/>
          <w:p>
            <w:pPr>
              <w:pStyle w:val="Compact"/>
              <w:jc w:val="left"/>
            </w:pPr>
            <w:r>
              <w:t xml:space="preserve">Identifiable incremental fixed cost (new line depreciation/maintenance)</w:t>
            </w:r>
          </w:p>
        </w:tc>
        <w:tc>
          <w:tcPr/>
          <w:p>
            <w:pPr>
              <w:pStyle w:val="Compact"/>
              <w:jc w:val="left"/>
            </w:pPr>
            <w:r>
              <w:t xml:space="preserve">€9.0m</w:t>
            </w:r>
          </w:p>
        </w:tc>
        <w:tc>
          <w:tcPr/>
          <w:p>
            <w:pPr>
              <w:pStyle w:val="Compact"/>
              <w:jc w:val="left"/>
            </w:pPr>
            <w:r>
              <w:t xml:space="preserve">—</w:t>
            </w:r>
          </w:p>
        </w:tc>
      </w:tr>
      <w:tr>
        <w:tc>
          <w:tcPr/>
          <w:p>
            <w:pPr>
              <w:pStyle w:val="Compact"/>
              <w:jc w:val="left"/>
            </w:pPr>
            <w:r>
              <w:t xml:space="preserve">Common fixed overhead</w:t>
            </w:r>
          </w:p>
        </w:tc>
        <w:tc>
          <w:tcPr/>
          <w:p>
            <w:pPr>
              <w:pStyle w:val="Compact"/>
              <w:jc w:val="left"/>
            </w:pPr>
            <w:r>
              <w:rPr>
                <w:iCs/>
                <w:i/>
              </w:rPr>
              <w:t xml:space="preserve">irrelevant</w:t>
            </w:r>
          </w:p>
        </w:tc>
        <w:tc>
          <w:tcPr/>
          <w:p>
            <w:pPr>
              <w:pStyle w:val="Compact"/>
              <w:jc w:val="left"/>
            </w:pPr>
            <w:r>
              <w:rPr>
                <w:iCs/>
                <w:i/>
              </w:rPr>
              <w:t xml:space="preserve">irrelevant</w:t>
            </w:r>
          </w:p>
        </w:tc>
      </w:tr>
      <w:tr>
        <w:tc>
          <w:tcPr/>
          <w:p>
            <w:pPr>
              <w:pStyle w:val="Compact"/>
              <w:jc w:val="left"/>
            </w:pPr>
            <w:r>
              <w:rPr>
                <w:bCs/>
                <w:b/>
              </w:rPr>
              <w:t xml:space="preserve">Sub-total relevant</w:t>
            </w:r>
          </w:p>
        </w:tc>
        <w:tc>
          <w:tcPr/>
          <w:p>
            <w:pPr>
              <w:pStyle w:val="Compact"/>
              <w:jc w:val="left"/>
            </w:pPr>
            <w:r>
              <w:rPr>
                <w:bCs/>
                <w:b/>
              </w:rPr>
              <w:t xml:space="preserve">€47.0m</w:t>
            </w:r>
          </w:p>
        </w:tc>
        <w:tc>
          <w:tcPr/>
          <w:p>
            <w:pPr>
              <w:pStyle w:val="Compact"/>
              <w:jc w:val="left"/>
            </w:pPr>
            <w:r>
              <w:rPr>
                <w:bCs/>
                <w:b/>
              </w:rPr>
              <w:t xml:space="preserve">€52.0m</w:t>
            </w:r>
          </w:p>
        </w:tc>
      </w:tr>
    </w:tbl>
    <w:p>
      <w:pPr>
        <w:pStyle w:val="BodyText"/>
      </w:pPr>
      <w:r>
        <w:t xml:space="preserve">On this basis,</w:t>
      </w:r>
      <w:r>
        <w:t xml:space="preserve"> </w:t>
      </w:r>
      <w:r>
        <w:rPr>
          <w:bCs/>
          <w:b/>
        </w:rPr>
        <w:t xml:space="preserve">Make saves ~€5.0m</w:t>
      </w:r>
      <w:r>
        <w:t xml:space="preserve"> </w:t>
      </w:r>
      <w:r>
        <w:t xml:space="preserve">— consistent with Campari’s actual decision to invest in capacity.</w:t>
      </w:r>
      <w:r>
        <w:t xml:space="preserve"> </w:t>
      </w:r>
      <w:r>
        <w:rPr>
          <w:bCs/>
          <w:b/>
        </w:rPr>
        <w:t xml:space="preserve">But two course-correct refinements change the picture:</w:t>
      </w:r>
    </w:p>
    <w:p>
      <w:pPr>
        <w:numPr>
          <w:ilvl w:val="0"/>
          <w:numId w:val="1002"/>
        </w:numPr>
        <w:pStyle w:val="Compact"/>
      </w:pPr>
      <w:r>
        <w:rPr>
          <w:bCs/>
          <w:b/>
        </w:rPr>
        <w:t xml:space="preserve">Opportunity cost.</w:t>
      </w:r>
      <w:r>
        <w:t xml:space="preserve"> </w:t>
      </w:r>
      <w:r>
        <w:t xml:space="preserve">If the same ~€75m capital and the same plant capacity could instead accelerate a higher-contribution-margin House (e.g., agave or cognac post-Courvoisier), the</w:t>
      </w:r>
      <w:r>
        <w:t xml:space="preserve"> </w:t>
      </w:r>
      <w:r>
        <w:rPr>
          <w:bCs/>
          <w:b/>
        </w:rPr>
        <w:t xml:space="preserve">opportunity cost</w:t>
      </w:r>
      <w:r>
        <w:t xml:space="preserve"> </w:t>
      </w:r>
      <w:r>
        <w:t xml:space="preserve">of dedicating it to aperitifs must enter the analysis —</w:t>
      </w:r>
      <w:r>
        <w:t xml:space="preserve"> </w:t>
      </w:r>
      <w:r>
        <w:t xml:space="preserve">“</w:t>
      </w:r>
      <w:r>
        <w:t xml:space="preserve">the moment costs stop being accounting and become strategy.</w:t>
      </w:r>
      <w:r>
        <w:t xml:space="preserve">”</w:t>
      </w:r>
    </w:p>
    <w:p>
      <w:pPr>
        <w:numPr>
          <w:ilvl w:val="0"/>
          <w:numId w:val="1002"/>
        </w:numPr>
        <w:pStyle w:val="Compact"/>
      </w:pPr>
      <w:r>
        <w:rPr>
          <w:bCs/>
          <w:b/>
        </w:rPr>
        <w:t xml:space="preserve">Sunk-cost discipline.</w:t>
      </w:r>
      <w:r>
        <w:t xml:space="preserve"> </w:t>
      </w:r>
      <w:r>
        <w:t xml:space="preserve">The €75m, once spent, is</w:t>
      </w:r>
      <w:r>
        <w:t xml:space="preserve"> </w:t>
      </w:r>
      <w:r>
        <w:rPr>
          <w:bCs/>
          <w:b/>
        </w:rPr>
        <w:t xml:space="preserve">sunk</w:t>
      </w:r>
      <w:r>
        <w:t xml:space="preserve">; future make-vs-buy or volume decisions must ignore it. The relevant comparison is always</w:t>
      </w:r>
      <w:r>
        <w:t xml:space="preserve"> </w:t>
      </w:r>
      <w:r>
        <w:rPr>
          <w:iCs/>
          <w:i/>
        </w:rPr>
        <w:t xml:space="preserve">future-and-differs</w:t>
      </w:r>
      <w:r>
        <w:t xml:space="preserve">.</w:t>
      </w:r>
    </w:p>
    <w:p>
      <w:pPr>
        <w:pStyle w:val="FirstParagraph"/>
      </w:pPr>
      <w:r>
        <w:rPr>
          <w:bCs/>
          <w:b/>
        </w:rPr>
        <w:t xml:space="preserve">ESG twist (Scope 3).</w:t>
      </w:r>
      <w:r>
        <w:t xml:space="preserve"> </w:t>
      </w:r>
      <w:r>
        <w:t xml:space="preserve">Buying (co-packing) converts production into</w:t>
      </w:r>
      <w:r>
        <w:t xml:space="preserve"> </w:t>
      </w:r>
      <w:r>
        <w:rPr>
          <w:bCs/>
          <w:b/>
        </w:rPr>
        <w:t xml:space="preserve">Scope 3</w:t>
      </w:r>
      <w:r>
        <w:t xml:space="preserve"> </w:t>
      </w:r>
      <w:r>
        <w:t xml:space="preserve">emissions Campari influences but does not control; making keeps it in</w:t>
      </w:r>
      <w:r>
        <w:t xml:space="preserve"> </w:t>
      </w:r>
      <w:r>
        <w:rPr>
          <w:bCs/>
          <w:b/>
        </w:rPr>
        <w:t xml:space="preserve">Scope 1+2</w:t>
      </w:r>
      <w:r>
        <w:t xml:space="preserve">, which Campari has decarbonised to 98.4% renewable electricity. At an illustrative</w:t>
      </w:r>
      <w:r>
        <w:t xml:space="preserve"> </w:t>
      </w:r>
      <w:r>
        <w:rPr>
          <w:bCs/>
          <w:b/>
        </w:rPr>
        <w:t xml:space="preserve">€80/t</w:t>
      </w:r>
      <w:r>
        <w:t xml:space="preserve"> </w:t>
      </w:r>
      <w:r>
        <w:t xml:space="preserve">internal carbon price, the</w:t>
      </w:r>
      <w:r>
        <w:t xml:space="preserve"> </w:t>
      </w:r>
      <w:r>
        <w:rPr>
          <w:iCs/>
          <w:i/>
        </w:rPr>
        <w:t xml:space="preserve">make</w:t>
      </w:r>
      <w:r>
        <w:t xml:space="preserve"> </w:t>
      </w:r>
      <w:r>
        <w:t xml:space="preserve">option is</w:t>
      </w:r>
      <w:r>
        <w:t xml:space="preserve"> </w:t>
      </w:r>
      <w:r>
        <w:rPr>
          <w:bCs/>
          <w:b/>
        </w:rPr>
        <w:t xml:space="preserve">even more attractive once carbon is priced</w:t>
      </w:r>
      <w:r>
        <w:t xml:space="preserve">, because internal production is cleaner per litre than an average external co-packer. This is the integrated-thinking insight:</w:t>
      </w:r>
      <w:r>
        <w:t xml:space="preserve"> </w:t>
      </w:r>
      <w:r>
        <w:rPr>
          <w:bCs/>
          <w:b/>
        </w:rPr>
        <w:t xml:space="preserve">the relevant-cost answer and the carbon answer point the same way — but only the integrated analysis sees it.</w:t>
      </w:r>
    </w:p>
    <w:bookmarkEnd w:id="30"/>
    <w:bookmarkStart w:id="31" w:name="integrated-reporting-gaps"/>
    <w:p>
      <w:pPr>
        <w:pStyle w:val="Heading2"/>
      </w:pPr>
      <w:r>
        <w:t xml:space="preserve">2.3 Integrated-reporting gaps</w:t>
      </w:r>
    </w:p>
    <w:p>
      <w:pPr>
        <w:pStyle w:val="FirstParagraph"/>
      </w:pPr>
      <w:r>
        <w:t xml:space="preserve">What does the course teach us to identify and measure that Campari is</w:t>
      </w:r>
      <w:r>
        <w:t xml:space="preserve"> </w:t>
      </w:r>
      <w:r>
        <w:rPr>
          <w:bCs/>
          <w:b/>
        </w:rPr>
        <w:t xml:space="preserve">not</w:t>
      </w:r>
      <w:r>
        <w:t xml:space="preserve"> </w:t>
      </w:r>
      <w:r>
        <w:t xml:space="preserve">yet reporting as management information?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 (what the course measures)</w:t>
            </w:r>
          </w:p>
        </w:tc>
        <w:tc>
          <w:tcPr/>
          <w:p>
            <w:pPr>
              <w:pStyle w:val="Compact"/>
              <w:jc w:val="left"/>
            </w:pPr>
            <w:r>
              <w:t xml:space="preserve">Current Campari state</w:t>
            </w:r>
          </w:p>
        </w:tc>
        <w:tc>
          <w:tcPr/>
          <w:p>
            <w:pPr>
              <w:pStyle w:val="Compact"/>
              <w:jc w:val="left"/>
            </w:pPr>
            <w:r>
              <w:t xml:space="preserve">Impact of incorporating it</w:t>
            </w:r>
          </w:p>
        </w:tc>
      </w:tr>
      <w:tr>
        <w:tc>
          <w:tcPr/>
          <w:p>
            <w:pPr>
              <w:pStyle w:val="Compact"/>
              <w:jc w:val="left"/>
            </w:pPr>
            <w:r>
              <w:rPr>
                <w:bCs/>
                <w:b/>
              </w:rPr>
              <w:t xml:space="preserve">Per-product / per-House carbon cost</w:t>
            </w:r>
            <w:r>
              <w:t xml:space="preserve"> </w:t>
            </w:r>
            <w:r>
              <w:t xml:space="preserve">(ABC Ambiental)</w:t>
            </w:r>
          </w:p>
        </w:tc>
        <w:tc>
          <w:tcPr/>
          <w:p>
            <w:pPr>
              <w:pStyle w:val="Compact"/>
              <w:jc w:val="left"/>
            </w:pPr>
            <w:r>
              <w:t xml:space="preserve">Footprint reported at group level, not allocated to products via drivers</w:t>
            </w:r>
          </w:p>
        </w:tc>
        <w:tc>
          <w:tcPr/>
          <w:p>
            <w:pPr>
              <w:pStyle w:val="Compact"/>
              <w:jc w:val="left"/>
            </w:pPr>
            <w:r>
              <w:t xml:space="preserve">Would reveal the</w:t>
            </w:r>
            <w:r>
              <w:t xml:space="preserve"> </w:t>
            </w:r>
            <w:r>
              <w:rPr>
                <w:iCs/>
                <w:i/>
              </w:rPr>
              <w:t xml:space="preserve">carbon-adjusted</w:t>
            </w:r>
            <w:r>
              <w:t xml:space="preserve"> </w:t>
            </w:r>
            <w:r>
              <w:t xml:space="preserve">margin per brand; could</w:t>
            </w:r>
            <w:r>
              <w:t xml:space="preserve"> </w:t>
            </w:r>
            <w:r>
              <w:rPr>
                <w:bCs/>
                <w:b/>
              </w:rPr>
              <w:t xml:space="preserve">reverse</w:t>
            </w:r>
            <w:r>
              <w:t xml:space="preserve"> </w:t>
            </w:r>
            <w:r>
              <w:t xml:space="preserve">the profitability ranking of the craft tail</w:t>
            </w:r>
          </w:p>
        </w:tc>
      </w:tr>
      <w:tr>
        <w:tc>
          <w:tcPr/>
          <w:p>
            <w:pPr>
              <w:pStyle w:val="Compact"/>
              <w:jc w:val="left"/>
            </w:pPr>
            <w:r>
              <w:rPr>
                <w:bCs/>
                <w:b/>
              </w:rPr>
              <w:t xml:space="preserve">Internal carbon price</w:t>
            </w:r>
            <w:r>
              <w:t xml:space="preserve"> </w:t>
            </w:r>
            <w:r>
              <w:t xml:space="preserve">in capital and make/buy decisions</w:t>
            </w:r>
          </w:p>
        </w:tc>
        <w:tc>
          <w:tcPr/>
          <w:p>
            <w:pPr>
              <w:pStyle w:val="Compact"/>
              <w:jc w:val="left"/>
            </w:pPr>
            <w:r>
              <w:t xml:space="preserve">Not evident in disclosed decision frameworks</w:t>
            </w:r>
          </w:p>
        </w:tc>
        <w:tc>
          <w:tcPr/>
          <w:p>
            <w:pPr>
              <w:pStyle w:val="Compact"/>
              <w:jc w:val="left"/>
            </w:pPr>
            <w:r>
              <w:t xml:space="preserve">Would systematically favour Scope-1+2 internal, renewable production</w:t>
            </w:r>
          </w:p>
        </w:tc>
      </w:tr>
      <w:tr>
        <w:tc>
          <w:tcPr/>
          <w:p>
            <w:pPr>
              <w:pStyle w:val="Compact"/>
              <w:jc w:val="left"/>
            </w:pPr>
            <w:r>
              <w:rPr>
                <w:bCs/>
                <w:b/>
              </w:rPr>
              <w:t xml:space="preserve">Scope 3 as a Diagnostic CPV</w:t>
            </w:r>
          </w:p>
        </w:tc>
        <w:tc>
          <w:tcPr/>
          <w:p>
            <w:pPr>
              <w:pStyle w:val="Compact"/>
              <w:jc w:val="left"/>
            </w:pPr>
            <w:r>
              <w:t xml:space="preserve">In sustainability report, annual cadence</w:t>
            </w:r>
          </w:p>
        </w:tc>
        <w:tc>
          <w:tcPr/>
          <w:p>
            <w:pPr>
              <w:pStyle w:val="Compact"/>
              <w:jc w:val="left"/>
            </w:pPr>
            <w:r>
              <w:t xml:space="preserve">Would put the firm’s</w:t>
            </w:r>
            <w:r>
              <w:t xml:space="preserve"> </w:t>
            </w:r>
            <w:r>
              <w:rPr>
                <w:bCs/>
                <w:b/>
              </w:rPr>
              <w:t xml:space="preserve">largest</w:t>
            </w:r>
            <w:r>
              <w:t xml:space="preserve"> </w:t>
            </w:r>
            <w:r>
              <w:t xml:space="preserve">environmental exposure into the monthly control cycle</w:t>
            </w:r>
          </w:p>
        </w:tc>
      </w:tr>
      <w:tr>
        <w:tc>
          <w:tcPr/>
          <w:p>
            <w:pPr>
              <w:pStyle w:val="Compact"/>
              <w:jc w:val="left"/>
            </w:pPr>
            <w:r>
              <w:rPr>
                <w:bCs/>
                <w:b/>
              </w:rPr>
              <w:t xml:space="preserve">Glass-intensity cost driver</w:t>
            </w:r>
          </w:p>
        </w:tc>
        <w:tc>
          <w:tcPr/>
          <w:p>
            <w:pPr>
              <w:pStyle w:val="Compact"/>
              <w:jc w:val="left"/>
            </w:pPr>
            <w:r>
              <w:t xml:space="preserve">Glass is ~62% of Scope 3 but not a managed cost-KPI</w:t>
            </w:r>
          </w:p>
        </w:tc>
        <w:tc>
          <w:tcPr/>
          <w:p>
            <w:pPr>
              <w:pStyle w:val="Compact"/>
              <w:jc w:val="left"/>
            </w:pPr>
            <w:r>
              <w:t xml:space="preserve">Lightweighting / recycled-content decisions would gain a quantified business case</w:t>
            </w:r>
          </w:p>
        </w:tc>
      </w:tr>
      <w:tr>
        <w:tc>
          <w:tcPr/>
          <w:p>
            <w:pPr>
              <w:pStyle w:val="Compact"/>
              <w:jc w:val="left"/>
            </w:pPr>
            <w:r>
              <w:rPr>
                <w:bCs/>
                <w:b/>
              </w:rPr>
              <w:t xml:space="preserve">Double-materiality matrix → cost provisions</w:t>
            </w:r>
          </w:p>
        </w:tc>
        <w:tc>
          <w:tcPr/>
          <w:p>
            <w:pPr>
              <w:pStyle w:val="Compact"/>
              <w:jc w:val="left"/>
            </w:pPr>
            <w:r>
              <w:t xml:space="preserve">Required under CSRD/ESRS; detail not yet public (Appendix B)</w:t>
            </w:r>
          </w:p>
        </w:tc>
        <w:tc>
          <w:tcPr/>
          <w:p>
            <w:pPr>
              <w:pStyle w:val="Compact"/>
              <w:jc w:val="left"/>
            </w:pPr>
            <w:r>
              <w:t xml:space="preserve">Would translate impact materiality into budgeted Boundary limits</w:t>
            </w:r>
          </w:p>
        </w:tc>
      </w:tr>
    </w:tbl>
    <w:p>
      <w:pPr>
        <w:pStyle w:val="BodyText"/>
      </w:pPr>
      <w:r>
        <w:t xml:space="preserve">The connecting principle (Session 1, Guideline 2 —</w:t>
      </w:r>
      <w:r>
        <w:t xml:space="preserve"> </w:t>
      </w:r>
      <w:r>
        <w:rPr>
          <w:bCs/>
          <w:b/>
        </w:rPr>
        <w:t xml:space="preserve">Connectivity of information</w:t>
      </w:r>
      <w:r>
        <w:t xml:space="preserve">): at Campari,</w:t>
      </w:r>
      <w:r>
        <w:t xml:space="preserve"> </w:t>
      </w:r>
      <w:r>
        <w:rPr>
          <w:bCs/>
          <w:b/>
        </w:rPr>
        <w:t xml:space="preserve">financial costs and ESG costs are not silos</w:t>
      </w:r>
      <w:r>
        <w:t xml:space="preserve"> </w:t>
      </w:r>
      <w:r>
        <w:t xml:space="preserve">— the glass cost line</w:t>
      </w:r>
      <w:r>
        <w:t xml:space="preserve"> </w:t>
      </w:r>
      <w:r>
        <w:rPr>
          <w:iCs/>
          <w:i/>
        </w:rPr>
        <w:t xml:space="preserve">is</w:t>
      </w:r>
      <w:r>
        <w:t xml:space="preserve"> </w:t>
      </w:r>
      <w:r>
        <w:t xml:space="preserve">the Scope 3 line; the energy cost</w:t>
      </w:r>
      <w:r>
        <w:t xml:space="preserve"> </w:t>
      </w:r>
      <w:r>
        <w:rPr>
          <w:iCs/>
          <w:i/>
        </w:rPr>
        <w:t xml:space="preserve">is</w:t>
      </w:r>
      <w:r>
        <w:t xml:space="preserve"> </w:t>
      </w:r>
      <w:r>
        <w:t xml:space="preserve">the Scope 2 line. Reporting them connectedly is exactly what the</w:t>
      </w:r>
      <w:r>
        <w:t xml:space="preserve"> </w:t>
      </w:r>
      <w:r>
        <w:rPr>
          <w:rStyle w:val="VerbatimChar"/>
        </w:rPr>
        <w:t xml:space="preserve">&lt;IR&gt;</w:t>
      </w:r>
      <w:r>
        <w:t xml:space="preserve"> </w:t>
      </w:r>
      <w:r>
        <w:t xml:space="preserve">Framework, GRI 302/303/305/306 and IFRS S1/S2 are designed to enable.</w:t>
      </w:r>
    </w:p>
    <w:bookmarkEnd w:id="31"/>
    <w:bookmarkStart w:id="32" w:name="materiality-of-esg-costs"/>
    <w:p>
      <w:pPr>
        <w:pStyle w:val="Heading2"/>
      </w:pPr>
      <w:r>
        <w:t xml:space="preserve">2.4 Materiality of ESG costs</w:t>
      </w:r>
    </w:p>
    <w:p>
      <w:pPr>
        <w:pStyle w:val="FirstParagraph"/>
      </w:pPr>
      <w:r>
        <w:t xml:space="preserve">Applying</w:t>
      </w:r>
      <w:r>
        <w:t xml:space="preserve"> </w:t>
      </w:r>
      <w:r>
        <w:rPr>
          <w:bCs/>
          <w:b/>
        </w:rPr>
        <w:t xml:space="preserve">double materiality</w:t>
      </w:r>
      <w:r>
        <w:t xml:space="preserve"> </w:t>
      </w:r>
      <w:r>
        <w:t xml:space="preserve">(Session 2) to the ESG costs identified in Section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ESG cost</w:t>
            </w:r>
          </w:p>
        </w:tc>
        <w:tc>
          <w:tcPr/>
          <w:p>
            <w:pPr>
              <w:pStyle w:val="Compact"/>
              <w:jc w:val="left"/>
            </w:pPr>
            <w:r>
              <w:rPr>
                <w:bCs/>
                <w:b/>
              </w:rPr>
              <w:t xml:space="preserve">Financial materiality</w:t>
            </w:r>
            <w:r>
              <w:t xml:space="preserve"> </w:t>
            </w:r>
            <w:r>
              <w:t xml:space="preserve">(outside-in: impact on Campari)</w:t>
            </w:r>
          </w:p>
        </w:tc>
        <w:tc>
          <w:tcPr/>
          <w:p>
            <w:pPr>
              <w:pStyle w:val="Compact"/>
              <w:jc w:val="left"/>
            </w:pPr>
            <w:r>
              <w:rPr>
                <w:bCs/>
                <w:b/>
              </w:rPr>
              <w:t xml:space="preserve">Impact materiality</w:t>
            </w:r>
            <w:r>
              <w:t xml:space="preserve"> </w:t>
            </w:r>
            <w:r>
              <w:t xml:space="preserve">(inside-out: impact on world)</w:t>
            </w:r>
          </w:p>
        </w:tc>
        <w:tc>
          <w:tcPr/>
          <w:p>
            <w:pPr>
              <w:pStyle w:val="Compact"/>
              <w:jc w:val="left"/>
            </w:pPr>
            <w:r>
              <w:t xml:space="preserve">Verdict</w:t>
            </w:r>
          </w:p>
        </w:tc>
      </w:tr>
      <w:tr>
        <w:tc>
          <w:tcPr/>
          <w:p>
            <w:pPr>
              <w:pStyle w:val="Compact"/>
              <w:jc w:val="left"/>
            </w:pPr>
            <w:r>
              <w:rPr>
                <w:bCs/>
                <w:b/>
              </w:rPr>
              <w:t xml:space="preserve">Scope 3 / glass &amp; agriculture carbon</w:t>
            </w:r>
          </w:p>
        </w:tc>
        <w:tc>
          <w:tcPr/>
          <w:p>
            <w:pPr>
              <w:pStyle w:val="Compact"/>
              <w:jc w:val="left"/>
            </w:pPr>
            <w:r>
              <w:rPr>
                <w:bCs/>
                <w:b/>
              </w:rPr>
              <w:t xml:space="preserve">HIGH</w:t>
            </w:r>
            <w:r>
              <w:t xml:space="preserve"> </w:t>
            </w:r>
            <w:r>
              <w:t xml:space="preserve">— carbon pricing (EU ETS/CBAM trajectory), input-cost volatility</w:t>
            </w:r>
          </w:p>
        </w:tc>
        <w:tc>
          <w:tcPr/>
          <w:p>
            <w:pPr>
              <w:pStyle w:val="Compact"/>
              <w:jc w:val="left"/>
            </w:pPr>
            <w:r>
              <w:rPr>
                <w:bCs/>
                <w:b/>
              </w:rPr>
              <w:t xml:space="preserve">HIGH</w:t>
            </w:r>
            <w:r>
              <w:t xml:space="preserve"> </w:t>
            </w:r>
            <w:r>
              <w:t xml:space="preserve">— ~93% of footprint</w:t>
            </w:r>
          </w:p>
        </w:tc>
        <w:tc>
          <w:tcPr/>
          <w:p>
            <w:pPr>
              <w:pStyle w:val="Compact"/>
              <w:jc w:val="left"/>
            </w:pPr>
            <w:r>
              <w:rPr>
                <w:bCs/>
                <w:b/>
              </w:rPr>
              <w:t xml:space="preserve">Most material; most urgent</w:t>
            </w:r>
          </w:p>
        </w:tc>
      </w:tr>
      <w:tr>
        <w:tc>
          <w:tcPr/>
          <w:p>
            <w:pPr>
              <w:pStyle w:val="Compact"/>
              <w:jc w:val="left"/>
            </w:pPr>
            <w:r>
              <w:rPr>
                <w:bCs/>
                <w:b/>
              </w:rPr>
              <w:t xml:space="preserve">Agave long-cycle supply</w:t>
            </w:r>
            <w:r>
              <w:t xml:space="preserve"> </w:t>
            </w:r>
            <w:r>
              <w:t xml:space="preserve">(Espolòn)</w:t>
            </w:r>
          </w:p>
        </w:tc>
        <w:tc>
          <w:tcPr/>
          <w:p>
            <w:pPr>
              <w:pStyle w:val="Compact"/>
              <w:jc w:val="left"/>
            </w:pPr>
            <w:r>
              <w:rPr>
                <w:bCs/>
                <w:b/>
              </w:rPr>
              <w:t xml:space="preserve">HIGH</w:t>
            </w:r>
            <w:r>
              <w:t xml:space="preserve"> </w:t>
            </w:r>
            <w:r>
              <w:t xml:space="preserve">— 7–8 yr cycle, price/supply risk</w:t>
            </w:r>
          </w:p>
        </w:tc>
        <w:tc>
          <w:tcPr/>
          <w:p>
            <w:pPr>
              <w:pStyle w:val="Compact"/>
              <w:jc w:val="left"/>
            </w:pPr>
            <w:r>
              <w:t xml:space="preserve">MEDIUM — land/water in Jalisco</w:t>
            </w:r>
          </w:p>
        </w:tc>
        <w:tc>
          <w:tcPr/>
          <w:p>
            <w:pPr>
              <w:pStyle w:val="Compact"/>
              <w:jc w:val="left"/>
            </w:pPr>
            <w:r>
              <w:rPr>
                <w:bCs/>
                <w:b/>
              </w:rPr>
              <w:t xml:space="preserve">Highly material (financial)</w:t>
            </w:r>
          </w:p>
        </w:tc>
      </w:tr>
      <w:tr>
        <w:tc>
          <w:tcPr/>
          <w:p>
            <w:pPr>
              <w:pStyle w:val="Compact"/>
              <w:jc w:val="left"/>
            </w:pPr>
            <w:r>
              <w:rPr>
                <w:bCs/>
                <w:b/>
              </w:rPr>
              <w:t xml:space="preserve">Water</w:t>
            </w:r>
            <w:r>
              <w:t xml:space="preserve"> </w:t>
            </w:r>
            <w:r>
              <w:t xml:space="preserve">in stressed basins</w:t>
            </w:r>
          </w:p>
        </w:tc>
        <w:tc>
          <w:tcPr/>
          <w:p>
            <w:pPr>
              <w:pStyle w:val="Compact"/>
              <w:jc w:val="left"/>
            </w:pPr>
            <w:r>
              <w:t xml:space="preserve">MEDIUM</w:t>
            </w:r>
          </w:p>
        </w:tc>
        <w:tc>
          <w:tcPr/>
          <w:p>
            <w:pPr>
              <w:pStyle w:val="Compact"/>
              <w:jc w:val="left"/>
            </w:pPr>
            <w:r>
              <w:t xml:space="preserve">HIGH (local)</w:t>
            </w:r>
          </w:p>
        </w:tc>
        <w:tc>
          <w:tcPr/>
          <w:p>
            <w:pPr>
              <w:pStyle w:val="Compact"/>
              <w:jc w:val="left"/>
            </w:pPr>
            <w:r>
              <w:t xml:space="preserve">Material, site-specific</w:t>
            </w:r>
          </w:p>
        </w:tc>
      </w:tr>
      <w:tr>
        <w:tc>
          <w:tcPr/>
          <w:p>
            <w:pPr>
              <w:pStyle w:val="Compact"/>
              <w:jc w:val="left"/>
            </w:pPr>
            <w:r>
              <w:rPr>
                <w:bCs/>
                <w:b/>
              </w:rPr>
              <w:t xml:space="preserve">Responsible drinking / social</w:t>
            </w:r>
          </w:p>
        </w:tc>
        <w:tc>
          <w:tcPr/>
          <w:p>
            <w:pPr>
              <w:pStyle w:val="Compact"/>
              <w:jc w:val="left"/>
            </w:pPr>
            <w:r>
              <w:t xml:space="preserve">MEDIUM-HIGH — regulation, reputation, licence to operate</w:t>
            </w:r>
          </w:p>
        </w:tc>
        <w:tc>
          <w:tcPr/>
          <w:p>
            <w:pPr>
              <w:pStyle w:val="Compact"/>
              <w:jc w:val="left"/>
            </w:pPr>
            <w:r>
              <w:t xml:space="preserve">HIGH</w:t>
            </w:r>
          </w:p>
        </w:tc>
        <w:tc>
          <w:tcPr/>
          <w:p>
            <w:pPr>
              <w:pStyle w:val="Compact"/>
              <w:jc w:val="left"/>
            </w:pPr>
            <w:r>
              <w:t xml:space="preserve">Material (Social capital)</w:t>
            </w:r>
          </w:p>
        </w:tc>
      </w:tr>
      <w:tr>
        <w:tc>
          <w:tcPr/>
          <w:p>
            <w:pPr>
              <w:pStyle w:val="Compact"/>
              <w:jc w:val="left"/>
            </w:pPr>
            <w:r>
              <w:rPr>
                <w:bCs/>
                <w:b/>
              </w:rPr>
              <w:t xml:space="preserve">Energy / Scope 1+2</w:t>
            </w:r>
          </w:p>
        </w:tc>
        <w:tc>
          <w:tcPr/>
          <w:p>
            <w:pPr>
              <w:pStyle w:val="Compact"/>
              <w:jc w:val="left"/>
            </w:pPr>
            <w:r>
              <w:t xml:space="preserve">LOW (already 98.4% renewable)</w:t>
            </w:r>
          </w:p>
        </w:tc>
        <w:tc>
          <w:tcPr/>
          <w:p>
            <w:pPr>
              <w:pStyle w:val="Compact"/>
              <w:jc w:val="left"/>
            </w:pPr>
            <w:r>
              <w:t xml:space="preserve">MEDIUM</w:t>
            </w:r>
          </w:p>
        </w:tc>
        <w:tc>
          <w:tcPr/>
          <w:p>
            <w:pPr>
              <w:pStyle w:val="Compact"/>
              <w:jc w:val="left"/>
            </w:pPr>
            <w:r>
              <w:rPr>
                <w:bCs/>
                <w:b/>
              </w:rPr>
              <w:t xml:space="preserve">Well-managed — low residual</w:t>
            </w:r>
          </w:p>
        </w:tc>
      </w:tr>
    </w:tbl>
    <w:p>
      <w:pPr>
        <w:pStyle w:val="BlockText"/>
      </w:pPr>
      <w:r>
        <w:rPr>
          <w:bCs/>
          <w:b/>
        </w:rPr>
        <w:t xml:space="preserve">The most material and most urgent ESG cost to manage is unambiguously the Scope 3 footprint embedded in glass packaging and agricultural raw materials.</w:t>
      </w:r>
      <w:r>
        <w:t xml:space="preserve"> </w:t>
      </w:r>
      <w:r>
        <w:t xml:space="preserve">It is simultaneously the largest impact (inside-out)</w:t>
      </w:r>
      <w:r>
        <w:t xml:space="preserve"> </w:t>
      </w:r>
      <w:r>
        <w:rPr>
          <w:iCs/>
          <w:i/>
        </w:rPr>
        <w:t xml:space="preserve">and</w:t>
      </w:r>
      <w:r>
        <w:t xml:space="preserve"> </w:t>
      </w:r>
      <w:r>
        <w:t xml:space="preserve">the largest financial exposure (outside-in: carbon pricing + input volatility). Under</w:t>
      </w:r>
      <w:r>
        <w:t xml:space="preserve"> </w:t>
      </w:r>
      <w:r>
        <w:rPr>
          <w:bCs/>
          <w:b/>
        </w:rPr>
        <w:t xml:space="preserve">CSRD/ESRS</w:t>
      </w:r>
      <w:r>
        <w:t xml:space="preserve"> </w:t>
      </w:r>
      <w:r>
        <w:t xml:space="preserve">Campari must apply full double materiality — making this the natural backbone of the improvement proposals. Note the contrast with the course’s Disney examples, where Scope 1+2 dominates the manageable footprint: at a</w:t>
      </w:r>
      <w:r>
        <w:t xml:space="preserve"> </w:t>
      </w:r>
      <w:r>
        <w:rPr>
          <w:iCs/>
          <w:i/>
        </w:rPr>
        <w:t xml:space="preserve">brand-building, asset-light-ish beverage</w:t>
      </w:r>
      <w:r>
        <w:t xml:space="preserve"> </w:t>
      </w:r>
      <w:r>
        <w:t xml:space="preserve">company, the action is overwhelmingly in</w:t>
      </w:r>
      <w:r>
        <w:t xml:space="preserve"> </w:t>
      </w:r>
      <w:r>
        <w:rPr>
          <w:bCs/>
          <w:b/>
        </w:rPr>
        <w:t xml:space="preserve">Scope 3</w:t>
      </w:r>
      <w:r>
        <w:t xml:space="preserve">.</w:t>
      </w:r>
    </w:p>
    <w:p>
      <w:r>
        <w:pict>
          <v:rect style="width:0;height:1.5pt" o:hralign="center" o:hrstd="t" o:hr="t"/>
        </w:pict>
      </w:r>
    </w:p>
    <w:bookmarkEnd w:id="32"/>
    <w:bookmarkEnd w:id="33"/>
    <w:bookmarkStart w:id="43" w:name="X0d15311d88173929cf6ba2c67abe533be06e60f"/>
    <w:p>
      <w:pPr>
        <w:pStyle w:val="Heading1"/>
      </w:pPr>
      <w:r>
        <w:t xml:space="preserve">SECTION 3 · Improvement Proposals Based on the Levers of Control</w:t>
      </w:r>
    </w:p>
    <w:p>
      <w:pPr>
        <w:pStyle w:val="FirstParagraph"/>
      </w:pPr>
      <w:r>
        <w:rPr>
          <w:iCs/>
          <w:i/>
        </w:rPr>
        <w:t xml:space="preserve">Purpose: to translate the analysis into concrete, viable, framework-anchored recommendations. The diagnosis (§1.5) identified the</w:t>
      </w:r>
      <w:r>
        <w:rPr>
          <w:iCs/>
          <w:i/>
        </w:rPr>
        <w:t xml:space="preserve"> </w:t>
      </w:r>
      <w:r>
        <w:rPr>
          <w:bCs/>
          <w:b/>
          <w:iCs/>
          <w:i/>
        </w:rPr>
        <w:t xml:space="preserve">Diagnostic-ESG lever as weakest</w:t>
      </w:r>
      <w:r>
        <w:rPr>
          <w:iCs/>
          <w:i/>
        </w:rPr>
        <w:t xml:space="preserve">, with a secondary</w:t>
      </w:r>
      <w:r>
        <w:rPr>
          <w:iCs/>
          <w:i/>
        </w:rPr>
        <w:t xml:space="preserve"> </w:t>
      </w:r>
      <w:r>
        <w:rPr>
          <w:bCs/>
          <w:b/>
          <w:iCs/>
          <w:i/>
        </w:rPr>
        <w:t xml:space="preserve">Boundary</w:t>
      </w:r>
      <w:r>
        <w:rPr>
          <w:iCs/>
          <w:i/>
        </w:rPr>
        <w:t xml:space="preserve"> </w:t>
      </w:r>
      <w:r>
        <w:rPr>
          <w:iCs/>
          <w:i/>
        </w:rPr>
        <w:t xml:space="preserve">gap — so the proposals are weighted there, while reinforcing all four levers as Simons requires (the four are obligatory and complementary).</w:t>
      </w:r>
    </w:p>
    <w:bookmarkStart w:id="34" w:name="Xd0719a8e2178a7f25012ab5a27221f9b0b0b078"/>
    <w:p>
      <w:pPr>
        <w:pStyle w:val="Heading2"/>
      </w:pPr>
      <w:r>
        <w:t xml:space="preserve">3.1 Proposals for the Belief System</w:t>
      </w:r>
      <w:r>
        <w:t xml:space="preserve"> </w:t>
      </w:r>
      <w:r>
        <w:rPr>
          <w:iCs/>
          <w:i/>
        </w:rPr>
        <w:t xml:space="preserve">(positive lever — already strong; reinforce and sharpen)</w:t>
      </w:r>
    </w:p>
    <w:p>
      <w:pPr>
        <w:pStyle w:val="FirstParagraph"/>
      </w:pPr>
      <w:r>
        <w:t xml:space="preserve">Campari’s belief system is its strongest lever; the goal is to</w:t>
      </w:r>
      <w:r>
        <w:t xml:space="preserve"> </w:t>
      </w:r>
      <w:r>
        <w:rPr>
          <w:bCs/>
          <w:b/>
        </w:rPr>
        <w:t xml:space="preserve">connect it explicitly to ESG costs</w:t>
      </w:r>
      <w:r>
        <w:t xml:space="preserve"> </w:t>
      </w:r>
      <w:r>
        <w:t xml:space="preserve">so that</w:t>
      </w:r>
      <w:r>
        <w:t xml:space="preserve"> </w:t>
      </w:r>
      <w:r>
        <w:t xml:space="preserve">“</w:t>
      </w:r>
      <w:r>
        <w:t xml:space="preserve">Integrity</w:t>
      </w:r>
      <w:r>
        <w:t xml:space="preserve">”</w:t>
      </w:r>
      <w:r>
        <w:t xml:space="preserve"> </w:t>
      </w:r>
      <w:r>
        <w:t xml:space="preserve">and</w:t>
      </w:r>
      <w:r>
        <w:t xml:space="preserve"> </w:t>
      </w:r>
      <w:r>
        <w:t xml:space="preserve">“</w:t>
      </w:r>
      <w:r>
        <w:t xml:space="preserve">Together</w:t>
      </w:r>
      <w:r>
        <w:t xml:space="preserve">”</w:t>
      </w:r>
      <w:r>
        <w:t xml:space="preserve"> </w:t>
      </w:r>
      <w:r>
        <w:t xml:space="preserve">visibly include the value chain.</w:t>
      </w:r>
    </w:p>
    <w:p>
      <w:pPr>
        <w:numPr>
          <w:ilvl w:val="0"/>
          <w:numId w:val="1003"/>
        </w:numPr>
        <w:pStyle w:val="Compact"/>
      </w:pPr>
      <w:r>
        <w:rPr>
          <w:bCs/>
          <w:b/>
        </w:rPr>
        <w:t xml:space="preserve">Add a fifth operating principle or an explicit clause linking the existing values to the value chain</w:t>
      </w:r>
      <w:r>
        <w:t xml:space="preserve"> </w:t>
      </w:r>
      <w:r>
        <w:t xml:space="preserve">— e.g., framing decarbonisation of glass and agriculture as an expression of</w:t>
      </w:r>
      <w:r>
        <w:t xml:space="preserve"> </w:t>
      </w:r>
      <w:r>
        <w:rPr>
          <w:iCs/>
          <w:i/>
        </w:rPr>
        <w:t xml:space="preserve">Integrity</w:t>
      </w:r>
      <w:r>
        <w:t xml:space="preserve"> </w:t>
      </w:r>
      <w:r>
        <w:t xml:space="preserve">(toward future generations) and</w:t>
      </w:r>
      <w:r>
        <w:t xml:space="preserve"> </w:t>
      </w:r>
      <w:r>
        <w:rPr>
          <w:iCs/>
          <w:i/>
        </w:rPr>
        <w:t xml:space="preserve">Together</w:t>
      </w:r>
      <w:r>
        <w:t xml:space="preserve"> </w:t>
      </w:r>
      <w:r>
        <w:t xml:space="preserve">(with suppliers and farmers), not as compliance. This keeps the belief system</w:t>
      </w:r>
      <w:r>
        <w:t xml:space="preserve"> </w:t>
      </w:r>
      <w:r>
        <w:rPr>
          <w:iCs/>
          <w:i/>
        </w:rPr>
        <w:t xml:space="preserve">lived</w:t>
      </w:r>
      <w:r>
        <w:t xml:space="preserve">, not decorative.</w:t>
      </w:r>
    </w:p>
    <w:p>
      <w:pPr>
        <w:numPr>
          <w:ilvl w:val="0"/>
          <w:numId w:val="1003"/>
        </w:numPr>
        <w:pStyle w:val="Compact"/>
      </w:pPr>
      <w:r>
        <w:rPr>
          <w:bCs/>
          <w:b/>
        </w:rPr>
        <w:t xml:space="preserve">A public, time-bound purpose statement on Scope 3</w:t>
      </w:r>
      <w:r>
        <w:t xml:space="preserve"> </w:t>
      </w:r>
      <w:r>
        <w:t xml:space="preserve">(</w:t>
      </w:r>
      <w:r>
        <w:t xml:space="preserve">“</w:t>
      </w:r>
      <w:r>
        <w:t xml:space="preserve">we will build iconic brands while halving the carbon in every bottle we put on a bar</w:t>
      </w:r>
      <w:r>
        <w:t xml:space="preserve">”</w:t>
      </w:r>
      <w:r>
        <w:t xml:space="preserve">), turning a vague aspiration into a belief that guides resource allocation.</w:t>
      </w:r>
    </w:p>
    <w:p>
      <w:pPr>
        <w:numPr>
          <w:ilvl w:val="0"/>
          <w:numId w:val="1003"/>
        </w:numPr>
        <w:pStyle w:val="Compact"/>
      </w:pPr>
      <w:r>
        <w:rPr>
          <w:bCs/>
          <w:b/>
        </w:rPr>
        <w:t xml:space="preserve">Communicate the agave co-investment and farmer partnerships as proof-of-belief</w:t>
      </w:r>
      <w:r>
        <w:t xml:space="preserve"> </w:t>
      </w:r>
      <w:r>
        <w:t xml:space="preserve">— the resource-allocation decisions that, in Simons’ test, reveal</w:t>
      </w:r>
      <w:r>
        <w:t xml:space="preserve"> </w:t>
      </w:r>
      <w:r>
        <w:rPr>
          <w:iCs/>
          <w:i/>
        </w:rPr>
        <w:t xml:space="preserve">real</w:t>
      </w:r>
      <w:r>
        <w:t xml:space="preserve"> </w:t>
      </w:r>
      <w:r>
        <w:t xml:space="preserve">values rather than declared ones.</w:t>
      </w:r>
    </w:p>
    <w:p>
      <w:pPr>
        <w:pStyle w:val="FirstParagraph"/>
      </w:pPr>
      <w:r>
        <w:rPr>
          <w:rStyle w:val="VerbatimChar"/>
          <w:iCs/>
          <w:i/>
        </w:rPr>
        <w:t xml:space="preserve">&lt;IR&gt;</w:t>
      </w:r>
      <w:r>
        <w:rPr>
          <w:iCs/>
          <w:i/>
        </w:rPr>
        <w:t xml:space="preserve"> </w:t>
      </w:r>
      <w:r>
        <w:rPr>
          <w:iCs/>
          <w:i/>
        </w:rPr>
        <w:t xml:space="preserve">link:</w:t>
      </w:r>
      <w:r>
        <w:t xml:space="preserve"> </w:t>
      </w:r>
      <w:r>
        <w:t xml:space="preserve">Purpose, Mission, the 6 Capitals as the expression of what is valued.</w:t>
      </w:r>
      <w:r>
        <w:t xml:space="preserve"> </w:t>
      </w:r>
      <w:r>
        <w:rPr>
          <w:iCs/>
          <w:i/>
        </w:rPr>
        <w:t xml:space="preserve">Cost link:</w:t>
      </w:r>
      <w:r>
        <w:t xml:space="preserve"> </w:t>
      </w:r>
      <w:r>
        <w:t xml:space="preserve">the belief system defines</w:t>
      </w:r>
      <w:r>
        <w:t xml:space="preserve"> </w:t>
      </w:r>
      <w:r>
        <w:rPr>
          <w:bCs/>
          <w:b/>
        </w:rPr>
        <w:t xml:space="preserve">which capitals are strategic</w:t>
      </w:r>
      <w:r>
        <w:t xml:space="preserve"> </w:t>
      </w:r>
      <w:r>
        <w:t xml:space="preserve">→ which therefore deserve budget (Natural &amp; Social, not only Financial).</w:t>
      </w:r>
    </w:p>
    <w:bookmarkEnd w:id="34"/>
    <w:bookmarkStart w:id="35" w:name="X232e0589d46f5346049744676674aec1edb9759"/>
    <w:p>
      <w:pPr>
        <w:pStyle w:val="Heading2"/>
      </w:pPr>
      <w:r>
        <w:t xml:space="preserve">3.2 Proposals for the Boundary Systems</w:t>
      </w:r>
      <w:r>
        <w:t xml:space="preserve"> </w:t>
      </w:r>
      <w:r>
        <w:rPr>
          <w:iCs/>
          <w:i/>
        </w:rPr>
        <w:t xml:space="preserve">(negative lever — moderate; the secondary gap)</w:t>
      </w:r>
    </w:p>
    <w:p>
      <w:pPr>
        <w:pStyle w:val="FirstParagraph"/>
      </w:pPr>
      <w:r>
        <w:t xml:space="preserve">Translate declared commitments into</w:t>
      </w:r>
      <w:r>
        <w:t xml:space="preserve"> </w:t>
      </w:r>
      <w:r>
        <w:rPr>
          <w:bCs/>
          <w:b/>
        </w:rPr>
        <w:t xml:space="preserve">explicit, bounded limits</w:t>
      </w:r>
      <w:r>
        <w:t xml:space="preserve"> </w:t>
      </w:r>
      <w:r>
        <w:t xml:space="preserve">—</w:t>
      </w:r>
      <w:r>
        <w:t xml:space="preserve"> </w:t>
      </w:r>
      <w:r>
        <w:t xml:space="preserve">“</w:t>
      </w:r>
      <w:r>
        <w:t xml:space="preserve">ESG frameworks are institutionalised Boundary Systems.</w:t>
      </w:r>
      <w:r>
        <w:t xml:space="preserve">”</w:t>
      </w:r>
    </w:p>
    <w:p>
      <w:pPr>
        <w:numPr>
          <w:ilvl w:val="0"/>
          <w:numId w:val="1004"/>
        </w:numPr>
        <w:pStyle w:val="Compact"/>
      </w:pPr>
      <w:r>
        <w:rPr>
          <w:bCs/>
          <w:b/>
        </w:rPr>
        <w:t xml:space="preserve">Validate a Science-Based Target (SBTi).</w:t>
      </w:r>
      <w:r>
        <w:t xml:space="preserve"> </w:t>
      </w:r>
      <w:r>
        <w:t xml:space="preserve">Move from</w:t>
      </w:r>
      <w:r>
        <w:t xml:space="preserve"> </w:t>
      </w:r>
      <w:r>
        <w:t xml:space="preserve">“</w:t>
      </w:r>
      <w:r>
        <w:t xml:space="preserve">science-aligned</w:t>
      </w:r>
      <w:r>
        <w:t xml:space="preserve">”</w:t>
      </w:r>
      <w:r>
        <w:t xml:space="preserve"> </w:t>
      </w:r>
      <w:r>
        <w:t xml:space="preserve">to</w:t>
      </w:r>
      <w:r>
        <w:t xml:space="preserve"> </w:t>
      </w:r>
      <w:r>
        <w:rPr>
          <w:bCs/>
          <w:b/>
        </w:rPr>
        <w:t xml:space="preserve">formally validated</w:t>
      </w:r>
      <w:r>
        <w:t xml:space="preserve"> </w:t>
      </w:r>
      <w:r>
        <w:t xml:space="preserve">near-term and net-zero targets. This converts an aspiration into a hard boundary auditable by third parties (Appendix B flags the current unvalidated status).</w:t>
      </w:r>
    </w:p>
    <w:p>
      <w:pPr>
        <w:numPr>
          <w:ilvl w:val="0"/>
          <w:numId w:val="1004"/>
        </w:numPr>
        <w:pStyle w:val="Compact"/>
      </w:pPr>
      <w:r>
        <w:rPr>
          <w:bCs/>
          <w:b/>
        </w:rPr>
        <w:t xml:space="preserve">Set explicit budgetary limits on the material ESG costs:</w:t>
      </w:r>
      <w:r>
        <w:t xml:space="preserve"> </w:t>
      </w:r>
      <w:r>
        <w:t xml:space="preserve">a</w:t>
      </w:r>
      <w:r>
        <w:t xml:space="preserve"> </w:t>
      </w:r>
      <w:r>
        <w:rPr>
          <w:bCs/>
          <w:b/>
        </w:rPr>
        <w:t xml:space="preserve">glass-carbon-intensity ceiling</w:t>
      </w:r>
      <w:r>
        <w:t xml:space="preserve"> </w:t>
      </w:r>
      <w:r>
        <w:t xml:space="preserve">(max gCO₂e per bottle), a</w:t>
      </w:r>
      <w:r>
        <w:t xml:space="preserve"> </w:t>
      </w:r>
      <w:r>
        <w:rPr>
          <w:bCs/>
          <w:b/>
        </w:rPr>
        <w:t xml:space="preserve">recycled-content floor</w:t>
      </w:r>
      <w:r>
        <w:t xml:space="preserve"> </w:t>
      </w:r>
      <w:r>
        <w:t xml:space="preserve">(min % recycled glass), and a</w:t>
      </w:r>
      <w:r>
        <w:t xml:space="preserve"> </w:t>
      </w:r>
      <w:r>
        <w:rPr>
          <w:bCs/>
          <w:b/>
        </w:rPr>
        <w:t xml:space="preserve">Scope-3 intensity cap</w:t>
      </w:r>
      <w:r>
        <w:t xml:space="preserve"> </w:t>
      </w:r>
      <w:r>
        <w:t xml:space="preserve">per litre — each with an annual budget envelope, exactly as financial spend has authorisation limits.</w:t>
      </w:r>
    </w:p>
    <w:p>
      <w:pPr>
        <w:numPr>
          <w:ilvl w:val="0"/>
          <w:numId w:val="1004"/>
        </w:numPr>
        <w:pStyle w:val="Compact"/>
      </w:pPr>
      <w:r>
        <w:rPr>
          <w:bCs/>
          <w:b/>
        </w:rPr>
        <w:t xml:space="preserve">Codify supplier ESG boundaries</w:t>
      </w:r>
      <w:r>
        <w:t xml:space="preserve"> </w:t>
      </w:r>
      <w:r>
        <w:t xml:space="preserve">in procurement: minimum recycled content, renewable-energy expectations for glass suppliers (the 62% Scope-3 driver), and ARA-style certification extended beyond agave. Adopt</w:t>
      </w:r>
      <w:r>
        <w:t xml:space="preserve"> </w:t>
      </w:r>
      <w:r>
        <w:rPr>
          <w:bCs/>
          <w:b/>
        </w:rPr>
        <w:t xml:space="preserve">GRI 308/414 (supplier environmental/social assessment)</w:t>
      </w:r>
      <w:r>
        <w:t xml:space="preserve"> </w:t>
      </w:r>
      <w:r>
        <w:t xml:space="preserve">and</w:t>
      </w:r>
      <w:r>
        <w:t xml:space="preserve"> </w:t>
      </w:r>
      <w:r>
        <w:rPr>
          <w:bCs/>
          <w:b/>
        </w:rPr>
        <w:t xml:space="preserve">SASB</w:t>
      </w:r>
      <w:r>
        <w:t xml:space="preserve"> </w:t>
      </w:r>
      <w:r>
        <w:t xml:space="preserve">food-&amp;-beverage disclosure topics as the formal limit-setting standards.</w:t>
      </w:r>
    </w:p>
    <w:p>
      <w:pPr>
        <w:pStyle w:val="FirstParagraph"/>
      </w:pPr>
      <w:r>
        <w:rPr>
          <w:rStyle w:val="VerbatimChar"/>
          <w:iCs/>
          <w:i/>
        </w:rPr>
        <w:t xml:space="preserve">&lt;IR&gt;</w:t>
      </w:r>
      <w:r>
        <w:rPr>
          <w:iCs/>
          <w:i/>
        </w:rPr>
        <w:t xml:space="preserve"> </w:t>
      </w:r>
      <w:r>
        <w:rPr>
          <w:iCs/>
          <w:i/>
        </w:rPr>
        <w:t xml:space="preserve">link:</w:t>
      </w:r>
      <w:r>
        <w:t xml:space="preserve"> </w:t>
      </w:r>
      <w:r>
        <w:t xml:space="preserve">Risks &amp; Opportunities, Materiality, Stakeholder relations.</w:t>
      </w:r>
      <w:r>
        <w:t xml:space="preserve"> </w:t>
      </w:r>
      <w:r>
        <w:rPr>
          <w:iCs/>
          <w:i/>
        </w:rPr>
        <w:t xml:space="preserve">Cost link:</w:t>
      </w:r>
      <w:r>
        <w:t xml:space="preserve"> </w:t>
      </w:r>
      <w:r>
        <w:t xml:space="preserve">defines compulsory compliance costs and the</w:t>
      </w:r>
      <w:r>
        <w:t xml:space="preserve"> </w:t>
      </w:r>
      <w:r>
        <w:rPr>
          <w:bCs/>
          <w:b/>
        </w:rPr>
        <w:t xml:space="preserve">contingent costs to provision</w:t>
      </w:r>
      <w:r>
        <w:t xml:space="preserve"> </w:t>
      </w:r>
      <w:r>
        <w:t xml:space="preserve">(carbon pricing, regulation).</w:t>
      </w:r>
    </w:p>
    <w:bookmarkEnd w:id="35"/>
    <w:bookmarkStart w:id="36" w:name="X64f51e36ce2293eb7da24b0c70855ed4afde2e9"/>
    <w:p>
      <w:pPr>
        <w:pStyle w:val="Heading2"/>
      </w:pPr>
      <w:r>
        <w:t xml:space="preserve">3.3 Proposals for the Diagnostic Control System</w:t>
      </w:r>
      <w:r>
        <w:t xml:space="preserve"> </w:t>
      </w:r>
      <w:r>
        <w:rPr>
          <w:iCs/>
          <w:i/>
        </w:rPr>
        <w:t xml:space="preserve">(negative lever — WEAKEST; the core of the proposal)</w:t>
      </w:r>
    </w:p>
    <w:p>
      <w:pPr>
        <w:pStyle w:val="FirstParagraph"/>
      </w:pPr>
      <w:r>
        <w:t xml:space="preserve">This is where the largest improvement lies. Two linked moves:</w:t>
      </w:r>
    </w:p>
    <w:p>
      <w:pPr>
        <w:pStyle w:val="BodyText"/>
      </w:pPr>
      <w:r>
        <w:rPr>
          <w:bCs/>
          <w:b/>
        </w:rPr>
        <w:t xml:space="preserve">A) Upgrade the costing system toward ABC / ABC Ambiental.</w:t>
      </w:r>
      <w:r>
        <w:t xml:space="preserve"> </w:t>
      </w:r>
      <w:r>
        <w:t xml:space="preserve">Pilot</w:t>
      </w:r>
      <w:r>
        <w:t xml:space="preserve"> </w:t>
      </w:r>
      <w:r>
        <w:rPr>
          <w:bCs/>
          <w:b/>
        </w:rPr>
        <w:t xml:space="preserve">Activity-Based Costing</w:t>
      </w:r>
      <w:r>
        <w:t xml:space="preserve"> </w:t>
      </w:r>
      <w:r>
        <w:t xml:space="preserve">on one plant (Novi Ligure) and one diversified House (Agave), using the course’s two-stage method:</w:t>
      </w:r>
      <w:r>
        <w:t xml:space="preserve"> </w:t>
      </w:r>
      <w:r>
        <w:t xml:space="preserve">-</w:t>
      </w:r>
      <w:r>
        <w:t xml:space="preserve"> </w:t>
      </w:r>
      <w:r>
        <w:rPr>
          <w:iCs/>
          <w:i/>
        </w:rPr>
        <w:t xml:space="preserve">First stage:</w:t>
      </w:r>
      <w:r>
        <w:t xml:space="preserve"> </w:t>
      </w:r>
      <w:r>
        <w:t xml:space="preserve">assign overhead to activity pools (procurement, recipe/design, batch set-up, machine-run, customer/channel) by the fraction each consumes — capturing</w:t>
      </w:r>
      <w:r>
        <w:t xml:space="preserve"> </w:t>
      </w:r>
      <w:r>
        <w:rPr>
          <w:bCs/>
          <w:b/>
        </w:rPr>
        <w:t xml:space="preserve">all</w:t>
      </w:r>
      <w:r>
        <w:t xml:space="preserve"> </w:t>
      </w:r>
      <w:r>
        <w:t xml:space="preserve">costs, including admin and marketing, not just manufacturing GIF.</w:t>
      </w:r>
      <w:r>
        <w:t xml:space="preserve"> </w:t>
      </w:r>
      <w:r>
        <w:t xml:space="preserve">-</w:t>
      </w:r>
      <w:r>
        <w:t xml:space="preserve"> </w:t>
      </w:r>
      <w:r>
        <w:rPr>
          <w:iCs/>
          <w:i/>
        </w:rPr>
        <w:t xml:space="preserve">Activity rate:</w:t>
      </w:r>
      <w:r>
        <w:t xml:space="preserve"> </w:t>
      </w:r>
      <w:r>
        <w:rPr>
          <w:rStyle w:val="VerbatimChar"/>
        </w:rPr>
        <w:t xml:space="preserve">Pool cost ÷ driver volume</w:t>
      </w:r>
      <w:r>
        <w:t xml:space="preserve"> </w:t>
      </w:r>
      <w:r>
        <w:t xml:space="preserve">(€/order, €/recipe, €/machine-hour, €/customer).</w:t>
      </w:r>
      <w:r>
        <w:t xml:space="preserve"> </w:t>
      </w:r>
      <w:r>
        <w:t xml:space="preserve">-</w:t>
      </w:r>
      <w:r>
        <w:t xml:space="preserve"> </w:t>
      </w:r>
      <w:r>
        <w:rPr>
          <w:iCs/>
          <w:i/>
        </w:rPr>
        <w:t xml:space="preserve">Second stage:</w:t>
      </w:r>
      <w:r>
        <w:t xml:space="preserve"> </w:t>
      </w:r>
      <w:r>
        <w:rPr>
          <w:rStyle w:val="VerbatimChar"/>
        </w:rPr>
        <w:t xml:space="preserve">rate × the object's driver volume</w:t>
      </w:r>
      <w:r>
        <w:t xml:space="preserve"> </w:t>
      </w:r>
      <w:r>
        <w:t xml:space="preserve">→ a true margin per brand/SKU/customer.</w:t>
      </w:r>
    </w:p>
    <w:p>
      <w:pPr>
        <w:pStyle w:val="BodyText"/>
      </w:pPr>
      <w:r>
        <w:t xml:space="preserve">Then extend the</w:t>
      </w:r>
      <w:r>
        <w:t xml:space="preserve"> </w:t>
      </w:r>
      <w:r>
        <w:rPr>
          <w:bCs/>
          <w:b/>
        </w:rPr>
        <w:t xml:space="preserve">same drivers to carbon (ABC Ambiental)</w:t>
      </w:r>
      <w:r>
        <w:t xml:space="preserve">: each machine-hour carries kWh→tCO₂e (Scope 2), each procurement order carries embedded glass/agriculture carbon (Scope 3), each shipment carries logistics carbon (Scope 3).</w:t>
      </w:r>
      <w:r>
        <w:t xml:space="preserve"> </w:t>
      </w:r>
      <w:r>
        <w:t xml:space="preserve">“</w:t>
      </w:r>
      <w:r>
        <w:t xml:space="preserve">The same cost drivers that allocate euros allocate kilograms of CO₂e —</w:t>
      </w:r>
      <w:r>
        <w:t xml:space="preserve"> </w:t>
      </w:r>
      <w:r>
        <w:rPr>
          <w:iCs/>
          <w:i/>
        </w:rPr>
        <w:t xml:space="preserve">from the euro to the kilogram of CO₂e</w:t>
      </w:r>
      <w:r>
        <w:t xml:space="preserve">.</w:t>
      </w:r>
      <w:r>
        <w:t xml:space="preserve">”</w:t>
      </w:r>
      <w:r>
        <w:t xml:space="preserve"> </w:t>
      </w:r>
      <w:r>
        <w:t xml:space="preserve">The output is a</w:t>
      </w:r>
      <w:r>
        <w:t xml:space="preserve"> </w:t>
      </w:r>
      <w:r>
        <w:rPr>
          <w:bCs/>
          <w:b/>
        </w:rPr>
        <w:t xml:space="preserve">carbon-adjusted margin per brand</w:t>
      </w:r>
      <w:r>
        <w:t xml:space="preserve"> </w:t>
      </w:r>
      <w:r>
        <w:t xml:space="preserve">— the single most decision-relevant number Campari does not currently compute.</w:t>
      </w:r>
    </w:p>
    <w:p>
      <w:pPr>
        <w:pStyle w:val="BodyText"/>
      </w:pPr>
      <w:r>
        <w:rPr>
          <w:bCs/>
          <w:b/>
        </w:rPr>
        <w:t xml:space="preserve">B) Promote non-financial CPVs onto the executive dashboard.</w:t>
      </w:r>
      <w:r>
        <w:t xml:space="preserve"> </w:t>
      </w:r>
      <w:r>
        <w:t xml:space="preserve">Define</w:t>
      </w:r>
      <w:r>
        <w:t xml:space="preserve"> </w:t>
      </w:r>
      <w:r>
        <w:rPr>
          <w:bCs/>
          <w:b/>
        </w:rPr>
        <w:t xml:space="preserve">3–5 ESG Critical Performance Variables</w:t>
      </w:r>
      <w:r>
        <w:t xml:space="preserve"> </w:t>
      </w:r>
      <w:r>
        <w:t xml:space="preserve">reviewed monthly</w:t>
      </w:r>
      <w:r>
        <w:t xml:space="preserve"> </w:t>
      </w:r>
      <w:r>
        <w:rPr>
          <w:iCs/>
          <w:i/>
        </w:rPr>
        <w:t xml:space="preserve">at the same level as EBITDA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ESG CPV</w:t>
            </w:r>
          </w:p>
        </w:tc>
        <w:tc>
          <w:tcPr/>
          <w:p>
            <w:pPr>
              <w:pStyle w:val="Compact"/>
              <w:jc w:val="left"/>
            </w:pPr>
            <w:r>
              <w:t xml:space="preserve">Why it is critical</w:t>
            </w:r>
          </w:p>
        </w:tc>
        <w:tc>
          <w:tcPr/>
          <w:p>
            <w:pPr>
              <w:pStyle w:val="Compact"/>
              <w:jc w:val="left"/>
            </w:pPr>
            <w:r>
              <w:t xml:space="preserve">Maps to</w:t>
            </w:r>
          </w:p>
        </w:tc>
      </w:tr>
      <w:tr>
        <w:tc>
          <w:tcPr/>
          <w:p>
            <w:pPr>
              <w:pStyle w:val="Compact"/>
              <w:jc w:val="left"/>
            </w:pPr>
            <w:r>
              <w:rPr>
                <w:bCs/>
                <w:b/>
              </w:rPr>
              <w:t xml:space="preserve">Scope 3 intensity</w:t>
            </w:r>
            <w:r>
              <w:t xml:space="preserve"> </w:t>
            </w:r>
            <w:r>
              <w:t xml:space="preserve">(gCO₂e/L)</w:t>
            </w:r>
          </w:p>
        </w:tc>
        <w:tc>
          <w:tcPr/>
          <w:p>
            <w:pPr>
              <w:pStyle w:val="Compact"/>
              <w:jc w:val="left"/>
            </w:pPr>
            <w:r>
              <w:t xml:space="preserve">93% of footprint; the strategic exposure</w:t>
            </w:r>
          </w:p>
        </w:tc>
        <w:tc>
          <w:tcPr/>
          <w:p>
            <w:pPr>
              <w:pStyle w:val="Compact"/>
              <w:jc w:val="left"/>
            </w:pPr>
            <w:r>
              <w:t xml:space="preserve">IFRS S2, GRI 305</w:t>
            </w:r>
          </w:p>
        </w:tc>
      </w:tr>
      <w:tr>
        <w:tc>
          <w:tcPr/>
          <w:p>
            <w:pPr>
              <w:pStyle w:val="Compact"/>
              <w:jc w:val="left"/>
            </w:pPr>
            <w:r>
              <w:rPr>
                <w:bCs/>
                <w:b/>
              </w:rPr>
              <w:t xml:space="preserve">Glass carbon intensity</w:t>
            </w:r>
            <w:r>
              <w:t xml:space="preserve"> </w:t>
            </w:r>
            <w:r>
              <w:t xml:space="preserve">(gCO₂e/bottle)</w:t>
            </w:r>
          </w:p>
        </w:tc>
        <w:tc>
          <w:tcPr/>
          <w:p>
            <w:pPr>
              <w:pStyle w:val="Compact"/>
              <w:jc w:val="left"/>
            </w:pPr>
            <w:r>
              <w:t xml:space="preserve">62% of Scope 3 driver</w:t>
            </w:r>
          </w:p>
        </w:tc>
        <w:tc>
          <w:tcPr/>
          <w:p>
            <w:pPr>
              <w:pStyle w:val="Compact"/>
              <w:jc w:val="left"/>
            </w:pPr>
            <w:r>
              <w:t xml:space="preserve">GRI 301/305</w:t>
            </w:r>
          </w:p>
        </w:tc>
      </w:tr>
      <w:tr>
        <w:tc>
          <w:tcPr/>
          <w:p>
            <w:pPr>
              <w:pStyle w:val="Compact"/>
              <w:jc w:val="left"/>
            </w:pPr>
            <w:r>
              <w:rPr>
                <w:bCs/>
                <w:b/>
              </w:rPr>
              <w:t xml:space="preserve">Water intensity</w:t>
            </w:r>
            <w:r>
              <w:t xml:space="preserve"> </w:t>
            </w:r>
            <w:r>
              <w:t xml:space="preserve">(L/L)</w:t>
            </w:r>
          </w:p>
        </w:tc>
        <w:tc>
          <w:tcPr/>
          <w:p>
            <w:pPr>
              <w:pStyle w:val="Compact"/>
              <w:jc w:val="left"/>
            </w:pPr>
            <w:r>
              <w:t xml:space="preserve">Site-specific, basin risk</w:t>
            </w:r>
          </w:p>
        </w:tc>
        <w:tc>
          <w:tcPr/>
          <w:p>
            <w:pPr>
              <w:pStyle w:val="Compact"/>
              <w:jc w:val="left"/>
            </w:pPr>
            <w:r>
              <w:t xml:space="preserve">GRI 303</w:t>
            </w:r>
          </w:p>
        </w:tc>
      </w:tr>
      <w:tr>
        <w:tc>
          <w:tcPr/>
          <w:p>
            <w:pPr>
              <w:pStyle w:val="Compact"/>
              <w:jc w:val="left"/>
            </w:pPr>
            <w:r>
              <w:rPr>
                <w:bCs/>
                <w:b/>
              </w:rPr>
              <w:t xml:space="preserve">Carbon-adjusted gross margin</w:t>
            </w:r>
            <w:r>
              <w:t xml:space="preserve"> </w:t>
            </w:r>
            <w:r>
              <w:t xml:space="preserve">per House</w:t>
            </w:r>
          </w:p>
        </w:tc>
        <w:tc>
          <w:tcPr/>
          <w:p>
            <w:pPr>
              <w:pStyle w:val="Compact"/>
              <w:jc w:val="left"/>
            </w:pPr>
            <w:r>
              <w:t xml:space="preserve">Integrates cost + carbon</w:t>
            </w:r>
          </w:p>
        </w:tc>
        <w:tc>
          <w:tcPr/>
          <w:p>
            <w:pPr>
              <w:pStyle w:val="Compact"/>
              <w:jc w:val="left"/>
            </w:pPr>
            <w:r>
              <w:rPr>
                <w:rStyle w:val="VerbatimChar"/>
              </w:rPr>
              <w:t xml:space="preserve">&lt;IR&gt;</w:t>
            </w:r>
            <w:r>
              <w:t xml:space="preserve"> </w:t>
            </w:r>
            <w:r>
              <w:t xml:space="preserve">connectivity</w:t>
            </w:r>
          </w:p>
        </w:tc>
      </w:tr>
      <w:tr>
        <w:tc>
          <w:tcPr/>
          <w:p>
            <w:pPr>
              <w:pStyle w:val="Compact"/>
              <w:jc w:val="left"/>
            </w:pPr>
            <w:r>
              <w:rPr>
                <w:bCs/>
                <w:b/>
              </w:rPr>
              <w:t xml:space="preserve">Renewable share / energy intensity</w:t>
            </w:r>
          </w:p>
        </w:tc>
        <w:tc>
          <w:tcPr/>
          <w:p>
            <w:pPr>
              <w:pStyle w:val="Compact"/>
              <w:jc w:val="left"/>
            </w:pPr>
            <w:r>
              <w:t xml:space="preserve">Already strong; protect the gain</w:t>
            </w:r>
          </w:p>
        </w:tc>
        <w:tc>
          <w:tcPr/>
          <w:p>
            <w:pPr>
              <w:pStyle w:val="Compact"/>
              <w:jc w:val="left"/>
            </w:pPr>
            <w:r>
              <w:t xml:space="preserve">GRI 302</w:t>
            </w:r>
          </w:p>
        </w:tc>
      </w:tr>
    </w:tbl>
    <w:p>
      <w:pPr>
        <w:pStyle w:val="BodyText"/>
      </w:pPr>
      <w:r>
        <w:t xml:space="preserve">Review</w:t>
      </w:r>
      <w:r>
        <w:t xml:space="preserve"> </w:t>
      </w:r>
      <w:r>
        <w:rPr>
          <w:bCs/>
          <w:b/>
        </w:rPr>
        <w:t xml:space="preserve">by exception</w:t>
      </w:r>
      <w:r>
        <w:t xml:space="preserve"> </w:t>
      </w:r>
      <w:r>
        <w:t xml:space="preserve">(Simons): if glass carbon intensity exceeds the boundary set in §3.2, it escalates — otherwise the system runs itself. This is precisely the Diagnostic logic the firm already applies to financial variances, extended to the Natural capital.</w:t>
      </w:r>
    </w:p>
    <w:p>
      <w:pPr>
        <w:pStyle w:val="BodyText"/>
      </w:pPr>
      <w:r>
        <w:rPr>
          <w:rStyle w:val="VerbatimChar"/>
          <w:iCs/>
          <w:i/>
        </w:rPr>
        <w:t xml:space="preserve">&lt;IR&gt;</w:t>
      </w:r>
      <w:r>
        <w:rPr>
          <w:iCs/>
          <w:i/>
        </w:rPr>
        <w:t xml:space="preserve"> </w:t>
      </w:r>
      <w:r>
        <w:rPr>
          <w:iCs/>
          <w:i/>
        </w:rPr>
        <w:t xml:space="preserve">link:</w:t>
      </w:r>
      <w:r>
        <w:t xml:space="preserve"> </w:t>
      </w:r>
      <w:r>
        <w:t xml:space="preserve">Performance, Critical Performance Variables.</w:t>
      </w:r>
      <w:r>
        <w:t xml:space="preserve"> </w:t>
      </w:r>
      <w:r>
        <w:rPr>
          <w:iCs/>
          <w:i/>
        </w:rPr>
        <w:t xml:space="preserve">Cost link:</w:t>
      </w:r>
      <w:r>
        <w:t xml:space="preserve"> </w:t>
      </w:r>
      <w:r>
        <w:t xml:space="preserve">ABC corrects distorted financial</w:t>
      </w:r>
      <w:r>
        <w:t xml:space="preserve"> </w:t>
      </w:r>
      <w:r>
        <w:rPr>
          <w:bCs/>
          <w:b/>
        </w:rPr>
        <w:t xml:space="preserve">and</w:t>
      </w:r>
      <w:r>
        <w:t xml:space="preserve"> </w:t>
      </w:r>
      <w:r>
        <w:t xml:space="preserve">carbon CPVs —</w:t>
      </w:r>
      <w:r>
        <w:t xml:space="preserve"> </w:t>
      </w:r>
      <w:r>
        <w:t xml:space="preserve">“</w:t>
      </w:r>
      <w:r>
        <w:t xml:space="preserve">if distorted financial GIF produces wrong CPVs, distorted GHG produces wrong ESG CPVs; ABC corrects both.</w:t>
      </w:r>
      <w:r>
        <w:t xml:space="preserve">”</w:t>
      </w:r>
    </w:p>
    <w:bookmarkEnd w:id="36"/>
    <w:bookmarkStart w:id="37" w:name="X9c6db6ab1383947cf371eae2e82c6c9e0dbb0a5"/>
    <w:p>
      <w:pPr>
        <w:pStyle w:val="Heading2"/>
      </w:pPr>
      <w:r>
        <w:t xml:space="preserve">3.4 Proposals for the Interactive Control System</w:t>
      </w:r>
      <w:r>
        <w:t xml:space="preserve"> </w:t>
      </w:r>
      <w:r>
        <w:rPr>
          <w:iCs/>
          <w:i/>
        </w:rPr>
        <w:t xml:space="preserve">(positive lever — emerging; make it recurring)</w:t>
      </w:r>
    </w:p>
    <w:p>
      <w:pPr>
        <w:numPr>
          <w:ilvl w:val="0"/>
          <w:numId w:val="1005"/>
        </w:numPr>
        <w:pStyle w:val="Compact"/>
      </w:pPr>
      <w:r>
        <w:rPr>
          <w:bCs/>
          <w:b/>
        </w:rPr>
        <w:t xml:space="preserve">Institute a recurring (quarterly) strategic ESG review</w:t>
      </w:r>
      <w:r>
        <w:t xml:space="preserve"> </w:t>
      </w:r>
      <w:r>
        <w:t xml:space="preserve">in which senior leadership</w:t>
      </w:r>
      <w:r>
        <w:t xml:space="preserve"> </w:t>
      </w:r>
      <w:r>
        <w:rPr>
          <w:iCs/>
          <w:i/>
        </w:rPr>
        <w:t xml:space="preserve">personally</w:t>
      </w:r>
      <w:r>
        <w:t xml:space="preserve"> </w:t>
      </w:r>
      <w:r>
        <w:t xml:space="preserve">probes the Scope-3 trajectory, carbon-price scenarios (EU ETS/CBAM), agave-cycle outlook and shifting consumer/regulatory expectations — not annually as a materiality formality, but as the</w:t>
      </w:r>
      <w:r>
        <w:t xml:space="preserve"> </w:t>
      </w:r>
      <w:r>
        <w:rPr>
          <w:bCs/>
          <w:b/>
        </w:rPr>
        <w:t xml:space="preserve">thermometer of the firm’s strategic uncertainties</w:t>
      </w:r>
      <w:r>
        <w:t xml:space="preserve"> </w:t>
      </w:r>
      <w:r>
        <w:t xml:space="preserve">(Simons’ distinction between diagnostic</w:t>
      </w:r>
      <w:r>
        <w:t xml:space="preserve"> </w:t>
      </w:r>
      <w:r>
        <w:rPr>
          <w:iCs/>
          <w:i/>
        </w:rPr>
        <w:t xml:space="preserve">by exception</w:t>
      </w:r>
      <w:r>
        <w:t xml:space="preserve"> </w:t>
      </w:r>
      <w:r>
        <w:t xml:space="preserve">and interactive</w:t>
      </w:r>
      <w:r>
        <w:t xml:space="preserve"> </w:t>
      </w:r>
      <w:r>
        <w:rPr>
          <w:iCs/>
          <w:i/>
        </w:rPr>
        <w:t xml:space="preserve">always-on</w:t>
      </w:r>
      <w:r>
        <w:t xml:space="preserve">).</w:t>
      </w:r>
    </w:p>
    <w:p>
      <w:pPr>
        <w:numPr>
          <w:ilvl w:val="0"/>
          <w:numId w:val="1005"/>
        </w:numPr>
        <w:pStyle w:val="Compact"/>
      </w:pPr>
      <w:r>
        <w:rPr>
          <w:bCs/>
          <w:b/>
        </w:rPr>
        <w:t xml:space="preserve">Scenario planning on carbon pricing and input volatility:</w:t>
      </w:r>
      <w:r>
        <w:t xml:space="preserve"> </w:t>
      </w:r>
      <w:r>
        <w:t xml:space="preserve">model €40 / €80 / €200 per-tonne carbon paths against the brand portfolio to identify which Houses are exposed and which capacity/sourcing bets are robust.</w:t>
      </w:r>
    </w:p>
    <w:p>
      <w:pPr>
        <w:numPr>
          <w:ilvl w:val="0"/>
          <w:numId w:val="1005"/>
        </w:numPr>
        <w:pStyle w:val="Compact"/>
      </w:pPr>
      <w:r>
        <w:rPr>
          <w:bCs/>
          <w:b/>
        </w:rPr>
        <w:t xml:space="preserve">Embed the CSRD double-materiality process as a living interactive tool</w:t>
      </w:r>
      <w:r>
        <w:t xml:space="preserve">, board-approved annually but feeding the quarterly review, so emerging issues (e.g., a new glass-recycling regulation) reach strategy quickly.</w:t>
      </w:r>
    </w:p>
    <w:p>
      <w:pPr>
        <w:pStyle w:val="FirstParagraph"/>
      </w:pPr>
      <w:r>
        <w:rPr>
          <w:rStyle w:val="VerbatimChar"/>
          <w:iCs/>
          <w:i/>
        </w:rPr>
        <w:t xml:space="preserve">&lt;IR&gt;</w:t>
      </w:r>
      <w:r>
        <w:rPr>
          <w:iCs/>
          <w:i/>
        </w:rPr>
        <w:t xml:space="preserve"> </w:t>
      </w:r>
      <w:r>
        <w:rPr>
          <w:iCs/>
          <w:i/>
        </w:rPr>
        <w:t xml:space="preserve">link:</w:t>
      </w:r>
      <w:r>
        <w:t xml:space="preserve"> </w:t>
      </w:r>
      <w:r>
        <w:t xml:space="preserve">Strategy &amp; Resource Allocation, Outlook.</w:t>
      </w:r>
      <w:r>
        <w:t xml:space="preserve"> </w:t>
      </w:r>
      <w:r>
        <w:rPr>
          <w:iCs/>
          <w:i/>
        </w:rPr>
        <w:t xml:space="preserve">Cost link:</w:t>
      </w:r>
      <w:r>
        <w:t xml:space="preserve"> </w:t>
      </w:r>
      <w:r>
        <w:t xml:space="preserve">relevant costs for long-horizon strategic decisions; trade-offs between capitals.</w:t>
      </w:r>
    </w:p>
    <w:bookmarkEnd w:id="37"/>
    <w:bookmarkStart w:id="38" w:name="implementation-roadmap"/>
    <w:p>
      <w:pPr>
        <w:pStyle w:val="Heading2"/>
      </w:pPr>
      <w:r>
        <w:t xml:space="preserve">3.5 Implementation roadmap</w:t>
      </w:r>
    </w:p>
    <w:p>
      <w:pPr>
        <w:pStyle w:val="FirstParagraph"/>
      </w:pPr>
      <w:r>
        <w:t xml:space="preserve">Prioritised over a realistic horizon, sequencing the weakest-lever fixes first.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Horizon</w:t>
            </w:r>
          </w:p>
        </w:tc>
        <w:tc>
          <w:tcPr/>
          <w:p>
            <w:pPr>
              <w:pStyle w:val="Compact"/>
              <w:jc w:val="left"/>
            </w:pPr>
            <w:r>
              <w:t xml:space="preserve">Actions</w:t>
            </w:r>
          </w:p>
        </w:tc>
        <w:tc>
          <w:tcPr/>
          <w:p>
            <w:pPr>
              <w:pStyle w:val="Compact"/>
              <w:jc w:val="left"/>
            </w:pPr>
            <w:r>
              <w:t xml:space="preserve">Lever</w:t>
            </w:r>
          </w:p>
        </w:tc>
        <w:tc>
          <w:tcPr/>
          <w:p>
            <w:pPr>
              <w:pStyle w:val="Compact"/>
              <w:jc w:val="left"/>
            </w:pPr>
            <w:r>
              <w:t xml:space="preserve">Owner</w:t>
            </w:r>
          </w:p>
        </w:tc>
      </w:tr>
      <w:tr>
        <w:tc>
          <w:tcPr/>
          <w:p>
            <w:pPr>
              <w:pStyle w:val="Compact"/>
              <w:jc w:val="left"/>
            </w:pPr>
            <w:r>
              <w:rPr>
                <w:bCs/>
                <w:b/>
              </w:rPr>
              <w:t xml:space="preserve">0–6 months</w:t>
            </w:r>
          </w:p>
        </w:tc>
        <w:tc>
          <w:tcPr/>
          <w:p>
            <w:pPr>
              <w:pStyle w:val="Compact"/>
              <w:jc w:val="left"/>
            </w:pPr>
            <w:r>
              <w:t xml:space="preserve">Define the 3–5 ESG CPVs and add them to the monthly executive dashboard; launch the ABC pilot scope at Novi Ligure; publish the time-bound Scope-3 purpose statement.</w:t>
            </w:r>
          </w:p>
        </w:tc>
        <w:tc>
          <w:tcPr/>
          <w:p>
            <w:pPr>
              <w:pStyle w:val="Compact"/>
              <w:jc w:val="left"/>
            </w:pPr>
            <w:r>
              <w:t xml:space="preserve">Diagnostic + Belief</w:t>
            </w:r>
          </w:p>
        </w:tc>
        <w:tc>
          <w:tcPr/>
          <w:p>
            <w:pPr>
              <w:pStyle w:val="Compact"/>
              <w:jc w:val="left"/>
            </w:pPr>
            <w:r>
              <w:t xml:space="preserve">CFO + Chief Sustainability Officer</w:t>
            </w:r>
          </w:p>
        </w:tc>
      </w:tr>
      <w:tr>
        <w:tc>
          <w:tcPr/>
          <w:p>
            <w:pPr>
              <w:pStyle w:val="Compact"/>
              <w:jc w:val="left"/>
            </w:pPr>
            <w:r>
              <w:rPr>
                <w:bCs/>
                <w:b/>
              </w:rPr>
              <w:t xml:space="preserve">6–18 months</w:t>
            </w:r>
          </w:p>
        </w:tc>
        <w:tc>
          <w:tcPr/>
          <w:p>
            <w:pPr>
              <w:pStyle w:val="Compact"/>
              <w:jc w:val="left"/>
            </w:pPr>
            <w:r>
              <w:t xml:space="preserve">Complete the ABC / ABC-Ambiental pilot → carbon-adjusted margin per House; submit</w:t>
            </w:r>
            <w:r>
              <w:t xml:space="preserve"> </w:t>
            </w:r>
            <w:r>
              <w:rPr>
                <w:bCs/>
                <w:b/>
              </w:rPr>
              <w:t xml:space="preserve">SBTi validation</w:t>
            </w:r>
            <w:r>
              <w:t xml:space="preserve">; set glass-carbon-intensity ceiling and recycled-content floor with budget envelopes; codify supplier ESG boundaries (GRI 308/414, SASB).</w:t>
            </w:r>
          </w:p>
        </w:tc>
        <w:tc>
          <w:tcPr/>
          <w:p>
            <w:pPr>
              <w:pStyle w:val="Compact"/>
              <w:jc w:val="left"/>
            </w:pPr>
            <w:r>
              <w:t xml:space="preserve">Diagnostic + Boundary</w:t>
            </w:r>
          </w:p>
        </w:tc>
        <w:tc>
          <w:tcPr/>
          <w:p>
            <w:pPr>
              <w:pStyle w:val="Compact"/>
              <w:jc w:val="left"/>
            </w:pPr>
            <w:r>
              <w:t xml:space="preserve">Operations + Procurement</w:t>
            </w:r>
          </w:p>
        </w:tc>
      </w:tr>
      <w:tr>
        <w:tc>
          <w:tcPr/>
          <w:p>
            <w:pPr>
              <w:pStyle w:val="Compact"/>
              <w:jc w:val="left"/>
            </w:pPr>
            <w:r>
              <w:rPr>
                <w:bCs/>
                <w:b/>
              </w:rPr>
              <w:t xml:space="preserve">18 months–3 years</w:t>
            </w:r>
          </w:p>
        </w:tc>
        <w:tc>
          <w:tcPr/>
          <w:p>
            <w:pPr>
              <w:pStyle w:val="Compact"/>
              <w:jc w:val="left"/>
            </w:pPr>
            <w:r>
              <w:t xml:space="preserve">Roll ABC out group-wide; introduce an</w:t>
            </w:r>
            <w:r>
              <w:t xml:space="preserve"> </w:t>
            </w:r>
            <w:r>
              <w:rPr>
                <w:bCs/>
                <w:b/>
              </w:rPr>
              <w:t xml:space="preserve">internal carbon price</w:t>
            </w:r>
            <w:r>
              <w:t xml:space="preserve"> </w:t>
            </w:r>
            <w:r>
              <w:t xml:space="preserve">in all capital and make/buy decisions; stand up the quarterly interactive ESG strategy review with carbon-price scenarios.</w:t>
            </w:r>
          </w:p>
        </w:tc>
        <w:tc>
          <w:tcPr/>
          <w:p>
            <w:pPr>
              <w:pStyle w:val="Compact"/>
              <w:jc w:val="left"/>
            </w:pPr>
            <w:r>
              <w:t xml:space="preserve">Diagnostic + Interactive</w:t>
            </w:r>
          </w:p>
        </w:tc>
        <w:tc>
          <w:tcPr/>
          <w:p>
            <w:pPr>
              <w:pStyle w:val="Compact"/>
              <w:jc w:val="left"/>
            </w:pPr>
            <w:r>
              <w:t xml:space="preserve">ExCo + Board</w:t>
            </w:r>
          </w:p>
        </w:tc>
      </w:tr>
      <w:tr>
        <w:tc>
          <w:tcPr/>
          <w:p>
            <w:pPr>
              <w:pStyle w:val="Compact"/>
              <w:jc w:val="left"/>
            </w:pPr>
            <w:r>
              <w:rPr>
                <w:bCs/>
                <w:b/>
              </w:rPr>
              <w:t xml:space="preserve">3–5 years</w:t>
            </w:r>
          </w:p>
        </w:tc>
        <w:tc>
          <w:tcPr/>
          <w:p>
            <w:pPr>
              <w:pStyle w:val="Compact"/>
              <w:jc w:val="left"/>
            </w:pPr>
            <w:r>
              <w:t xml:space="preserve">Full integration of financial and ESG control (carbon-adjusted P&amp;L by House); glass lightweighting / circular-economy programme at scale; report under full CSRD/ESRS double materiality with IFRS S1/S2 alignment.</w:t>
            </w:r>
          </w:p>
        </w:tc>
        <w:tc>
          <w:tcPr/>
          <w:p>
            <w:pPr>
              <w:pStyle w:val="Compact"/>
              <w:jc w:val="left"/>
            </w:pPr>
            <w:r>
              <w:t xml:space="preserve">All four levers</w:t>
            </w:r>
          </w:p>
        </w:tc>
        <w:tc>
          <w:tcPr/>
          <w:p>
            <w:pPr>
              <w:pStyle w:val="Compact"/>
              <w:jc w:val="left"/>
            </w:pPr>
            <w:r>
              <w:t xml:space="preserve">Board / Integrated Reporting</w:t>
            </w:r>
          </w:p>
        </w:tc>
      </w:tr>
    </w:tbl>
    <w:p>
      <w:r>
        <w:pict>
          <v:rect style="width:0;height:1.5pt" o:hralign="center" o:hrstd="t" o:hr="t"/>
        </w:pict>
      </w:r>
    </w:p>
    <w:bookmarkEnd w:id="38"/>
    <w:bookmarkStart w:id="39" w:name="conclusion"/>
    <w:p>
      <w:pPr>
        <w:pStyle w:val="Heading2"/>
      </w:pPr>
      <w:r>
        <w:t xml:space="preserve">Conclusion</w:t>
      </w:r>
    </w:p>
    <w:p>
      <w:pPr>
        <w:pStyle w:val="FirstParagraph"/>
      </w:pPr>
      <w:r>
        <w:t xml:space="preserve">Campari is a company that</w:t>
      </w:r>
      <w:r>
        <w:t xml:space="preserve"> </w:t>
      </w:r>
      <w:r>
        <w:rPr>
          <w:bCs/>
          <w:b/>
        </w:rPr>
        <w:t xml:space="preserve">manages its financial and (own-operations) natural capital well, believes sincerely in sustainability, but cannot yet</w:t>
      </w:r>
      <w:r>
        <w:rPr>
          <w:bCs/>
          <w:b/>
        </w:rPr>
        <w:t xml:space="preserve"> </w:t>
      </w:r>
      <w:r>
        <w:rPr>
          <w:iCs/>
          <w:i/>
          <w:bCs/>
          <w:b/>
        </w:rPr>
        <w:t xml:space="preserve">see</w:t>
      </w:r>
      <w:r>
        <w:rPr>
          <w:bCs/>
          <w:b/>
        </w:rPr>
        <w:t xml:space="preserve"> </w:t>
      </w:r>
      <w:r>
        <w:rPr>
          <w:bCs/>
          <w:b/>
        </w:rPr>
        <w:t xml:space="preserve">its most material ESG cost in its management-control system.</w:t>
      </w:r>
      <w:r>
        <w:t xml:space="preserve"> </w:t>
      </w:r>
      <w:r>
        <w:t xml:space="preserve">Read through the course’s three threads:</w:t>
      </w:r>
    </w:p>
    <w:p>
      <w:pPr>
        <w:numPr>
          <w:ilvl w:val="0"/>
          <w:numId w:val="1006"/>
        </w:numPr>
        <w:pStyle w:val="Compact"/>
      </w:pPr>
      <w:r>
        <w:rPr>
          <w:rStyle w:val="VerbatimChar"/>
          <w:bCs/>
          <w:b/>
        </w:rPr>
        <w:t xml:space="preserve">&lt;IR&gt;</w:t>
      </w:r>
      <w:r>
        <w:rPr>
          <w:bCs/>
          <w:b/>
        </w:rPr>
        <w:t xml:space="preserve"> </w:t>
      </w:r>
      <w:r>
        <w:rPr>
          <w:bCs/>
          <w:b/>
        </w:rPr>
        <w:t xml:space="preserve">/ 6 Capitals:</w:t>
      </w:r>
      <w:r>
        <w:t xml:space="preserve"> </w:t>
      </w:r>
      <w:r>
        <w:t xml:space="preserve">the firm’s value rests heavily on Intellectual (brands) and is most exposed on Natural (Scope 3 glass &amp; agriculture) — an iceberg whose largest block is submerged.</w:t>
      </w:r>
    </w:p>
    <w:p>
      <w:pPr>
        <w:numPr>
          <w:ilvl w:val="0"/>
          <w:numId w:val="1006"/>
        </w:numPr>
        <w:pStyle w:val="Compact"/>
      </w:pPr>
      <w:r>
        <w:rPr>
          <w:bCs/>
          <w:b/>
        </w:rPr>
        <w:t xml:space="preserve">ESG costs / ABC:</w:t>
      </w:r>
      <w:r>
        <w:t xml:space="preserve"> </w:t>
      </w:r>
      <w:r>
        <w:t xml:space="preserve">the structural conditions for cost distortion are all present; ABC and ABC Ambiental would redistribute cost and carbon to reveal carbon-adjusted brand margins that today’s volumetric system hides.</w:t>
      </w:r>
    </w:p>
    <w:p>
      <w:pPr>
        <w:numPr>
          <w:ilvl w:val="0"/>
          <w:numId w:val="1006"/>
        </w:numPr>
        <w:pStyle w:val="Compact"/>
      </w:pPr>
      <w:r>
        <w:rPr>
          <w:bCs/>
          <w:b/>
        </w:rPr>
        <w:t xml:space="preserve">Levers of Control:</w:t>
      </w:r>
      <w:r>
        <w:t xml:space="preserve"> </w:t>
      </w:r>
      <w:r>
        <w:t xml:space="preserve">a</w:t>
      </w:r>
      <w:r>
        <w:t xml:space="preserve"> </w:t>
      </w:r>
      <w:r>
        <w:rPr>
          <w:bCs/>
          <w:b/>
        </w:rPr>
        <w:t xml:space="preserve">strong Belief</w:t>
      </w:r>
      <w:r>
        <w:t xml:space="preserve"> </w:t>
      </w:r>
      <w:r>
        <w:t xml:space="preserve">lever sits above a</w:t>
      </w:r>
      <w:r>
        <w:t xml:space="preserve"> </w:t>
      </w:r>
      <w:r>
        <w:rPr>
          <w:bCs/>
          <w:b/>
        </w:rPr>
        <w:t xml:space="preserve">weak Diagnostic-ESG</w:t>
      </w:r>
      <w:r>
        <w:t xml:space="preserve"> </w:t>
      </w:r>
      <w:r>
        <w:t xml:space="preserve">lever — and that gap, in Simons’ terms, is the firm’s principal transition and reputational risk.</w:t>
      </w:r>
    </w:p>
    <w:p>
      <w:pPr>
        <w:pStyle w:val="FirstParagraph"/>
      </w:pPr>
      <w:r>
        <w:t xml:space="preserve">The improvement programme closes that gap from the weakest lever outward: measure (Diagnostic), bound (Boundary), probe (Interactive), all anchored in an already-strong Belief. The result would be a Campari that not only builds iconic brands and superior financial returns, but can</w:t>
      </w:r>
      <w:r>
        <w:t xml:space="preserve"> </w:t>
      </w:r>
      <w:r>
        <w:rPr>
          <w:bCs/>
          <w:b/>
        </w:rPr>
        <w:t xml:space="preserve">cost, steer and report the carbon in every bottle</w:t>
      </w:r>
      <w:r>
        <w:t xml:space="preserve"> </w:t>
      </w:r>
      <w:r>
        <w:t xml:space="preserve">— turning integrated thinking from a report into a management practice.</w:t>
      </w:r>
    </w:p>
    <w:p>
      <w:r>
        <w:pict>
          <v:rect style="width:0;height:1.5pt" o:hralign="center" o:hrstd="t" o:hr="t"/>
        </w:pict>
      </w:r>
    </w:p>
    <w:bookmarkEnd w:id="39"/>
    <w:bookmarkStart w:id="40" w:name="X08d0eb0422b8da41775d774f97e07d04e991bee"/>
    <w:p>
      <w:pPr>
        <w:pStyle w:val="Heading2"/>
      </w:pPr>
      <w:r>
        <w:t xml:space="preserve">Appendix A — Explicit assumptions used for illustrative figures</w:t>
      </w:r>
    </w:p>
    <w:p>
      <w:pPr>
        <w:pStyle w:val="FirstParagraph"/>
      </w:pPr>
      <w:r>
        <w:t xml:space="preserve">Per the rubric’s Option C/D guidance (</w:t>
      </w:r>
      <w:r>
        <w:t xml:space="preserve">“</w:t>
      </w:r>
      <w:r>
        <w:t xml:space="preserve">assumptions must be explicit, reasoned and realistic; do not invent numbers without justification</w:t>
      </w:r>
      <w:r>
        <w:t xml:space="preserve">”</w:t>
      </w:r>
      <w:r>
        <w:t xml:space="preserve">), every non-public figure used illustratively is listed here, with its public anchor: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Public anchor it is built from</w:t>
            </w:r>
          </w:p>
        </w:tc>
        <w:tc>
          <w:tcPr/>
          <w:p>
            <w:pPr>
              <w:pStyle w:val="Compact"/>
              <w:jc w:val="left"/>
            </w:pPr>
            <w:r>
              <w:t xml:space="preserve">Use in paper</w:t>
            </w:r>
          </w:p>
        </w:tc>
      </w:tr>
      <w:tr>
        <w:tc>
          <w:tcPr/>
          <w:p>
            <w:pPr>
              <w:pStyle w:val="Compact"/>
              <w:jc w:val="left"/>
            </w:pPr>
            <w:r>
              <w:t xml:space="preserve">A1</w:t>
            </w:r>
          </w:p>
        </w:tc>
        <w:tc>
          <w:tcPr/>
          <w:p>
            <w:pPr>
              <w:pStyle w:val="Compact"/>
              <w:jc w:val="left"/>
            </w:pPr>
            <w:r>
              <w:t xml:space="preserve">Avg. realised price €10.00/L-eq; COGS €4.24/L (42.4%), glass ≈ €1.30</w:t>
            </w:r>
          </w:p>
        </w:tc>
        <w:tc>
          <w:tcPr/>
          <w:p>
            <w:pPr>
              <w:pStyle w:val="Compact"/>
              <w:jc w:val="left"/>
            </w:pPr>
            <w:r>
              <w:t xml:space="preserve">Public</w:t>
            </w:r>
            <w:r>
              <w:t xml:space="preserve"> </w:t>
            </w:r>
            <w:r>
              <w:rPr>
                <w:bCs/>
                <w:b/>
              </w:rPr>
              <w:t xml:space="preserve">gross margin 57.6%</w:t>
            </w:r>
            <w:r>
              <w:t xml:space="preserve">, FY2024</w:t>
            </w:r>
          </w:p>
        </w:tc>
        <w:tc>
          <w:tcPr/>
          <w:p>
            <w:pPr>
              <w:pStyle w:val="Compact"/>
              <w:jc w:val="left"/>
            </w:pPr>
            <w:r>
              <w:t xml:space="preserve">§1.3 unit economics</w:t>
            </w:r>
          </w:p>
        </w:tc>
      </w:tr>
      <w:tr>
        <w:tc>
          <w:tcPr/>
          <w:p>
            <w:pPr>
              <w:pStyle w:val="Compact"/>
              <w:jc w:val="left"/>
            </w:pPr>
            <w:r>
              <w:t xml:space="preserve">A2</w:t>
            </w:r>
          </w:p>
        </w:tc>
        <w:tc>
          <w:tcPr/>
          <w:p>
            <w:pPr>
              <w:pStyle w:val="Compact"/>
              <w:jc w:val="left"/>
            </w:pPr>
            <w:r>
              <w:t xml:space="preserve">Internal carbon price €80/t (scenarios €40/€200)</w:t>
            </w:r>
          </w:p>
        </w:tc>
        <w:tc>
          <w:tcPr/>
          <w:p>
            <w:pPr>
              <w:pStyle w:val="Compact"/>
              <w:jc w:val="left"/>
            </w:pPr>
            <w:r>
              <w:t xml:space="preserve">EU ETS price range; CBAM trajectory</w:t>
            </w:r>
          </w:p>
        </w:tc>
        <w:tc>
          <w:tcPr/>
          <w:p>
            <w:pPr>
              <w:pStyle w:val="Compact"/>
              <w:jc w:val="left"/>
            </w:pPr>
            <w:r>
              <w:t xml:space="preserve">§1.4, §2.2, §2.4, §3.4</w:t>
            </w:r>
          </w:p>
        </w:tc>
      </w:tr>
      <w:tr>
        <w:tc>
          <w:tcPr/>
          <w:p>
            <w:pPr>
              <w:pStyle w:val="Compact"/>
              <w:jc w:val="left"/>
            </w:pPr>
            <w:r>
              <w:t xml:space="preserve">A3</w:t>
            </w:r>
          </w:p>
        </w:tc>
        <w:tc>
          <w:tcPr/>
          <w:p>
            <w:pPr>
              <w:pStyle w:val="Compact"/>
              <w:jc w:val="left"/>
            </w:pPr>
            <w:r>
              <w:t xml:space="preserve">Two stylised lines, €100m plant overhead, ABC shift €18m</w:t>
            </w:r>
          </w:p>
        </w:tc>
        <w:tc>
          <w:tcPr/>
          <w:p>
            <w:pPr>
              <w:pStyle w:val="Compact"/>
              <w:jc w:val="left"/>
            </w:pPr>
            <w:r>
              <w:t xml:space="preserve">Classic Brass mechanism (Session 8); Campari’s 50+ brand diversity</w:t>
            </w:r>
          </w:p>
        </w:tc>
        <w:tc>
          <w:tcPr/>
          <w:p>
            <w:pPr>
              <w:pStyle w:val="Compact"/>
              <w:jc w:val="left"/>
            </w:pPr>
            <w:r>
              <w:t xml:space="preserve">§2.1 ABC illustration</w:t>
            </w:r>
          </w:p>
        </w:tc>
      </w:tr>
      <w:tr>
        <w:tc>
          <w:tcPr/>
          <w:p>
            <w:pPr>
              <w:pStyle w:val="Compact"/>
              <w:jc w:val="left"/>
            </w:pPr>
            <w:r>
              <w:t xml:space="preserve">A4</w:t>
            </w:r>
          </w:p>
        </w:tc>
        <w:tc>
          <w:tcPr/>
          <w:p>
            <w:pPr>
              <w:pStyle w:val="Compact"/>
              <w:jc w:val="left"/>
            </w:pPr>
            <w:r>
              <w:t xml:space="preserve">Make €47m vs Buy €52m for +10m L aperitif</w:t>
            </w:r>
          </w:p>
        </w:tc>
        <w:tc>
          <w:tcPr/>
          <w:p>
            <w:pPr>
              <w:pStyle w:val="Compact"/>
              <w:jc w:val="left"/>
            </w:pPr>
            <w:r>
              <w:t xml:space="preserve">Real €75m Novi Ligure capacity decision (2024)</w:t>
            </w:r>
          </w:p>
        </w:tc>
        <w:tc>
          <w:tcPr/>
          <w:p>
            <w:pPr>
              <w:pStyle w:val="Compact"/>
              <w:jc w:val="left"/>
            </w:pPr>
            <w:r>
              <w:t xml:space="preserve">§2.2 make-vs-buy</w:t>
            </w:r>
          </w:p>
        </w:tc>
      </w:tr>
      <w:tr>
        <w:tc>
          <w:tcPr/>
          <w:p>
            <w:pPr>
              <w:pStyle w:val="Compact"/>
              <w:jc w:val="left"/>
            </w:pPr>
            <w:r>
              <w:t xml:space="preserve">A5</w:t>
            </w:r>
          </w:p>
        </w:tc>
        <w:tc>
          <w:tcPr/>
          <w:p>
            <w:pPr>
              <w:pStyle w:val="Compact"/>
              <w:jc w:val="left"/>
            </w:pPr>
            <w:r>
              <w:t xml:space="preserve">Scope-3 carbon cost ≈ €65.6m (820 kt × €80)</w:t>
            </w:r>
          </w:p>
        </w:tc>
        <w:tc>
          <w:tcPr/>
          <w:p>
            <w:pPr>
              <w:pStyle w:val="Compact"/>
              <w:jc w:val="left"/>
            </w:pPr>
            <w:r>
              <w:t xml:space="preserve">Real Scope 3 ≈ 820,000 t CO₂e (2024)</w:t>
            </w:r>
          </w:p>
        </w:tc>
        <w:tc>
          <w:tcPr/>
          <w:p>
            <w:pPr>
              <w:pStyle w:val="Compact"/>
              <w:jc w:val="left"/>
            </w:pPr>
            <w:r>
              <w:t xml:space="preserve">§1.4 hidden cost</w:t>
            </w:r>
          </w:p>
        </w:tc>
      </w:tr>
    </w:tbl>
    <w:p>
      <w:pPr>
        <w:pStyle w:val="BodyText"/>
      </w:pPr>
      <w:r>
        <w:rPr>
          <w:iCs/>
          <w:i/>
        </w:rPr>
        <w:t xml:space="preserve">All other figures (net sales, margins, GHG inventory, renewable %, water intensity, Courvoisier price, Novi Ligure investment, values, Code of Ethics date) are</w:t>
      </w:r>
      <w:r>
        <w:rPr>
          <w:iCs/>
          <w:i/>
        </w:rPr>
        <w:t xml:space="preserve"> </w:t>
      </w:r>
      <w:r>
        <w:rPr>
          <w:bCs/>
          <w:b/>
          <w:iCs/>
          <w:i/>
        </w:rPr>
        <w:t xml:space="preserve">real and sourced</w:t>
      </w:r>
      <w:r>
        <w:rPr>
          <w:iCs/>
          <w:i/>
        </w:rPr>
        <w:t xml:space="preserve"> </w:t>
      </w:r>
      <w:r>
        <w:rPr>
          <w:iCs/>
          <w:i/>
        </w:rPr>
        <w:t xml:space="preserve">in Appendix C.</w:t>
      </w:r>
    </w:p>
    <w:bookmarkEnd w:id="40"/>
    <w:bookmarkStart w:id="41" w:name="Xffebdd1ec8c0ecf4d96f12a8472a97281408367"/>
    <w:p>
      <w:pPr>
        <w:pStyle w:val="Heading2"/>
      </w:pPr>
      <w:r>
        <w:t xml:space="preserve">Appendix B — Data to verify against the primary Annual Report 2024</w:t>
      </w:r>
    </w:p>
    <w:p>
      <w:pPr>
        <w:pStyle w:val="FirstParagraph"/>
      </w:pPr>
      <w:r>
        <w:t xml:space="preserve">These nine points could not be confirmed against the primary PDF in the research environment and should be corroborated in</w:t>
      </w:r>
      <w:r>
        <w:t xml:space="preserve"> </w:t>
      </w:r>
      <w:r>
        <w:rPr>
          <w:iCs/>
          <w:i/>
        </w:rPr>
        <w:t xml:space="preserve">Annual Report for the year ended 31 December 2024</w:t>
      </w:r>
      <w:r>
        <w:t xml:space="preserve"> </w:t>
      </w:r>
      <w:r>
        <w:t xml:space="preserve">before final submission:</w:t>
      </w:r>
    </w:p>
    <w:p>
      <w:pPr>
        <w:numPr>
          <w:ilvl w:val="0"/>
          <w:numId w:val="1007"/>
        </w:numPr>
        <w:pStyle w:val="Compact"/>
      </w:pPr>
      <w:r>
        <w:t xml:space="preserve">Exact FY2024 headcount and number of plants (range 4,000–5,000; 22–24).</w:t>
      </w:r>
    </w:p>
    <w:p>
      <w:pPr>
        <w:numPr>
          <w:ilvl w:val="0"/>
          <w:numId w:val="1007"/>
        </w:numPr>
        <w:pStyle w:val="Compact"/>
      </w:pPr>
      <w:r>
        <w:t xml:space="preserve">Detailed sales split by individual brand and by Global/Regional/Local Priorities.</w:t>
      </w:r>
    </w:p>
    <w:p>
      <w:pPr>
        <w:numPr>
          <w:ilvl w:val="0"/>
          <w:numId w:val="1007"/>
        </w:numPr>
        <w:pStyle w:val="Compact"/>
      </w:pPr>
      <w:r>
        <w:t xml:space="preserve">Exact FY2023 adjusted EBIT (possible source confusion with adjusted EBITDA).</w:t>
      </w:r>
    </w:p>
    <w:p>
      <w:pPr>
        <w:numPr>
          <w:ilvl w:val="0"/>
          <w:numId w:val="1007"/>
        </w:numPr>
        <w:pStyle w:val="Compact"/>
      </w:pPr>
      <w:r>
        <w:t xml:space="preserve">% recyclable packaging, % recycled glass, circular-economy targets.</w:t>
      </w:r>
    </w:p>
    <w:p>
      <w:pPr>
        <w:numPr>
          <w:ilvl w:val="0"/>
          <w:numId w:val="1007"/>
        </w:numPr>
        <w:pStyle w:val="Compact"/>
      </w:pPr>
      <w:r>
        <w:t xml:space="preserve">FY2024 training hours, % women in management, health &amp; safety (LTIR).</w:t>
      </w:r>
    </w:p>
    <w:p>
      <w:pPr>
        <w:numPr>
          <w:ilvl w:val="0"/>
          <w:numId w:val="1007"/>
        </w:numPr>
        <w:pStyle w:val="Compact"/>
      </w:pPr>
      <w:r>
        <w:t xml:space="preserve">Official tonnage of Scope 1/2/3 (figures used are from DitchCarbon, an aggregator derived from Campari reporting).</w:t>
      </w:r>
    </w:p>
    <w:p>
      <w:pPr>
        <w:numPr>
          <w:ilvl w:val="0"/>
          <w:numId w:val="1007"/>
        </w:numPr>
        <w:pStyle w:val="Compact"/>
      </w:pPr>
      <w:r>
        <w:t xml:space="preserve">Formal SBTi validation status.</w:t>
      </w:r>
    </w:p>
    <w:p>
      <w:pPr>
        <w:numPr>
          <w:ilvl w:val="0"/>
          <w:numId w:val="1007"/>
        </w:numPr>
        <w:pStyle w:val="Compact"/>
      </w:pPr>
      <w:r>
        <w:t xml:space="preserve">Campari’s specific 2024 double-materiality matrix and the list of board ESG committees.</w:t>
      </w:r>
    </w:p>
    <w:p>
      <w:pPr>
        <w:numPr>
          <w:ilvl w:val="0"/>
          <w:numId w:val="1007"/>
        </w:numPr>
        <w:pStyle w:val="Compact"/>
      </w:pPr>
      <w:r>
        <w:t xml:space="preserve">Exact frameworks applied in 2024 (GRI vs. ESRS / SASB / TCFD).</w:t>
      </w:r>
    </w:p>
    <w:bookmarkEnd w:id="41"/>
    <w:bookmarkStart w:id="42" w:name="appendix-c-references-public-sources"/>
    <w:p>
      <w:pPr>
        <w:pStyle w:val="Heading2"/>
      </w:pPr>
      <w:r>
        <w:t xml:space="preserve">Appendix C — References (public sources)</w:t>
      </w:r>
    </w:p>
    <w:p>
      <w:pPr>
        <w:numPr>
          <w:ilvl w:val="0"/>
          <w:numId w:val="1008"/>
        </w:numPr>
        <w:pStyle w:val="Compact"/>
      </w:pPr>
      <w:r>
        <w:t xml:space="preserve">Campari Group,</w:t>
      </w:r>
      <w:r>
        <w:t xml:space="preserve"> </w:t>
      </w:r>
      <w:r>
        <w:rPr>
          <w:iCs/>
          <w:i/>
        </w:rPr>
        <w:t xml:space="preserve">2024 Results Press Release</w:t>
      </w:r>
      <w:r>
        <w:t xml:space="preserve"> </w:t>
      </w:r>
      <w:r>
        <w:t xml:space="preserve">— camparigroup.com/sites/default/files/downloads/2024 Results Press Release.pdf</w:t>
      </w:r>
    </w:p>
    <w:p>
      <w:pPr>
        <w:numPr>
          <w:ilvl w:val="0"/>
          <w:numId w:val="1008"/>
        </w:numPr>
        <w:pStyle w:val="Compact"/>
      </w:pPr>
      <w:r>
        <w:t xml:space="preserve">Campari Group,</w:t>
      </w:r>
      <w:r>
        <w:t xml:space="preserve"> </w:t>
      </w:r>
      <w:r>
        <w:rPr>
          <w:iCs/>
          <w:i/>
        </w:rPr>
        <w:t xml:space="preserve">FY2023 Results Press Release &amp; Investor Presentation</w:t>
      </w:r>
      <w:r>
        <w:t xml:space="preserve"> </w:t>
      </w:r>
      <w:r>
        <w:t xml:space="preserve">— camparigroup.com (financial-reports)</w:t>
      </w:r>
    </w:p>
    <w:p>
      <w:pPr>
        <w:numPr>
          <w:ilvl w:val="0"/>
          <w:numId w:val="1008"/>
        </w:numPr>
        <w:pStyle w:val="Compact"/>
      </w:pPr>
      <w:r>
        <w:t xml:space="preserve">Campari Group,</w:t>
      </w:r>
      <w:r>
        <w:t xml:space="preserve"> </w:t>
      </w:r>
      <w:r>
        <w:rPr>
          <w:iCs/>
          <w:i/>
        </w:rPr>
        <w:t xml:space="preserve">Annual Report for the year ended 31 December 2024</w:t>
      </w:r>
      <w:r>
        <w:t xml:space="preserve"> </w:t>
      </w:r>
      <w:r>
        <w:t xml:space="preserve">(primary, to corroborate) — camparigroup.com/en/documents-annual-report-2024</w:t>
      </w:r>
    </w:p>
    <w:p>
      <w:pPr>
        <w:numPr>
          <w:ilvl w:val="0"/>
          <w:numId w:val="1008"/>
        </w:numPr>
        <w:pStyle w:val="Compact"/>
      </w:pPr>
      <w:r>
        <w:t xml:space="preserve">Campari Group — Sustainability / Environment pages — camparigroup.com/en/page/sustainability/environment</w:t>
      </w:r>
    </w:p>
    <w:p>
      <w:pPr>
        <w:numPr>
          <w:ilvl w:val="0"/>
          <w:numId w:val="1008"/>
        </w:numPr>
        <w:pStyle w:val="Compact"/>
      </w:pPr>
      <w:r>
        <w:t xml:space="preserve">Campari Group,</w:t>
      </w:r>
      <w:r>
        <w:t xml:space="preserve"> </w:t>
      </w:r>
      <w:r>
        <w:rPr>
          <w:iCs/>
          <w:i/>
        </w:rPr>
        <w:t xml:space="preserve">Code of Ethics</w:t>
      </w:r>
      <w:r>
        <w:t xml:space="preserve"> </w:t>
      </w:r>
      <w:r>
        <w:t xml:space="preserve">(2004) — camparigroup.com / ecgi.global</w:t>
      </w:r>
    </w:p>
    <w:p>
      <w:pPr>
        <w:numPr>
          <w:ilvl w:val="0"/>
          <w:numId w:val="1008"/>
        </w:numPr>
        <w:pStyle w:val="Compact"/>
      </w:pPr>
      <w:r>
        <w:t xml:space="preserve">Campari Group,</w:t>
      </w:r>
      <w:r>
        <w:t xml:space="preserve"> </w:t>
      </w:r>
      <w:r>
        <w:rPr>
          <w:iCs/>
          <w:i/>
        </w:rPr>
        <w:t xml:space="preserve">Our Culture / values</w:t>
      </w:r>
      <w:r>
        <w:t xml:space="preserve"> </w:t>
      </w:r>
      <w:r>
        <w:t xml:space="preserve">— camparigroup.com/en/page/people/our-culture</w:t>
      </w:r>
    </w:p>
    <w:p>
      <w:pPr>
        <w:numPr>
          <w:ilvl w:val="0"/>
          <w:numId w:val="1008"/>
        </w:numPr>
        <w:pStyle w:val="Compact"/>
      </w:pPr>
      <w:r>
        <w:t xml:space="preserve">Campari Group,</w:t>
      </w:r>
      <w:r>
        <w:t xml:space="preserve"> </w:t>
      </w:r>
      <w:r>
        <w:rPr>
          <w:iCs/>
          <w:i/>
        </w:rPr>
        <w:t xml:space="preserve">Aperol Novi Ligure capacity doubling</w:t>
      </w:r>
      <w:r>
        <w:t xml:space="preserve"> </w:t>
      </w:r>
      <w:r>
        <w:t xml:space="preserve">press release (2024) — camparigroup.com</w:t>
      </w:r>
    </w:p>
    <w:p>
      <w:pPr>
        <w:numPr>
          <w:ilvl w:val="0"/>
          <w:numId w:val="1008"/>
        </w:numPr>
        <w:pStyle w:val="Compact"/>
      </w:pPr>
      <w:r>
        <w:t xml:space="preserve">Courvoisier</w:t>
      </w:r>
      <w:r>
        <w:t xml:space="preserve"> </w:t>
      </w:r>
      <w:r>
        <w:rPr>
          <w:iCs/>
          <w:i/>
        </w:rPr>
        <w:t xml:space="preserve">Closing Press Release</w:t>
      </w:r>
      <w:r>
        <w:t xml:space="preserve"> </w:t>
      </w:r>
      <w:r>
        <w:t xml:space="preserve">(April 2024) — camparigroup.com/sites/default/files/attachments/acquisitions</w:t>
      </w:r>
    </w:p>
    <w:p>
      <w:pPr>
        <w:numPr>
          <w:ilvl w:val="0"/>
          <w:numId w:val="1008"/>
        </w:numPr>
        <w:pStyle w:val="Compact"/>
      </w:pPr>
      <w:r>
        <w:t xml:space="preserve">DitchCarbon — Campari Group GHG inventory aggregation — ditchcarbon.com/organizations/campari-group</w:t>
      </w:r>
    </w:p>
    <w:p>
      <w:pPr>
        <w:numPr>
          <w:ilvl w:val="0"/>
          <w:numId w:val="1008"/>
        </w:numPr>
        <w:pStyle w:val="Compact"/>
      </w:pPr>
      <w:r>
        <w:t xml:space="preserve">The Moodie Davitt Report; The Drinks Business; The Spirits Business — FY2024 results coverage</w:t>
      </w:r>
    </w:p>
    <w:p>
      <w:pPr>
        <w:numPr>
          <w:ilvl w:val="0"/>
          <w:numId w:val="1008"/>
        </w:numPr>
        <w:pStyle w:val="Compact"/>
      </w:pPr>
      <w:r>
        <w:t xml:space="preserve">Course materials, CON 34122 (Sessions 1–8), Prof. Orlando Garciacano C., ITAM, 2026 — for all framework definitions (</w:t>
      </w:r>
      <w:r>
        <w:rPr>
          <w:rStyle w:val="VerbatimChar"/>
        </w:rPr>
        <w:t xml:space="preserve">&lt;IR&gt;</w:t>
      </w:r>
      <w:r>
        <w:t xml:space="preserve">, 6 Capitals, Levers of Control, ABC, relevant costs, CVU, double materiality, IFRS S1/S2, GRI/SASB/TCFD)</w:t>
      </w:r>
    </w:p>
    <w:p>
      <w:r>
        <w:pict>
          <v:rect style="width:0;height:1.5pt" o:hralign="center" o:hrstd="t" o:hr="t"/>
        </w:pict>
      </w:r>
    </w:p>
    <w:p>
      <w:pPr>
        <w:pStyle w:val="FirstParagraph"/>
      </w:pPr>
      <w:r>
        <w:rPr>
          <w:iCs/>
          <w:i/>
        </w:rPr>
        <w:t xml:space="preserve">Word count target: 12–18 pages of content + appendices. This document applies the course frameworks to Campari’s specific, real public data; all illustrative figures are explicitly labelled as assumptions (Appendix A) and all real figures are sourced (Appendix C), in line with the responsible-AI-use and Option-C/D guidance of the rubric.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2026-06-01T22:31:23Z</dcterms:created>
  <dcterms:modified xsi:type="dcterms:W3CDTF">2026-06-01T22:31:23Z</dcterms:modified>
</cp:coreProperties>
</file>

<file path=docProps/custom.xml><?xml version="1.0" encoding="utf-8"?>
<Properties xmlns="http://schemas.openxmlformats.org/officeDocument/2006/custom-properties" xmlns:vt="http://schemas.openxmlformats.org/officeDocument/2006/docPropsVTypes"/>
</file>