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1808c2f36fe3bc2759c5692620e2d54f0bed863"/>
    <w:p>
      <w:pPr>
        <w:pStyle w:val="Heading1"/>
      </w:pPr>
      <w:r>
        <w:t xml:space="preserve">Oral Presentation Outline — Campari Group Final Paper</w:t>
      </w:r>
    </w:p>
    <w:bookmarkStart w:id="20" w:name="X3274e5e0508e8b4d35345f903769ad19bb17147"/>
    <w:p>
      <w:pPr>
        <w:pStyle w:val="Heading3"/>
      </w:pPr>
      <w:r>
        <w:t xml:space="preserve">CON 34122 · Control y Gestión de Costos · Session 12 (10–12 min) · Individual</w:t>
      </w:r>
    </w:p>
    <w:p>
      <w:pPr>
        <w:pStyle w:val="BlockText"/>
      </w:pPr>
      <w:r>
        <w:t xml:space="preserve">Speaker notes for a ~12-slide deck. Timing in brackets. Goal: present the most relevant points of the analysis and the proposals — not read the paper.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Slide 1 — Title [0:30]</w:t>
      </w:r>
      <w:r>
        <w:t xml:space="preserve"> </w:t>
      </w:r>
      <w:r>
        <w:t xml:space="preserve">Integrated Thinking, ESG Costs and the Levers of Control at</w:t>
      </w:r>
      <w:r>
        <w:t xml:space="preserve"> </w:t>
      </w:r>
      <w:r>
        <w:rPr>
          <w:bCs/>
          <w:b/>
        </w:rPr>
        <w:t xml:space="preserve">Campari Group</w:t>
      </w:r>
      <w:r>
        <w:t xml:space="preserve">.</w:t>
      </w:r>
      <w:r>
        <w:t xml:space="preserve"> </w:t>
      </w:r>
      <w:r>
        <w:t xml:space="preserve">Name · ITAM · Prof. Garciacano · June 2026.</w:t>
      </w:r>
      <w:r>
        <w:t xml:space="preserve"> </w:t>
      </w:r>
      <w:r>
        <w:rPr>
          <w:iCs/>
          <w:i/>
        </w:rPr>
        <w:t xml:space="preserve">Option C — public-reporting company.</w:t>
      </w:r>
    </w:p>
    <w:p>
      <w:pPr>
        <w:pStyle w:val="BodyText"/>
      </w:pPr>
      <w:r>
        <w:rPr>
          <w:bCs/>
          <w:b/>
        </w:rPr>
        <w:t xml:space="preserve">Slide 2 — Why Campari? [1:00]</w:t>
      </w:r>
      <w:r>
        <w:t xml:space="preserve"> </w:t>
      </w:r>
      <w:r>
        <w:t xml:space="preserve">- World’s 6th premium spirits player; €3,070m net sales, 57.6% gross margin (FY2024).</w:t>
      </w:r>
      <w:r>
        <w:t xml:space="preserve"> </w:t>
      </w:r>
      <w:r>
        <w:t xml:space="preserve">- The hook:</w:t>
      </w:r>
      <w:r>
        <w:t xml:space="preserve"> </w:t>
      </w:r>
      <w:r>
        <w:rPr>
          <w:bCs/>
          <w:b/>
        </w:rPr>
        <w:t xml:space="preserve">~93% of its carbon footprint is Scope 3</w:t>
      </w:r>
      <w:r>
        <w:t xml:space="preserve"> </w:t>
      </w:r>
      <w:r>
        <w:t xml:space="preserve">(glass + agriculture) — a cost its P&amp;L never shows. Perfect case for the three threads of the course.</w:t>
      </w:r>
      <w:r>
        <w:t xml:space="preserve"> </w:t>
      </w:r>
      <w:r>
        <w:t xml:space="preserve">- One sentence:</w:t>
      </w:r>
      <w:r>
        <w:t xml:space="preserve"> </w:t>
      </w:r>
      <w:r>
        <w:rPr>
          <w:iCs/>
          <w:i/>
        </w:rPr>
        <w:t xml:space="preserve">strong belief in sustainability, but the cost system can’t see its most material ESG cost.</w:t>
      </w:r>
    </w:p>
    <w:p>
      <w:pPr>
        <w:pStyle w:val="BodyText"/>
      </w:pPr>
      <w:r>
        <w:rPr>
          <w:bCs/>
          <w:b/>
        </w:rPr>
        <w:t xml:space="preserve">Slide 3 — The 6 Capitals at Campari [1:30]</w:t>
      </w:r>
      <w:r>
        <w:t xml:space="preserve"> </w:t>
      </w:r>
      <w:r>
        <w:t xml:space="preserve">- Strongest:</w:t>
      </w:r>
      <w:r>
        <w:t xml:space="preserve"> </w:t>
      </w:r>
      <w:r>
        <w:rPr>
          <w:bCs/>
          <w:b/>
        </w:rPr>
        <w:t xml:space="preserve">Intellectual</w:t>
      </w:r>
      <w:r>
        <w:t xml:space="preserve"> </w:t>
      </w:r>
      <w:r>
        <w:t xml:space="preserve">(Aperol/Campari brands) &amp;</w:t>
      </w:r>
      <w:r>
        <w:t xml:space="preserve"> </w:t>
      </w:r>
      <w:r>
        <w:rPr>
          <w:bCs/>
          <w:b/>
        </w:rPr>
        <w:t xml:space="preserve">Financial</w:t>
      </w:r>
      <w:r>
        <w:t xml:space="preserve">.</w:t>
      </w:r>
      <w:r>
        <w:t xml:space="preserve"> </w:t>
      </w:r>
      <w:r>
        <w:t xml:space="preserve">- Most exposed:</w:t>
      </w:r>
      <w:r>
        <w:t xml:space="preserve"> </w:t>
      </w:r>
      <w:r>
        <w:rPr>
          <w:bCs/>
          <w:b/>
        </w:rPr>
        <w:t xml:space="preserve">Natural</w:t>
      </w:r>
      <w:r>
        <w:t xml:space="preserve"> </w:t>
      </w:r>
      <w:r>
        <w:t xml:space="preserve">(Scope 3 glass &amp; agriculture) &amp;</w:t>
      </w:r>
      <w:r>
        <w:t xml:space="preserve"> </w:t>
      </w:r>
      <w:r>
        <w:rPr>
          <w:bCs/>
          <w:b/>
        </w:rPr>
        <w:t xml:space="preserve">Social</w:t>
      </w:r>
      <w:r>
        <w:t xml:space="preserve"> </w:t>
      </w:r>
      <w:r>
        <w:t xml:space="preserve">(responsible drinking).</w:t>
      </w:r>
      <w:r>
        <w:t xml:space="preserve"> </w:t>
      </w:r>
      <w:r>
        <w:t xml:space="preserve">- Visual: the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Iceberg of Costs</w:t>
      </w:r>
      <w:r>
        <w:rPr>
          <w:bCs/>
          <w:b/>
        </w:rPr>
        <w:t xml:space="preserve">”</w:t>
      </w:r>
      <w:r>
        <w:t xml:space="preserve"> </w:t>
      </w:r>
      <w:r>
        <w:t xml:space="preserve">— financial above the waterline; the biggest submerged block = Scope 3 carbon in glass.</w:t>
      </w:r>
    </w:p>
    <w:p>
      <w:pPr>
        <w:pStyle w:val="BodyText"/>
      </w:pPr>
      <w:r>
        <w:rPr>
          <w:bCs/>
          <w:b/>
        </w:rPr>
        <w:t xml:space="preserve">Slide 4 — Current cost system &amp; the gap [1:00]</w:t>
      </w:r>
      <w:r>
        <w:t xml:space="preserve"> </w:t>
      </w:r>
      <w:r>
        <w:t xml:space="preserve">- Hybrid process/batch manufacturer; ~42% of sales is COGS,</w:t>
      </w:r>
      <w:r>
        <w:t xml:space="preserve"> </w:t>
      </w:r>
      <w:r>
        <w:rPr>
          <w:bCs/>
          <w:b/>
        </w:rPr>
        <w:t xml:space="preserve">glass-led materials dominate</w:t>
      </w:r>
      <w:r>
        <w:t xml:space="preserve">, low direct-labour share.</w:t>
      </w:r>
      <w:r>
        <w:t xml:space="preserve"> </w:t>
      </w:r>
      <w:r>
        <w:t xml:space="preserve">- That is</w:t>
      </w:r>
      <w:r>
        <w:t xml:space="preserve"> </w:t>
      </w:r>
      <w:r>
        <w:rPr>
          <w:iCs/>
          <w:i/>
        </w:rPr>
        <w:t xml:space="preserve">exactly</w:t>
      </w:r>
      <w:r>
        <w:t xml:space="preserve"> </w:t>
      </w:r>
      <w:r>
        <w:t xml:space="preserve">the Session-8 condition where volumetric overhead allocation</w:t>
      </w:r>
      <w:r>
        <w:t xml:space="preserve"> </w:t>
      </w:r>
      <w:r>
        <w:rPr>
          <w:bCs/>
          <w:b/>
        </w:rPr>
        <w:t xml:space="preserve">distorts</w:t>
      </w:r>
      <w:r>
        <w:t xml:space="preserve"> </w:t>
      </w:r>
      <w:r>
        <w:t xml:space="preserve">product costs.</w:t>
      </w:r>
      <w:r>
        <w:t xml:space="preserve"> </w:t>
      </w:r>
      <w:r>
        <w:t xml:space="preserve">- Campari pays the</w:t>
      </w:r>
      <w:r>
        <w:t xml:space="preserve"> </w:t>
      </w:r>
      <w:r>
        <w:rPr>
          <w:bCs/>
          <w:b/>
        </w:rPr>
        <w:t xml:space="preserve">tariff</w:t>
      </w:r>
      <w:r>
        <w:t xml:space="preserve"> </w:t>
      </w:r>
      <w:r>
        <w:t xml:space="preserve">for water/energy; it never books the</w:t>
      </w:r>
      <w:r>
        <w:t xml:space="preserve"> </w:t>
      </w:r>
      <w:r>
        <w:rPr>
          <w:bCs/>
          <w:b/>
        </w:rPr>
        <w:t xml:space="preserve">real cost</w:t>
      </w:r>
      <w:r>
        <w:t xml:space="preserve"> </w:t>
      </w:r>
      <w:r>
        <w:t xml:space="preserve">of ~820 kt Scope 3 CO₂e.</w:t>
      </w:r>
    </w:p>
    <w:p>
      <w:pPr>
        <w:pStyle w:val="BodyText"/>
      </w:pPr>
      <w:r>
        <w:rPr>
          <w:bCs/>
          <w:b/>
        </w:rPr>
        <w:t xml:space="preserve">Slide 5 — Levers of Control diagnosis [1:30]</w:t>
      </w:r>
      <w:r>
        <w:t xml:space="preserve"> </w:t>
      </w:r>
      <w:r>
        <w:t xml:space="preserve">Bar chart, strongest → weakest: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Belief = STRONG</w:t>
      </w:r>
      <w:r>
        <w:t xml:space="preserve"> </w:t>
      </w:r>
      <w:r>
        <w:t xml:space="preserve">(Passion/Integrity/Pragmatism/Together; Code of Ethics 2004; lived, not decorative).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Interactive = EMERGING.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Boundary = MODERATE</w:t>
      </w:r>
      <w:r>
        <w:t xml:space="preserve"> </w:t>
      </w:r>
      <w:r>
        <w:t xml:space="preserve">(no validated SBTi; supply-chain limits under-formalised).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Diagnostic-ESG = WEAK ← the core gap.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The gap between strong Belief and weak Diagnostic = the firm’s main transition/reputational risk.</w:t>
      </w:r>
    </w:p>
    <w:p>
      <w:pPr>
        <w:pStyle w:val="BodyText"/>
      </w:pPr>
      <w:r>
        <w:rPr>
          <w:bCs/>
          <w:b/>
        </w:rPr>
        <w:t xml:space="preserve">Slide 6 — Distortion: cross-subsidisation [1:00]</w:t>
      </w:r>
      <w:r>
        <w:t xml:space="preserve"> </w:t>
      </w:r>
      <w:r>
        <w:t xml:space="preserve">- 50+ brands, Aperol (high volume) → craft tail (low volume).</w:t>
      </w:r>
      <w:r>
        <w:t xml:space="preserve"> </w:t>
      </w:r>
      <w:r>
        <w:t xml:space="preserve">- Hypothesis: aperitifs</w:t>
      </w:r>
      <w:r>
        <w:t xml:space="preserve"> </w:t>
      </w:r>
      <w:r>
        <w:rPr>
          <w:bCs/>
          <w:b/>
        </w:rPr>
        <w:t xml:space="preserve">over-absorb</w:t>
      </w:r>
      <w:r>
        <w:t xml:space="preserve"> </w:t>
      </w:r>
      <w:r>
        <w:t xml:space="preserve">overhead, craft tail</w:t>
      </w:r>
      <w:r>
        <w:t xml:space="preserve"> </w:t>
      </w:r>
      <w:r>
        <w:rPr>
          <w:bCs/>
          <w:b/>
        </w:rPr>
        <w:t xml:space="preserve">under-absorbs</w:t>
      </w:r>
      <w:r>
        <w:t xml:space="preserve"> </w:t>
      </w:r>
      <w:r>
        <w:t xml:space="preserve">→ flagship looks</w:t>
      </w:r>
      <w:r>
        <w:t xml:space="preserve"> </w:t>
      </w:r>
      <w:r>
        <w:rPr>
          <w:iCs/>
          <w:i/>
        </w:rPr>
        <w:t xml:space="preserve">less</w:t>
      </w:r>
      <w:r>
        <w:t xml:space="preserve"> </w:t>
      </w:r>
      <w:r>
        <w:t xml:space="preserve">profitable than it is.</w:t>
      </w:r>
      <w:r>
        <w:t xml:space="preserve"> </w:t>
      </w:r>
      <w:r>
        <w:t xml:space="preserve">- Illustrative ABC shift €18m (labelled assumption).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ABC redistributes, it doesn’t invent cost.</w:t>
      </w:r>
      <w:r>
        <w:rPr>
          <w:iCs/>
          <w:i/>
        </w:rPr>
        <w:t xml:space="preserve">”</w:t>
      </w:r>
    </w:p>
    <w:p>
      <w:pPr>
        <w:pStyle w:val="BodyText"/>
      </w:pPr>
      <w:r>
        <w:rPr>
          <w:bCs/>
          <w:b/>
        </w:rPr>
        <w:t xml:space="preserve">Slide 7 — Relevant costs: the Novi Ligure decision [1:00]</w:t>
      </w:r>
      <w:r>
        <w:t xml:space="preserve"> </w:t>
      </w:r>
      <w:r>
        <w:t xml:space="preserve">- Real 2024 decision:</w:t>
      </w:r>
      <w:r>
        <w:t xml:space="preserve"> </w:t>
      </w:r>
      <w:r>
        <w:rPr>
          <w:bCs/>
          <w:b/>
        </w:rPr>
        <w:t xml:space="preserve">~€75m to double Aperol capacity.</w:t>
      </w:r>
      <w:r>
        <w:t xml:space="preserve"> </w:t>
      </w:r>
      <w:r>
        <w:t xml:space="preserve">- Make vs. buy: make saves ~€5m (illustrative) — but</w:t>
      </w:r>
      <w:r>
        <w:t xml:space="preserve"> </w:t>
      </w:r>
      <w:r>
        <w:rPr>
          <w:bCs/>
          <w:b/>
        </w:rPr>
        <w:t xml:space="preserve">opportunity cost</w:t>
      </w:r>
      <w:r>
        <w:t xml:space="preserve"> </w:t>
      </w:r>
      <w:r>
        <w:t xml:space="preserve">+</w:t>
      </w:r>
      <w:r>
        <w:t xml:space="preserve"> </w:t>
      </w:r>
      <w:r>
        <w:rPr>
          <w:bCs/>
          <w:b/>
        </w:rPr>
        <w:t xml:space="preserve">sunk-cost discipline</w:t>
      </w:r>
      <w:r>
        <w:t xml:space="preserve"> </w:t>
      </w:r>
      <w:r>
        <w:t xml:space="preserve">refine it.</w:t>
      </w:r>
      <w:r>
        <w:t xml:space="preserve"> </w:t>
      </w:r>
      <w:r>
        <w:t xml:space="preserve">- ESG twist: making keeps it in clean</w:t>
      </w:r>
      <w:r>
        <w:t xml:space="preserve"> </w:t>
      </w:r>
      <w:r>
        <w:rPr>
          <w:bCs/>
          <w:b/>
        </w:rPr>
        <w:t xml:space="preserve">Scope 1+2</w:t>
      </w:r>
      <w:r>
        <w:t xml:space="preserve">; the cost answer and the carbon answer</w:t>
      </w:r>
      <w:r>
        <w:t xml:space="preserve"> </w:t>
      </w:r>
      <w:r>
        <w:rPr>
          <w:bCs/>
          <w:b/>
        </w:rPr>
        <w:t xml:space="preserve">agree</w:t>
      </w:r>
      <w:r>
        <w:t xml:space="preserve"> </w:t>
      </w:r>
      <w:r>
        <w:t xml:space="preserve">— only the integrated view sees it.</w:t>
      </w:r>
    </w:p>
    <w:p>
      <w:pPr>
        <w:pStyle w:val="BodyText"/>
      </w:pPr>
      <w:r>
        <w:rPr>
          <w:bCs/>
          <w:b/>
        </w:rPr>
        <w:t xml:space="preserve">Slide 8 — Materiality: where to act [1:00]</w:t>
      </w:r>
      <w:r>
        <w:t xml:space="preserve"> </w:t>
      </w:r>
      <w:r>
        <w:t xml:space="preserve">- Double-materiality table:</w:t>
      </w:r>
      <w:r>
        <w:t xml:space="preserve"> </w:t>
      </w:r>
      <w:r>
        <w:rPr>
          <w:bCs/>
          <w:b/>
        </w:rPr>
        <w:t xml:space="preserve">Scope 3 / glass &amp; agriculture = HIGH financial AND HIGH impact</w:t>
      </w:r>
      <w:r>
        <w:t xml:space="preserve"> </w:t>
      </w:r>
      <w:r>
        <w:t xml:space="preserve">→ most material, most urgent.</w:t>
      </w:r>
      <w:r>
        <w:t xml:space="preserve"> </w:t>
      </w:r>
      <w:r>
        <w:t xml:space="preserve">- Contrast with the course’s Disney cases (Scope 1+2 dominated) — at a brand-builder, the action is in</w:t>
      </w:r>
      <w:r>
        <w:t xml:space="preserve"> </w:t>
      </w:r>
      <w:r>
        <w:rPr>
          <w:bCs/>
          <w:b/>
        </w:rPr>
        <w:t xml:space="preserve">Scope 3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Slide 9 — Proposals by lever (1) [1:00]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Belief (reinforce):</w:t>
      </w:r>
      <w:r>
        <w:t xml:space="preserve"> </w:t>
      </w:r>
      <w:r>
        <w:t xml:space="preserve">time-bound Scope-3 purpose; frame decarbonisation as</w:t>
      </w:r>
      <w:r>
        <w:t xml:space="preserve"> </w:t>
      </w:r>
      <w:r>
        <w:rPr>
          <w:iCs/>
          <w:i/>
        </w:rPr>
        <w:t xml:space="preserve">Integrity</w:t>
      </w:r>
      <w:r>
        <w:t xml:space="preserve"> </w:t>
      </w:r>
      <w:r>
        <w:t xml:space="preserve">+</w:t>
      </w:r>
      <w:r>
        <w:t xml:space="preserve"> </w:t>
      </w:r>
      <w:r>
        <w:rPr>
          <w:iCs/>
          <w:i/>
        </w:rPr>
        <w:t xml:space="preserve">Together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Boundary (fix):</w:t>
      </w:r>
      <w:r>
        <w:t xml:space="preserve"> </w:t>
      </w:r>
      <w:r>
        <w:t xml:space="preserve">validate</w:t>
      </w:r>
      <w:r>
        <w:t xml:space="preserve"> </w:t>
      </w:r>
      <w:r>
        <w:rPr>
          <w:bCs/>
          <w:b/>
        </w:rPr>
        <w:t xml:space="preserve">SBTi</w:t>
      </w:r>
      <w:r>
        <w:t xml:space="preserve">; glass-carbon ceiling, recycled-content floor with budgets; supplier ESG limits (GRI 308/414, SASB).</w:t>
      </w:r>
    </w:p>
    <w:p>
      <w:pPr>
        <w:pStyle w:val="BodyText"/>
      </w:pPr>
      <w:r>
        <w:rPr>
          <w:bCs/>
          <w:b/>
        </w:rPr>
        <w:t xml:space="preserve">Slide 10 — Proposals by lever (2): the core fix [1:30]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Diagnostic (weakest):</w:t>
      </w:r>
      <w:r>
        <w:t xml:space="preserve"> </w:t>
      </w:r>
      <w:r>
        <w:t xml:space="preserve">1. Pilot</w:t>
      </w:r>
      <w:r>
        <w:t xml:space="preserve"> </w:t>
      </w:r>
      <w:r>
        <w:rPr>
          <w:bCs/>
          <w:b/>
        </w:rPr>
        <w:t xml:space="preserve">ABC + ABC Ambiental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carbon-adjusted margin per House</w:t>
      </w:r>
      <w:r>
        <w:t xml:space="preserve"> </w:t>
      </w:r>
      <w:r>
        <w:t xml:space="preserve">(the number Campari doesn’t compute).</w:t>
      </w:r>
      <w:r>
        <w:t xml:space="preserve"> </w:t>
      </w:r>
      <w:r>
        <w:t xml:space="preserve">2. Put</w:t>
      </w:r>
      <w:r>
        <w:t xml:space="preserve"> </w:t>
      </w:r>
      <w:r>
        <w:rPr>
          <w:bCs/>
          <w:b/>
        </w:rPr>
        <w:t xml:space="preserve">3–5 ESG CPVs</w:t>
      </w:r>
      <w:r>
        <w:t xml:space="preserve"> </w:t>
      </w:r>
      <w:r>
        <w:t xml:space="preserve">on the monthly dashboard</w:t>
      </w:r>
      <w:r>
        <w:t xml:space="preserve"> </w:t>
      </w:r>
      <w:r>
        <w:rPr>
          <w:iCs/>
          <w:i/>
        </w:rPr>
        <w:t xml:space="preserve">next to EBITDA</w:t>
      </w:r>
      <w:r>
        <w:t xml:space="preserve">, reviewed</w:t>
      </w:r>
      <w:r>
        <w:t xml:space="preserve"> </w:t>
      </w:r>
      <w:r>
        <w:rPr>
          <w:bCs/>
          <w:b/>
        </w:rPr>
        <w:t xml:space="preserve">by exception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Interactive:</w:t>
      </w:r>
      <w:r>
        <w:t xml:space="preserve"> </w:t>
      </w:r>
      <w:r>
        <w:t xml:space="preserve">quarterly strategic ESG review; carbon-price scenarios (€40/€80/€200).</w:t>
      </w:r>
    </w:p>
    <w:p>
      <w:pPr>
        <w:pStyle w:val="BodyText"/>
      </w:pPr>
      <w:r>
        <w:rPr>
          <w:bCs/>
          <w:b/>
        </w:rPr>
        <w:t xml:space="preserve">Slide 11 — Roadmap [1:00]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0–6m:</w:t>
      </w:r>
      <w:r>
        <w:t xml:space="preserve"> </w:t>
      </w:r>
      <w:r>
        <w:t xml:space="preserve">ESG CPVs live; ABC pilot; purpose statement.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6–18m:</w:t>
      </w:r>
      <w:r>
        <w:t xml:space="preserve"> </w:t>
      </w:r>
      <w:r>
        <w:t xml:space="preserve">carbon-adjusted margins; SBTi; boundary budgets.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18m–3y:</w:t>
      </w:r>
      <w:r>
        <w:t xml:space="preserve"> </w:t>
      </w:r>
      <w:r>
        <w:t xml:space="preserve">group-wide ABC; internal carbon price; quarterly interactive review.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3–5y:</w:t>
      </w:r>
      <w:r>
        <w:t xml:space="preserve"> </w:t>
      </w:r>
      <w:r>
        <w:t xml:space="preserve">carbon-adjusted P&amp;L by House; CSRD/ESRS + IFRS S1/S2.</w:t>
      </w:r>
    </w:p>
    <w:p>
      <w:pPr>
        <w:pStyle w:val="BodyText"/>
      </w:pPr>
      <w:r>
        <w:rPr>
          <w:bCs/>
          <w:b/>
        </w:rPr>
        <w:t xml:space="preserve">Slide 12 — Close [0:30]</w:t>
      </w:r>
      <w:r>
        <w:t xml:space="preserve"> </w:t>
      </w:r>
      <w:r>
        <w:rPr>
          <w:iCs/>
          <w:i/>
        </w:rPr>
        <w:t xml:space="preserve">From a report to a management practice: a Campari that can cost, steer and report the carbon in every bottle — building iconic brands AND superior returns, integrated.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Q&amp;A anticipation:</w:t>
      </w:r>
      <w:r>
        <w:t xml:space="preserve"> </w:t>
      </w:r>
      <w:r>
        <w:t xml:space="preserve">(1) Why assumptions? — granular cost data isn’t public; all figures are labelled and built from real anchors (the rubric’s Option-C posture). (2) Isn’t Scope 1+2 already great? — yes, that’s the point: residual action is in Scope 3. (3) Is ABC worth it here? — the Session-8 checklist (diversity, high overhead, mix decisions) is fully met.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2026-06-01T22:31:42Z</dcterms:created>
  <dcterms:modified xsi:type="dcterms:W3CDTF">2026-06-01T22:31:42Z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