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WELCOME PACK v0.3 (HR)</w:t>
      </w:r>
    </w:p>
    <w:p>
      <w:r>
        <w:t>Dobrodošli u NAŠU TVRTKU! Ovaj paket čitaš prije nego zakoračiš u halu.</w:t>
        <w:br/>
        <w:t>Na jednome mjestu saznaš:</w:t>
        <w:br/>
        <w:t>1. Kako zaraditi više – profit‑share.</w:t>
        <w:br/>
        <w:t>2. Kako ostati siguran – osnovna pravila PPE‑a, QC‑a i evakuacije.</w:t>
        <w:br/>
        <w:t>3. Kako koristiti radni nalog – i kada dobivaš novac.</w:t>
      </w:r>
    </w:p>
    <w:p>
      <w:pPr>
        <w:pStyle w:val="Heading1"/>
      </w:pPr>
      <w:r>
        <w:t>1. Naša misija i vrijednosti</w:t>
      </w:r>
    </w:p>
    <w:p>
      <w:r>
        <w:t>Misija: Izgraditi sigurne, profitabilne projekte u kojima i radnik i vlasnik pobjeđuju.</w:t>
      </w:r>
    </w:p>
    <w:p>
      <w:r>
        <w:t>Vrijednosti:</w:t>
        <w:br/>
        <w:t>• Sigurnost je uvijek #1.</w:t>
        <w:br/>
        <w:t>• Poštena raspodjela dobiti (radnik vidi učinak, dijeli profit).</w:t>
        <w:br/>
        <w:t>• Kvaliteta bez kompromisa – reklamacija uništava maržu.</w:t>
        <w:br/>
        <w:t>• Učenje i rast – svaka greška je podatak, ne kazna.</w:t>
      </w:r>
    </w:p>
    <w:p>
      <w:pPr>
        <w:pStyle w:val="Heading1"/>
      </w:pPr>
      <w:r>
        <w:t>2. Kako zarađuješ više</w:t>
      </w:r>
    </w:p>
    <w:p>
      <w:pPr>
        <w:pStyle w:val="Heading2"/>
      </w:pPr>
      <w:r>
        <w:t>2.1 Mjesečni saldo – od crvenog do zelenog</w:t>
      </w:r>
    </w:p>
    <w:p>
      <w:r>
        <w:t>Svaki 1. u mjesecu tvoj saldo kreće u minusu (crveno) za iznos bruto minimalca (plus trošak stana/režija samo za strane radnike kojima to plaća firma). Svakim zatvorenim nalogom (QC ✅ + fotke) saldo raste. Kad dođeš do nule, prelaziš u crno – pokrio si bazu. Sve iznad nule je prava zarada (zeleno).</w:t>
      </w:r>
    </w:p>
    <w:tbl>
      <w:tblPr>
        <w:tblStyle w:val="TableGrid"/>
        <w:tblW w:type="auto" w:w="0"/>
        <w:tblLook w:firstColumn="1" w:firstRow="1" w:lastColumn="0" w:lastRow="0" w:noHBand="0" w:noVBand="1" w:val="04A0"/>
      </w:tblPr>
      <w:tblGrid>
        <w:gridCol w:w="2880"/>
        <w:gridCol w:w="2880"/>
        <w:gridCol w:w="2880"/>
      </w:tblGrid>
      <w:tr>
        <w:tc>
          <w:tcPr>
            <w:tcW w:type="dxa" w:w="2880"/>
          </w:tcPr>
          <w:p>
            <w:r>
              <w:t>Faza</w:t>
            </w:r>
          </w:p>
        </w:tc>
        <w:tc>
          <w:tcPr>
            <w:tcW w:type="dxa" w:w="2880"/>
          </w:tcPr>
          <w:p>
            <w:r>
              <w:t>Boja</w:t>
            </w:r>
          </w:p>
        </w:tc>
        <w:tc>
          <w:tcPr>
            <w:tcW w:type="dxa" w:w="2880"/>
          </w:tcPr>
          <w:p>
            <w:r>
              <w:t>Što znači</w:t>
            </w:r>
          </w:p>
        </w:tc>
      </w:tr>
      <w:tr>
        <w:tc>
          <w:tcPr>
            <w:tcW w:type="dxa" w:w="2880"/>
          </w:tcPr>
          <w:p>
            <w:r>
              <w:t>&lt; 0 €</w:t>
            </w:r>
          </w:p>
        </w:tc>
        <w:tc>
          <w:tcPr>
            <w:tcW w:type="dxa" w:w="2880"/>
          </w:tcPr>
          <w:p>
            <w:r>
              <w:t>🔴</w:t>
            </w:r>
          </w:p>
        </w:tc>
        <w:tc>
          <w:tcPr>
            <w:tcW w:type="dxa" w:w="2880"/>
          </w:tcPr>
          <w:p>
            <w:r>
              <w:t>Još nisi pokrio svoju plaću</w:t>
            </w:r>
          </w:p>
        </w:tc>
      </w:tr>
      <w:tr>
        <w:tc>
          <w:tcPr>
            <w:tcW w:type="dxa" w:w="2880"/>
          </w:tcPr>
          <w:p>
            <w:r>
              <w:t>0 € – +minimalac</w:t>
            </w:r>
          </w:p>
        </w:tc>
        <w:tc>
          <w:tcPr>
            <w:tcW w:type="dxa" w:w="2880"/>
          </w:tcPr>
          <w:p>
            <w:r>
              <w:t>⚫</w:t>
            </w:r>
          </w:p>
        </w:tc>
        <w:tc>
          <w:tcPr>
            <w:tcW w:type="dxa" w:w="2880"/>
          </w:tcPr>
          <w:p>
            <w:r>
              <w:t>Na sigurnom si</w:t>
            </w:r>
          </w:p>
        </w:tc>
      </w:tr>
      <w:tr>
        <w:tc>
          <w:tcPr>
            <w:tcW w:type="dxa" w:w="2880"/>
          </w:tcPr>
          <w:p>
            <w:r>
              <w:t>&gt; minimalac</w:t>
            </w:r>
          </w:p>
        </w:tc>
        <w:tc>
          <w:tcPr>
            <w:tcW w:type="dxa" w:w="2880"/>
          </w:tcPr>
          <w:p>
            <w:r>
              <w:t>🟢</w:t>
            </w:r>
          </w:p>
        </w:tc>
        <w:tc>
          <w:tcPr>
            <w:tcW w:type="dxa" w:w="2880"/>
          </w:tcPr>
          <w:p>
            <w:r>
              <w:t>Zarađuješ profit‑share</w:t>
            </w:r>
          </w:p>
        </w:tc>
      </w:tr>
    </w:tbl>
    <w:p>
      <w:pPr>
        <w:pStyle w:val="Heading2"/>
      </w:pPr>
      <w:r>
        <w:t>2.2 Profit‑share formula 50‑30‑20</w:t>
      </w:r>
    </w:p>
    <w:tbl>
      <w:tblPr>
        <w:tblStyle w:val="LightList"/>
        <w:tblW w:type="auto" w:w="0"/>
        <w:tblLook w:firstColumn="1" w:firstRow="1" w:lastColumn="0" w:lastRow="0" w:noHBand="0" w:noVBand="1" w:val="04A0"/>
      </w:tblPr>
      <w:tblGrid>
        <w:gridCol w:w="2880"/>
        <w:gridCol w:w="2880"/>
        <w:gridCol w:w="2880"/>
      </w:tblGrid>
      <w:tr>
        <w:tc>
          <w:tcPr>
            <w:tcW w:type="dxa" w:w="2880"/>
          </w:tcPr>
          <w:p>
            <w:r>
              <w:t>Komponenta</w:t>
            </w:r>
          </w:p>
        </w:tc>
        <w:tc>
          <w:tcPr>
            <w:tcW w:type="dxa" w:w="2880"/>
          </w:tcPr>
          <w:p>
            <w:r>
              <w:t>Postotak</w:t>
            </w:r>
          </w:p>
        </w:tc>
        <w:tc>
          <w:tcPr>
            <w:tcW w:type="dxa" w:w="2880"/>
          </w:tcPr>
          <w:p>
            <w:r>
              <w:t>Što pokriva</w:t>
            </w:r>
          </w:p>
        </w:tc>
      </w:tr>
      <w:tr>
        <w:tc>
          <w:tcPr>
            <w:tcW w:type="dxa" w:w="2880"/>
          </w:tcPr>
          <w:p>
            <w:r>
              <w:t>Trošak projekta</w:t>
            </w:r>
          </w:p>
        </w:tc>
        <w:tc>
          <w:tcPr>
            <w:tcW w:type="dxa" w:w="2880"/>
          </w:tcPr>
          <w:p>
            <w:r>
              <w:t>50 %</w:t>
            </w:r>
          </w:p>
        </w:tc>
        <w:tc>
          <w:tcPr>
            <w:tcW w:type="dxa" w:w="2880"/>
          </w:tcPr>
          <w:p>
            <w:r>
              <w:t>Materijal, strojevi, režije</w:t>
            </w:r>
          </w:p>
        </w:tc>
      </w:tr>
      <w:tr>
        <w:tc>
          <w:tcPr>
            <w:tcW w:type="dxa" w:w="2880"/>
          </w:tcPr>
          <w:p>
            <w:r>
              <w:t>Fond radnika</w:t>
            </w:r>
          </w:p>
        </w:tc>
        <w:tc>
          <w:tcPr>
            <w:tcW w:type="dxa" w:w="2880"/>
          </w:tcPr>
          <w:p>
            <w:r>
              <w:t>30 %</w:t>
            </w:r>
          </w:p>
        </w:tc>
        <w:tc>
          <w:tcPr>
            <w:tcW w:type="dxa" w:w="2880"/>
          </w:tcPr>
          <w:p>
            <w:r>
              <w:t>Dijeli se prema učinku (sati × koef.)</w:t>
            </w:r>
          </w:p>
        </w:tc>
      </w:tr>
      <w:tr>
        <w:tc>
          <w:tcPr>
            <w:tcW w:type="dxa" w:w="2880"/>
          </w:tcPr>
          <w:p>
            <w:r>
              <w:t>Profit firme</w:t>
            </w:r>
          </w:p>
        </w:tc>
        <w:tc>
          <w:tcPr>
            <w:tcW w:type="dxa" w:w="2880"/>
          </w:tcPr>
          <w:p>
            <w:r>
              <w:t>20 %</w:t>
            </w:r>
          </w:p>
        </w:tc>
        <w:tc>
          <w:tcPr>
            <w:tcW w:type="dxa" w:w="2880"/>
          </w:tcPr>
          <w:p>
            <w:r>
              <w:t>Investicije, rizik, razvoj</w:t>
            </w:r>
          </w:p>
        </w:tc>
      </w:tr>
    </w:tbl>
    <w:p>
      <w:r>
        <w:t>Fond radnika se dijeli prema koeficijentu zvanja (Junior 0,8 · Mid 1,0 · Senior 1,2).</w:t>
      </w:r>
    </w:p>
    <w:p>
      <w:r>
        <w:t>Isplata se aktivira tek kad projekt pokrije 100 % troška. Tada se fond radnika isplaćuje na idućoj plaći.</w:t>
      </w:r>
    </w:p>
    <w:p>
      <w:r>
        <w:t>Teži mjesec? – Varijabla 50‑30‑20 ide u korist radnika.</w:t>
        <w:br/>
        <w:t>Ako nakon redovnog dijeljenja "30 %" fond radnika ne pokrije ciljanu plaću (bruto minimalac + dogovoreni bonus), uzimamo dio od "20 %" profita firme i prebacujemo ga radnicima sve dok ne dosegnu cilj. Tek ostatak ide firmi. Na KPI‑TV pojavit će se poruka FIRMA BOOST kad god se ova pomoć uključi, da znaš da te sustav podržava u lošijem mjesecu.</w:t>
      </w:r>
    </w:p>
    <w:p>
      <w:r>
        <w:t>Brzi primjer:</w:t>
        <w:br/>
        <w:t>Ako projekt zaradi 10 000 € nakon troškova:</w:t>
        <w:br/>
        <w:t>• 3 000 € ide u fond radnika</w:t>
        <w:br/>
        <w:t>• 2 000 € ostaje firmi</w:t>
        <w:br/>
        <w:t>• 5 000 € već je pokrilo troškove</w:t>
        <w:br/>
        <w:t>• (MC 1 500 € neto svakog člana tima već je pokriveno unutar 50 % troška)</w:t>
      </w:r>
    </w:p>
    <w:p>
      <w:pPr>
        <w:pStyle w:val="Heading2"/>
      </w:pPr>
      <w:r>
        <w:t>2.3 Reklamacije i posljedice</w:t>
      </w:r>
    </w:p>
    <w:p>
      <w:r>
        <w:t>Reklamacija (greška) ⇒ tim odmah plaća 25 – 30 % svih troškova ponovnog rada (materijal + sati + energija + teren).</w:t>
        <w:br/>
        <w:t>• Lakirnica: krivo ofarban blatobran – fond lakirera ide u minus za 25‑30 % tog iznosa.</w:t>
        <w:br/>
        <w:t>• Bravarija: promašena sekcija ograde – fond bravara pada jednako.</w:t>
        <w:br/>
        <w:t>Saldo ostaje u crvenom dok se greška ne popravi i klijent potvrdi da je OK; ostatak troška pokriva firma.</w:t>
      </w:r>
    </w:p>
    <w:p>
      <w:pPr>
        <w:pStyle w:val="Heading1"/>
      </w:pPr>
      <w:r>
        <w:t>3. Osnove sigurnosti</w:t>
      </w:r>
    </w:p>
    <w:p>
      <w:r>
        <w:t>1. PPE – kaciga, zaštitne naočale i cipele uvijek.</w:t>
        <w:br/>
        <w:t>2. Toolbox Talk – ponedjeljak 08:00 – 08:15 (obavezno prisustvo).</w:t>
        <w:br/>
        <w:t>3. QC‑checklista – radni nalog blokiran dok sve točke nisu ✅.</w:t>
        <w:br/>
        <w:t>4. Evakuacija – kad čuješ alarm, ostavi alat i slijedi zelene strelice.</w:t>
      </w:r>
    </w:p>
    <w:p>
      <w:pPr>
        <w:pStyle w:val="Heading1"/>
      </w:pPr>
      <w:r>
        <w:t>4. Brzi vodič kroz radni nalog</w:t>
      </w:r>
    </w:p>
    <w:p>
      <w:r>
        <w:t>1. Login na ERP kiosku.</w:t>
        <w:br/>
        <w:t>2. Klik “Što sam radio danas?” i odaberi nalog.</w:t>
        <w:br/>
        <w:t>3. Na kraju posla QC lista + 3 fotke “prije / poslije”.</w:t>
      </w:r>
    </w:p>
    <w:p>
      <w:pPr>
        <w:pStyle w:val="Heading1"/>
      </w:pPr>
      <w:r>
        <w:t>5. Potpis izjave</w:t>
      </w:r>
    </w:p>
    <w:p>
      <w:r>
        <w:t>Na kraju čitanja uzmi tiskani primjerak ove izjave, potpiši ga kemijskom i predaj voditelju smjene. Potpisani papir ide u registrator „Potpisi radnika” i čuva se najmanje 5 godina.</w:t>
        <w:br/>
        <w:t>Bez potpisanog papira nema pristupa radnom nalogu.</w:t>
      </w:r>
    </w:p>
    <w:p>
      <w:r>
        <w:t>Datum: 2025-07-26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