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Ubuntu" w:hAnsi="Ubuntu"/>
          <w:sz w:val="28"/>
          <w:szCs w:val="28"/>
        </w:rPr>
      </w:pPr>
      <w:bookmarkStart w:id="0" w:name="docs-internal-guid-ad82042d-7fff-bd44-60"/>
      <w:bookmarkEnd w:id="0"/>
      <w:r>
        <w:drawing>
          <wp:anchor behindDoc="0" distT="0" distB="0" distL="0" distR="0" simplePos="0" locked="0" layoutInCell="1" allowOverlap="1" relativeHeight="5">
            <wp:simplePos x="0" y="0"/>
            <wp:positionH relativeFrom="page">
              <wp:posOffset>1123950</wp:posOffset>
            </wp:positionH>
            <wp:positionV relativeFrom="page">
              <wp:posOffset>7405370</wp:posOffset>
            </wp:positionV>
            <wp:extent cx="4853940" cy="181991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Ubuntu" w:hAnsi="Ubuntu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 xml:space="preserve">Comparison between PSWM and SVM based models for signal peptides detection: </w:t>
      </w:r>
      <w:r>
        <w:rPr>
          <w:rFonts w:ascii="Ubuntu" w:hAnsi="Ubuntu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</w:rPr>
        <w:t>S</w:t>
      </w:r>
      <w:r>
        <w:rPr>
          <w:rFonts w:ascii="Ubuntu" w:hAnsi="Ubuntu"/>
          <w:b/>
          <w:bCs/>
          <w:sz w:val="28"/>
          <w:szCs w:val="28"/>
        </w:rPr>
        <w:t>UPPLEMENTARY MATERIALS</w:t>
      </w:r>
    </w:p>
    <w:p>
      <w:pPr>
        <w:pStyle w:val="Normal"/>
        <w:rPr>
          <w:rFonts w:ascii="Ubuntu" w:hAnsi="Ubuntu"/>
          <w:b/>
          <w:b/>
          <w:bCs/>
        </w:rPr>
      </w:pPr>
      <w:r>
        <w:rPr>
          <w:rFonts w:ascii="Merriweather;serif" w:hAnsi="Merriweather;serif"/>
        </w:rPr>
      </w:r>
    </w:p>
    <w:p>
      <w:pPr>
        <w:pStyle w:val="Normal"/>
        <w:rPr>
          <w:rFonts w:ascii="Merriweather;serif" w:hAnsi="Merriweather;serif"/>
          <w:b/>
          <w:b/>
          <w:bCs/>
          <w:sz w:val="28"/>
          <w:szCs w:val="28"/>
        </w:rPr>
      </w:pPr>
      <w:r>
        <w:rPr>
          <w:rFonts w:ascii="Ubuntu" w:hAnsi="Ubuntu"/>
          <w:b/>
          <w:bCs/>
          <w:sz w:val="28"/>
          <w:szCs w:val="28"/>
        </w:rPr>
        <w:t>Datasets statistics</w:t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Merriweather;serif" w:hAnsi="Merriweather;serif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- SPs length distribution, fig. 1A and 1B</w:t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-273685</wp:posOffset>
            </wp:positionH>
            <wp:positionV relativeFrom="paragraph">
              <wp:posOffset>52705</wp:posOffset>
            </wp:positionV>
            <wp:extent cx="2962910" cy="197548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9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3038475</wp:posOffset>
            </wp:positionH>
            <wp:positionV relativeFrom="paragraph">
              <wp:posOffset>100330</wp:posOffset>
            </wp:positionV>
            <wp:extent cx="2945130" cy="19634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Merriweather;serif" w:hAnsi="Merriweather;serif"/>
          <w:b/>
          <w:b/>
          <w:bCs/>
        </w:rPr>
      </w:pPr>
      <w:r>
        <w:rPr>
          <w:rFonts w:ascii="Ubuntu" w:hAnsi="Ubuntu"/>
          <w:b/>
          <w:bCs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Merriweather;serif" w:hAnsi="Merriweather;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Fig. 1A and 1B | Histograms of the distribution of SP leng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t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hs across the SP sequences included in the datasets</w:t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/>
          <w:bCs/>
        </w:rPr>
      </w:r>
    </w:p>
    <w:p>
      <w:pPr>
        <w:pStyle w:val="Normal"/>
        <w:rPr>
          <w:rFonts w:ascii="Merriweather;serif" w:hAnsi="Merriweather;serif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>- Compositional analysis, fig 2A and 2B</w:t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447040</wp:posOffset>
            </wp:positionH>
            <wp:positionV relativeFrom="paragraph">
              <wp:posOffset>151765</wp:posOffset>
            </wp:positionV>
            <wp:extent cx="4730750" cy="177419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075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Merriweather;serif" w:hAnsi="Merriweather;serif"/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</w:rPr>
        <w:t xml:space="preserve"> </w:t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Merriweather;serif" w:hAnsi="Merriweather;serif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Fig. 2A and 2B | Histograms of the composition of SP sequences included in the datasets. On the y-axis is reported the frequency in percentage (%).</w:t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0"/>
          <w:szCs w:val="20"/>
        </w:rPr>
      </w:r>
    </w:p>
    <w:p>
      <w:pPr>
        <w:pStyle w:val="Normal"/>
        <w:rPr>
          <w:rFonts w:ascii="Merriweather;serif" w:hAnsi="Merriweather;serif"/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- Taxonomic analysis</w:t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19685</wp:posOffset>
            </wp:positionH>
            <wp:positionV relativeFrom="paragraph">
              <wp:posOffset>142875</wp:posOffset>
            </wp:positionV>
            <wp:extent cx="2861310" cy="286131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-209550</wp:posOffset>
            </wp:positionH>
            <wp:positionV relativeFrom="paragraph">
              <wp:posOffset>3575050</wp:posOffset>
            </wp:positionV>
            <wp:extent cx="3248660" cy="32486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66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3455035</wp:posOffset>
            </wp:positionH>
            <wp:positionV relativeFrom="paragraph">
              <wp:posOffset>152400</wp:posOffset>
            </wp:positionV>
            <wp:extent cx="2841625" cy="284162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3258820</wp:posOffset>
            </wp:positionH>
            <wp:positionV relativeFrom="paragraph">
              <wp:posOffset>3590925</wp:posOffset>
            </wp:positionV>
            <wp:extent cx="3230880" cy="32308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rPr/>
      </w:pP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Fig.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3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A and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3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B | </w:t>
      </w:r>
      <w:r>
        <w:rPr>
          <w:rFonts w:eastAsia="Noto Sans CJK SC Regular" w:cs="FreeSans" w:ascii="Ubuntu" w:hAnsi="Ubuntu"/>
          <w:b w:val="false"/>
          <w:bCs w:val="false"/>
          <w:i w:val="false"/>
          <w:iCs w:val="false"/>
          <w:color w:val="auto"/>
          <w:sz w:val="20"/>
          <w:szCs w:val="20"/>
          <w:lang w:val="en-GB" w:eastAsia="zh-CN" w:bidi="hi-IN"/>
        </w:rPr>
        <w:t>Piecharts reporting the SP sequences distribution in percentage across kingdoms (up) and taxa (down) for training set (left) and for benchmark set (right)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.  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 xml:space="preserve">- </w:t>
      </w: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Sequence Logo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133350</wp:posOffset>
            </wp:positionH>
            <wp:positionV relativeFrom="paragraph">
              <wp:posOffset>165735</wp:posOffset>
            </wp:positionV>
            <wp:extent cx="4803775" cy="13277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775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81280</wp:posOffset>
            </wp:positionH>
            <wp:positionV relativeFrom="paragraph">
              <wp:posOffset>62865</wp:posOffset>
            </wp:positionV>
            <wp:extent cx="4906010" cy="135636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60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Fig.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4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A and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4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B |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Sequence logo </w:t>
      </w:r>
      <w:r>
        <w:rPr>
          <w:rFonts w:eastAsia="Noto Sans CJK SC Regular" w:cs="FreeSans" w:ascii="Ubuntu" w:hAnsi="Ubuntu"/>
          <w:b w:val="false"/>
          <w:bCs w:val="false"/>
          <w:i w:val="false"/>
          <w:iCs w:val="false"/>
          <w:color w:val="auto"/>
          <w:sz w:val="20"/>
          <w:szCs w:val="20"/>
          <w:lang w:val="en-GB" w:eastAsia="zh-CN" w:bidi="hi-IN"/>
        </w:rPr>
        <w:t>for training set (up) and for benchmark set (down)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.  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Cross-validation results, 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>von Heijne model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-95250</wp:posOffset>
            </wp:positionH>
            <wp:positionV relativeFrom="paragraph">
              <wp:posOffset>152400</wp:posOffset>
            </wp:positionV>
            <wp:extent cx="6120130" cy="157924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eastAsia="Noto Sans CJK SC Regular" w:cs="FreeSans" w:ascii="Ubuntu" w:hAnsi="Ubuntu"/>
          <w:b w:val="false"/>
          <w:bCs w:val="false"/>
          <w:i w:val="false"/>
          <w:iCs w:val="false"/>
          <w:color w:val="auto"/>
          <w:sz w:val="20"/>
          <w:szCs w:val="20"/>
          <w:lang w:val="en-GB" w:eastAsia="zh-CN" w:bidi="hi-IN"/>
        </w:rPr>
        <w:t>Table A | Report of the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5-fold cross-validation runs for the von-Heijne model. The final threshold was taken as the mean vaue of the thresholds.  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rFonts w:ascii="Ubuntu" w:hAnsi="Ubuntu"/>
          <w:b/>
          <w:bCs/>
          <w:i w:val="false"/>
          <w:iCs w:val="false"/>
          <w:sz w:val="28"/>
          <w:szCs w:val="28"/>
        </w:rPr>
        <w:t>F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alse </w:t>
      </w:r>
      <w:r>
        <w:rPr>
          <w:rFonts w:eastAsia="Noto Sans CJK SC Regular" w:cs="FreeSans" w:ascii="Ubuntu" w:hAnsi="Ubuntu"/>
          <w:b/>
          <w:bCs/>
          <w:i w:val="false"/>
          <w:iCs w:val="false"/>
          <w:color w:val="auto"/>
          <w:sz w:val="28"/>
          <w:szCs w:val="28"/>
          <w:lang w:val="en-GB" w:eastAsia="zh-CN" w:bidi="hi-IN"/>
        </w:rPr>
        <w:t>negatives</w:t>
      </w:r>
      <w:r>
        <w:rPr>
          <w:rFonts w:ascii="Ubuntu" w:hAnsi="Ubuntu"/>
          <w:b/>
          <w:bCs/>
          <w:i w:val="false"/>
          <w:iCs w:val="false"/>
          <w:sz w:val="28"/>
          <w:szCs w:val="28"/>
        </w:rPr>
        <w:t xml:space="preserve"> analysis</w:t>
      </w:r>
    </w:p>
    <w:p>
      <w:pPr>
        <w:pStyle w:val="Normal"/>
        <w:rPr>
          <w:rFonts w:ascii="Ubuntu" w:hAnsi="Ubuntu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rFonts w:ascii="Ubuntu" w:hAnsi="Ubuntu"/>
          <w:b/>
          <w:b/>
          <w:bCs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- von-Heijne</w:t>
      </w:r>
    </w:p>
    <w:p>
      <w:pPr>
        <w:pStyle w:val="Normal"/>
        <w:rPr>
          <w:rFonts w:ascii="Ubuntu" w:hAnsi="Ubuntu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Ubuntu" w:hAnsi="Ubuntu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3201670</wp:posOffset>
            </wp:positionH>
            <wp:positionV relativeFrom="paragraph">
              <wp:posOffset>57150</wp:posOffset>
            </wp:positionV>
            <wp:extent cx="3379470" cy="934720"/>
            <wp:effectExtent l="0" t="0" r="0" b="0"/>
            <wp:wrapSquare wrapText="largest"/>
            <wp:docPr id="12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-167640</wp:posOffset>
            </wp:positionH>
            <wp:positionV relativeFrom="paragraph">
              <wp:posOffset>67310</wp:posOffset>
            </wp:positionV>
            <wp:extent cx="3206115" cy="886460"/>
            <wp:effectExtent l="0" t="0" r="0" b="0"/>
            <wp:wrapSquare wrapText="largest"/>
            <wp:docPr id="13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11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Ubuntu" w:hAnsi="Ubuntu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Ubuntu" w:hAnsi="Ubuntu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Ubuntu" w:hAnsi="Ubuntu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Ubuntu" w:hAnsi="Ubuntu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Ubuntu" w:hAnsi="Ubuntu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</w:rPr>
      </w:r>
    </w:p>
    <w:p>
      <w:pPr>
        <w:pStyle w:val="Normal"/>
        <w:rPr>
          <w:rFonts w:ascii="Ubuntu" w:hAnsi="Ubuntu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-133350</wp:posOffset>
            </wp:positionH>
            <wp:positionV relativeFrom="paragraph">
              <wp:posOffset>249555</wp:posOffset>
            </wp:positionV>
            <wp:extent cx="6120130" cy="1691640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9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Fig.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5A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 |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Sequence logo </w:t>
      </w:r>
      <w:r>
        <w:rPr>
          <w:rFonts w:eastAsia="Noto Sans CJK SC Regular" w:cs="FreeSans" w:ascii="Ubuntu" w:hAnsi="Ubuntu"/>
          <w:b w:val="false"/>
          <w:bCs w:val="false"/>
          <w:i w:val="false"/>
          <w:iCs w:val="false"/>
          <w:color w:val="auto"/>
          <w:sz w:val="20"/>
          <w:szCs w:val="20"/>
          <w:lang w:val="en-GB" w:eastAsia="zh-CN" w:bidi="hi-IN"/>
        </w:rPr>
        <w:t>for the false negative results of the von-Heijne model (down). For visual comparison are reported again the Logo of training set (up, left) and for benchmark set (up, right)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.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To be noticed the difference in composition between training set and false results.</w:t>
      </w:r>
    </w:p>
    <w:p>
      <w:pPr>
        <w:pStyle w:val="Normal"/>
        <w:rPr>
          <w:rFonts w:ascii="Ubuntu" w:hAnsi="Ubuntu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rPr>
          <w:rFonts w:ascii="Ubuntu" w:hAnsi="Ubuntu"/>
          <w:i w:val="false"/>
          <w:i w:val="false"/>
          <w:iCs w:val="false"/>
          <w:sz w:val="20"/>
          <w:szCs w:val="20"/>
        </w:rPr>
      </w:pPr>
      <w:r>
        <w:rPr>
          <w:b w:val="false"/>
          <w:bCs w:val="false"/>
        </w:rPr>
      </w:r>
    </w:p>
    <w:p>
      <w:pPr>
        <w:pStyle w:val="Normal"/>
        <w:rPr>
          <w:rFonts w:ascii="Ubuntu" w:hAnsi="Ubuntu"/>
          <w:i w:val="false"/>
          <w:i w:val="false"/>
          <w:iCs w:val="false"/>
        </w:rPr>
      </w:pPr>
      <w:r>
        <w:rPr>
          <w:rFonts w:ascii="Ubuntu" w:hAnsi="Ubuntu"/>
          <w:b w:val="false"/>
          <w:bCs w:val="false"/>
          <w:i w:val="false"/>
          <w:iCs w:val="false"/>
          <w:sz w:val="24"/>
          <w:szCs w:val="24"/>
        </w:rPr>
        <w:t>- SVM</w:t>
      </w:r>
    </w:p>
    <w:p>
      <w:pPr>
        <w:pStyle w:val="Normal"/>
        <w:rPr>
          <w:rFonts w:ascii="Ubuntu" w:hAnsi="Ubuntu"/>
          <w:i w:val="false"/>
          <w:i w:val="false"/>
          <w:iCs w:val="false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rFonts w:ascii="Ubuntu" w:hAnsi="Ubuntu"/>
        </w:rPr>
      </w:pPr>
      <w:r>
        <w:rPr>
          <w:rFonts w:ascii="Merriweather;serif" w:hAnsi="Merriweather;serif"/>
          <w:b w:val="false"/>
          <w:bCs w:val="false"/>
          <w:i w:val="false"/>
          <w:iCs w:val="false"/>
          <w:sz w:val="20"/>
          <w:szCs w:val="20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-184785</wp:posOffset>
            </wp:positionH>
            <wp:positionV relativeFrom="paragraph">
              <wp:posOffset>104775</wp:posOffset>
            </wp:positionV>
            <wp:extent cx="3328035" cy="221869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3142615</wp:posOffset>
            </wp:positionH>
            <wp:positionV relativeFrom="paragraph">
              <wp:posOffset>104775</wp:posOffset>
            </wp:positionV>
            <wp:extent cx="3328035" cy="221869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Fig. </w:t>
      </w:r>
      <w:r>
        <w:rPr>
          <w:rFonts w:eastAsia="Noto Sans CJK SC Regular" w:cs="FreeSans" w:ascii="Ubuntu" w:hAnsi="Ubuntu"/>
          <w:b w:val="false"/>
          <w:bCs w:val="false"/>
          <w:i w:val="false"/>
          <w:iCs w:val="false"/>
          <w:color w:val="auto"/>
          <w:sz w:val="20"/>
          <w:szCs w:val="20"/>
          <w:lang w:val="en-GB" w:eastAsia="zh-CN" w:bidi="hi-IN"/>
        </w:rPr>
        <w:t>5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B | Histogram of the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lengths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 distribution across the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FN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sequences. 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>For visual comparison, is reported again the length distribution of the benchmark set positives.</w:t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-57150</wp:posOffset>
            </wp:positionH>
            <wp:positionV relativeFrom="paragraph">
              <wp:posOffset>289560</wp:posOffset>
            </wp:positionV>
            <wp:extent cx="6120130" cy="229489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Ubuntu" w:hAnsi="Ubuntu"/>
          <w:b w:val="false"/>
          <w:b w:val="false"/>
          <w:bCs w:val="false"/>
          <w:i w:val="false"/>
          <w:i w:val="false"/>
          <w:iCs w:val="false"/>
          <w:sz w:val="20"/>
          <w:szCs w:val="20"/>
        </w:rPr>
      </w:pPr>
      <w:r>
        <w:rPr/>
      </w:r>
    </w:p>
    <w:p>
      <w:pPr>
        <w:pStyle w:val="Normal"/>
        <w:rPr/>
      </w:pP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Fig. </w:t>
      </w:r>
      <w:r>
        <w:rPr>
          <w:rFonts w:eastAsia="Noto Sans CJK SC Regular" w:cs="FreeSans" w:ascii="Ubuntu" w:hAnsi="Ubuntu"/>
          <w:b w:val="false"/>
          <w:bCs w:val="false"/>
          <w:i w:val="false"/>
          <w:iCs w:val="false"/>
          <w:color w:val="auto"/>
          <w:sz w:val="20"/>
          <w:szCs w:val="20"/>
          <w:lang w:val="en-GB" w:eastAsia="zh-CN" w:bidi="hi-IN"/>
        </w:rPr>
        <w:t>5C</w:t>
      </w:r>
      <w:r>
        <w:rPr>
          <w:rFonts w:ascii="Ubuntu" w:hAnsi="Ubuntu"/>
          <w:b w:val="false"/>
          <w:bCs w:val="false"/>
          <w:i w:val="false"/>
          <w:iCs w:val="false"/>
          <w:sz w:val="20"/>
          <w:szCs w:val="20"/>
        </w:rPr>
        <w:t xml:space="preserve"> | Histograms of the composition of false negatives sequences from the benchmark set and SP sequences from benchmark (i.e. True Positives) and training datasets. On the y-axis is reported the frequency in percentage (%).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auto"/>
    <w:pitch w:val="variable"/>
  </w:font>
  <w:font w:name="Merriweather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oto Sans CJK SC Regular" w:cs="FreeSans"/>
      <w:color w:val="auto"/>
      <w:kern w:val="0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LibreOffice/6.4.7.2$Linux_X86_64 LibreOffice_project/40$Build-2</Application>
  <Pages>4</Pages>
  <Words>272</Words>
  <Characters>1395</Characters>
  <CharactersWithSpaces>1657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2017-07-29T20:48:12Z</dcterms:created>
  <dc:creator/>
  <dc:description/>
  <dc:language>en-GB</dc:language>
  <cp:lastModifiedBy/>
  <dcterms:modified xsi:type="dcterms:W3CDTF">2022-12-11T11:43:28Z</dcterms:modified>
  <cp:revision>7</cp:revision>
  <dc:subject/>
  <dc:title/>
</cp:coreProperties>
</file>