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646CB" w14:textId="77777777" w:rsidR="00B8152B" w:rsidRDefault="00840EAE">
      <w:r>
        <w:pict w14:anchorId="45642A50">
          <v:rect id="_x0000_i1025" style="width:404.35pt;height:.4pt" o:hrpct="896" o:hralign="center" o:hrstd="t" o:hr="t" fillcolor="#a0a0a0" stroked="f"/>
        </w:pict>
      </w:r>
    </w:p>
    <w:p w14:paraId="21E6C558" w14:textId="4C950006" w:rsidR="00B8152B" w:rsidRPr="00133309" w:rsidRDefault="00DE78F3">
      <w:pPr>
        <w:rPr>
          <w:bCs/>
          <w:color w:val="000000" w:themeColor="text1"/>
          <w:sz w:val="24"/>
          <w:szCs w:val="24"/>
          <w:u w:val="single"/>
        </w:rPr>
      </w:pPr>
      <w:r w:rsidRPr="00133309">
        <w:rPr>
          <w:bCs/>
          <w:color w:val="000000" w:themeColor="text1"/>
          <w:sz w:val="24"/>
          <w:szCs w:val="24"/>
          <w:u w:val="single"/>
        </w:rPr>
        <w:t>Relevant g</w:t>
      </w:r>
      <w:r w:rsidR="004548FB" w:rsidRPr="00133309">
        <w:rPr>
          <w:bCs/>
          <w:color w:val="000000" w:themeColor="text1"/>
          <w:sz w:val="24"/>
          <w:szCs w:val="24"/>
          <w:u w:val="single"/>
        </w:rPr>
        <w:t>uidance</w:t>
      </w:r>
      <w:r w:rsidR="00B8152B" w:rsidRPr="00133309">
        <w:rPr>
          <w:bCs/>
          <w:color w:val="000000" w:themeColor="text1"/>
          <w:sz w:val="24"/>
          <w:szCs w:val="24"/>
          <w:u w:val="single"/>
        </w:rPr>
        <w:t xml:space="preserve"> </w:t>
      </w:r>
    </w:p>
    <w:p w14:paraId="2E6A6FFE" w14:textId="4F3458C4" w:rsidR="00857D70" w:rsidRDefault="00840EAE" w:rsidP="00857D70">
      <w:pPr>
        <w:pStyle w:val="ListParagraph"/>
        <w:numPr>
          <w:ilvl w:val="0"/>
          <w:numId w:val="2"/>
        </w:numPr>
        <w:rPr>
          <w:rStyle w:val="Hyperlink"/>
          <w:sz w:val="24"/>
        </w:rPr>
      </w:pPr>
      <w:hyperlink r:id="rId7" w:history="1">
        <w:r w:rsidR="004548FB" w:rsidRPr="00840EAE">
          <w:rPr>
            <w:rStyle w:val="Hyperlink"/>
            <w:sz w:val="24"/>
          </w:rPr>
          <w:t>Suspension and permanent exclusion from maintained schools, academies and pupil referral units in England, including pupil movement</w:t>
        </w:r>
      </w:hyperlink>
    </w:p>
    <w:p w14:paraId="120DD9AA" w14:textId="5BF0019B" w:rsidR="00F274B2" w:rsidRDefault="00840EAE" w:rsidP="00F274B2">
      <w:pPr>
        <w:pStyle w:val="ListParagraph"/>
        <w:numPr>
          <w:ilvl w:val="0"/>
          <w:numId w:val="2"/>
        </w:numPr>
        <w:rPr>
          <w:rStyle w:val="Hyperlink"/>
          <w:sz w:val="24"/>
        </w:rPr>
      </w:pPr>
      <w:hyperlink r:id="rId8" w:history="1">
        <w:r w:rsidR="00F274B2" w:rsidRPr="00F274B2">
          <w:rPr>
            <w:rStyle w:val="Hyperlink"/>
            <w:sz w:val="24"/>
          </w:rPr>
          <w:t>Equality Act 2010: advice for schools</w:t>
        </w:r>
      </w:hyperlink>
    </w:p>
    <w:p w14:paraId="6EC2F056" w14:textId="08DE0C96" w:rsidR="00DE78F3" w:rsidRPr="00840EAE" w:rsidRDefault="00840EAE" w:rsidP="00840EAE">
      <w:pPr>
        <w:pStyle w:val="ListParagraph"/>
        <w:numPr>
          <w:ilvl w:val="0"/>
          <w:numId w:val="2"/>
        </w:numPr>
        <w:rPr>
          <w:rStyle w:val="Hyperlink"/>
          <w:sz w:val="24"/>
        </w:rPr>
      </w:pPr>
      <w:hyperlink r:id="rId9" w:history="1">
        <w:r w:rsidR="00DE78F3" w:rsidRPr="00DE78F3">
          <w:rPr>
            <w:rStyle w:val="Hyperlink"/>
            <w:sz w:val="24"/>
          </w:rPr>
          <w:t>Public Sector Equality Duty: Guidance for Schools</w:t>
        </w:r>
      </w:hyperlink>
    </w:p>
    <w:p w14:paraId="5F0B5BAD" w14:textId="0987ECBB" w:rsidR="00DE78F3" w:rsidRPr="00857D70" w:rsidRDefault="00840EAE" w:rsidP="00DE78F3">
      <w:pPr>
        <w:pStyle w:val="ListParagraph"/>
        <w:numPr>
          <w:ilvl w:val="0"/>
          <w:numId w:val="2"/>
        </w:numPr>
        <w:rPr>
          <w:rStyle w:val="Hyperlink"/>
          <w:sz w:val="24"/>
        </w:rPr>
      </w:pPr>
      <w:hyperlink r:id="rId10" w:history="1">
        <w:r w:rsidR="00DE78F3" w:rsidRPr="00DE78F3">
          <w:rPr>
            <w:rStyle w:val="Hyperlink"/>
            <w:sz w:val="24"/>
          </w:rPr>
          <w:t>Equality Act 2010: specific duties to support the equality duty. What do I need to know?</w:t>
        </w:r>
      </w:hyperlink>
    </w:p>
    <w:p w14:paraId="21F4FD26" w14:textId="3B9656B9" w:rsidR="00CA2AE7" w:rsidRPr="009D6DAE" w:rsidRDefault="00840EAE" w:rsidP="00702447">
      <w:r>
        <w:pict w14:anchorId="73591562">
          <v:rect id="_x0000_i1026" style="width:404.35pt;height:.4pt" o:hrpct="896" o:hralign="center" o:hrstd="t" o:hr="t" fillcolor="#a0a0a0" stroked="f"/>
        </w:pict>
      </w:r>
    </w:p>
    <w:p w14:paraId="7DF11AF9" w14:textId="25A4C057" w:rsidR="002C55BC" w:rsidRPr="00133309" w:rsidRDefault="004548FB" w:rsidP="004548FB">
      <w:pPr>
        <w:rPr>
          <w:bCs/>
          <w:color w:val="000000" w:themeColor="text1"/>
          <w:sz w:val="24"/>
          <w:szCs w:val="24"/>
          <w:u w:val="single"/>
        </w:rPr>
      </w:pPr>
      <w:r w:rsidRPr="00133309">
        <w:rPr>
          <w:bCs/>
          <w:color w:val="000000" w:themeColor="text1"/>
          <w:sz w:val="24"/>
          <w:szCs w:val="24"/>
          <w:u w:val="single"/>
        </w:rPr>
        <w:t>Relevant excerpts:</w:t>
      </w:r>
    </w:p>
    <w:p w14:paraId="7DC2369C" w14:textId="6603EC7A" w:rsidR="002C55BC" w:rsidRPr="005319C1" w:rsidRDefault="005319C1" w:rsidP="005319C1">
      <w:pPr>
        <w:pStyle w:val="ListParagraph"/>
        <w:numPr>
          <w:ilvl w:val="0"/>
          <w:numId w:val="5"/>
        </w:numPr>
        <w:rPr>
          <w:bCs/>
          <w:i/>
          <w:color w:val="000000" w:themeColor="text1"/>
          <w:sz w:val="24"/>
          <w:szCs w:val="24"/>
        </w:rPr>
      </w:pPr>
      <w:r>
        <w:rPr>
          <w:bCs/>
          <w:i/>
          <w:color w:val="000000" w:themeColor="text1"/>
          <w:sz w:val="24"/>
          <w:szCs w:val="24"/>
        </w:rPr>
        <w:t>“</w:t>
      </w:r>
      <w:r w:rsidR="002C55BC" w:rsidRPr="005319C1">
        <w:rPr>
          <w:bCs/>
          <w:i/>
          <w:color w:val="000000" w:themeColor="text1"/>
          <w:sz w:val="24"/>
          <w:szCs w:val="24"/>
        </w:rPr>
        <w:t xml:space="preserve">Under the Equality Act 2010 (the Equality Act) and the Equality Act 2010: advice for schools, schools must not discriminate against, harass, or victimise pupils because of their: sex; race; disability; religion or belief; sexual orientation; pregnancy/maternity; or gender reassignment. In carrying out their functions, the public sector equality duty means schools must also have due regard to the need to: </w:t>
      </w:r>
    </w:p>
    <w:p w14:paraId="731FC61E" w14:textId="77777777" w:rsidR="005319C1" w:rsidRPr="005319C1" w:rsidRDefault="005319C1" w:rsidP="005319C1">
      <w:pPr>
        <w:pStyle w:val="ListParagraph"/>
        <w:rPr>
          <w:bCs/>
          <w:i/>
          <w:color w:val="000000" w:themeColor="text1"/>
          <w:sz w:val="24"/>
          <w:szCs w:val="24"/>
        </w:rPr>
      </w:pPr>
    </w:p>
    <w:p w14:paraId="7DF42778" w14:textId="03A3DF3C" w:rsidR="002C55BC" w:rsidRPr="005319C1" w:rsidRDefault="002C55BC" w:rsidP="005319C1">
      <w:pPr>
        <w:pStyle w:val="ListParagraph"/>
        <w:numPr>
          <w:ilvl w:val="0"/>
          <w:numId w:val="6"/>
        </w:numPr>
        <w:rPr>
          <w:bCs/>
          <w:i/>
          <w:color w:val="000000" w:themeColor="text1"/>
          <w:sz w:val="24"/>
          <w:szCs w:val="24"/>
        </w:rPr>
      </w:pPr>
      <w:r w:rsidRPr="005319C1">
        <w:rPr>
          <w:bCs/>
          <w:i/>
          <w:color w:val="000000" w:themeColor="text1"/>
          <w:sz w:val="24"/>
          <w:szCs w:val="24"/>
        </w:rPr>
        <w:t>eliminate discrimination, harassment, victimisa</w:t>
      </w:r>
      <w:r w:rsidR="005319C1" w:rsidRPr="005319C1">
        <w:rPr>
          <w:bCs/>
          <w:i/>
          <w:color w:val="000000" w:themeColor="text1"/>
          <w:sz w:val="24"/>
          <w:szCs w:val="24"/>
        </w:rPr>
        <w:t xml:space="preserve">tion, and other conduct that is </w:t>
      </w:r>
      <w:r w:rsidRPr="005319C1">
        <w:rPr>
          <w:bCs/>
          <w:i/>
          <w:color w:val="000000" w:themeColor="text1"/>
          <w:sz w:val="24"/>
          <w:szCs w:val="24"/>
        </w:rPr>
        <w:t xml:space="preserve">prohibited by the Equality Act; </w:t>
      </w:r>
    </w:p>
    <w:p w14:paraId="4AD0A41C" w14:textId="77777777" w:rsidR="002C55BC" w:rsidRPr="005319C1" w:rsidRDefault="002C55BC" w:rsidP="005319C1">
      <w:pPr>
        <w:pStyle w:val="ListParagraph"/>
        <w:numPr>
          <w:ilvl w:val="0"/>
          <w:numId w:val="6"/>
        </w:numPr>
        <w:rPr>
          <w:bCs/>
          <w:i/>
          <w:color w:val="000000" w:themeColor="text1"/>
          <w:sz w:val="24"/>
          <w:szCs w:val="24"/>
        </w:rPr>
      </w:pPr>
      <w:r w:rsidRPr="005319C1">
        <w:rPr>
          <w:bCs/>
          <w:i/>
          <w:color w:val="000000" w:themeColor="text1"/>
          <w:sz w:val="24"/>
          <w:szCs w:val="24"/>
        </w:rPr>
        <w:t xml:space="preserve">advance equality of opportunity between people who share a relevant protected characteristic and people who do not; and </w:t>
      </w:r>
    </w:p>
    <w:p w14:paraId="4E7EDBA3" w14:textId="77777777" w:rsidR="002C55BC" w:rsidRPr="005319C1" w:rsidRDefault="002C55BC" w:rsidP="005319C1">
      <w:pPr>
        <w:pStyle w:val="ListParagraph"/>
        <w:numPr>
          <w:ilvl w:val="0"/>
          <w:numId w:val="6"/>
        </w:numPr>
        <w:rPr>
          <w:bCs/>
          <w:i/>
          <w:color w:val="000000" w:themeColor="text1"/>
          <w:sz w:val="24"/>
          <w:szCs w:val="24"/>
        </w:rPr>
      </w:pPr>
      <w:r w:rsidRPr="005319C1">
        <w:rPr>
          <w:bCs/>
          <w:i/>
          <w:color w:val="000000" w:themeColor="text1"/>
          <w:sz w:val="24"/>
          <w:szCs w:val="24"/>
        </w:rPr>
        <w:t xml:space="preserve">foster good relations between people who share a relevant protected characteristic and people who do not share it. </w:t>
      </w:r>
    </w:p>
    <w:p w14:paraId="23A45A0F" w14:textId="77777777" w:rsidR="005319C1" w:rsidRPr="005319C1" w:rsidRDefault="005319C1" w:rsidP="005319C1">
      <w:pPr>
        <w:pStyle w:val="ListParagraph"/>
        <w:rPr>
          <w:i/>
          <w:color w:val="000000" w:themeColor="text1"/>
          <w:sz w:val="24"/>
          <w:szCs w:val="24"/>
        </w:rPr>
      </w:pPr>
    </w:p>
    <w:p w14:paraId="410FEB1B" w14:textId="4C87FFE2" w:rsidR="0069611C" w:rsidRPr="0069611C" w:rsidRDefault="002C55BC" w:rsidP="0069611C">
      <w:pPr>
        <w:pStyle w:val="ListParagraph"/>
        <w:rPr>
          <w:i/>
          <w:color w:val="000000" w:themeColor="text1"/>
          <w:sz w:val="24"/>
          <w:szCs w:val="24"/>
        </w:rPr>
      </w:pPr>
      <w:r w:rsidRPr="005319C1">
        <w:rPr>
          <w:i/>
          <w:color w:val="000000" w:themeColor="text1"/>
          <w:sz w:val="24"/>
          <w:szCs w:val="24"/>
        </w:rPr>
        <w:t>These duties need to be complied with when deciding whether to exclude a pupil. Schools must also ensure that any provision, criterion, or practice does not discriminate against pupils by unfairly increasing their risk of exclusion. For example, if reasonable adjustments have not been made for a pupil with a disability that can manifest itself in breaches of school rules if needs are not met, a decision to exclude may be discriminatory.</w:t>
      </w:r>
      <w:r w:rsidR="005319C1">
        <w:rPr>
          <w:i/>
          <w:color w:val="000000" w:themeColor="text1"/>
          <w:sz w:val="24"/>
          <w:szCs w:val="24"/>
        </w:rPr>
        <w:t>”</w:t>
      </w:r>
    </w:p>
    <w:p w14:paraId="4700CB41" w14:textId="0FE5FF4A" w:rsidR="0069611C" w:rsidRPr="00840EAE" w:rsidRDefault="0069611C" w:rsidP="00840EAE">
      <w:pPr>
        <w:ind w:left="720"/>
        <w:rPr>
          <w:rStyle w:val="Hyperlink"/>
          <w:iCs/>
          <w:sz w:val="24"/>
        </w:rPr>
      </w:pPr>
      <w:r w:rsidRPr="00840EAE">
        <w:rPr>
          <w:iCs/>
          <w:color w:val="000000" w:themeColor="text1"/>
          <w:sz w:val="24"/>
          <w:szCs w:val="24"/>
        </w:rPr>
        <w:t xml:space="preserve">Part 2: </w:t>
      </w:r>
      <w:hyperlink r:id="rId11" w:history="1">
        <w:r w:rsidRPr="00840EAE">
          <w:rPr>
            <w:rStyle w:val="Hyperlink"/>
            <w:iCs/>
            <w:sz w:val="24"/>
          </w:rPr>
          <w:t>Suspension and permanent exclusion from maintained schools, academies and pupil referral units in England, including pupil movement</w:t>
        </w:r>
      </w:hyperlink>
    </w:p>
    <w:p w14:paraId="72157F6C" w14:textId="4C27351F" w:rsidR="00A15BEF" w:rsidRDefault="00A15BEF" w:rsidP="00A15BEF">
      <w:pPr>
        <w:pStyle w:val="ListParagraph"/>
        <w:numPr>
          <w:ilvl w:val="0"/>
          <w:numId w:val="5"/>
        </w:numPr>
        <w:rPr>
          <w:rStyle w:val="Hyperlink"/>
          <w:i/>
          <w:color w:val="000000" w:themeColor="text1"/>
          <w:sz w:val="24"/>
          <w:u w:val="none"/>
        </w:rPr>
      </w:pPr>
      <w:r>
        <w:rPr>
          <w:rStyle w:val="Hyperlink"/>
          <w:i/>
          <w:color w:val="000000" w:themeColor="text1"/>
          <w:sz w:val="24"/>
          <w:u w:val="none"/>
        </w:rPr>
        <w:t>“</w:t>
      </w:r>
      <w:r w:rsidRPr="00A15BEF">
        <w:rPr>
          <w:rStyle w:val="Hyperlink"/>
          <w:i/>
          <w:color w:val="000000" w:themeColor="text1"/>
          <w:sz w:val="24"/>
          <w:u w:val="none"/>
        </w:rPr>
        <w:t xml:space="preserve">With the PSED, as with the previous general duties, schools are subject to the need to have due regard to the three elements outlined above. What having “due regard” means in practice has been defined in case law and means giving relevant and proportionate consideration to the duty. For schools this means: </w:t>
      </w:r>
    </w:p>
    <w:p w14:paraId="2D98ADB0" w14:textId="77777777" w:rsidR="00A15BEF" w:rsidRPr="00A15BEF" w:rsidRDefault="00A15BEF" w:rsidP="00A15BEF">
      <w:pPr>
        <w:pStyle w:val="ListParagraph"/>
        <w:rPr>
          <w:rStyle w:val="Hyperlink"/>
          <w:i/>
          <w:color w:val="000000" w:themeColor="text1"/>
          <w:sz w:val="24"/>
          <w:u w:val="none"/>
        </w:rPr>
      </w:pPr>
    </w:p>
    <w:p w14:paraId="7190670B" w14:textId="77777777" w:rsidR="00A15BEF" w:rsidRPr="00A15BEF" w:rsidRDefault="00A15BEF" w:rsidP="00A15BEF">
      <w:pPr>
        <w:pStyle w:val="ListParagraph"/>
        <w:numPr>
          <w:ilvl w:val="0"/>
          <w:numId w:val="7"/>
        </w:numPr>
        <w:rPr>
          <w:rStyle w:val="Hyperlink"/>
          <w:i/>
          <w:color w:val="000000" w:themeColor="text1"/>
          <w:sz w:val="24"/>
          <w:u w:val="none"/>
        </w:rPr>
      </w:pPr>
      <w:r w:rsidRPr="00A15BEF">
        <w:rPr>
          <w:rStyle w:val="Hyperlink"/>
          <w:i/>
          <w:color w:val="000000" w:themeColor="text1"/>
          <w:sz w:val="24"/>
          <w:u w:val="none"/>
        </w:rPr>
        <w:t xml:space="preserve">Decision makers in schools must be aware of the duty to have “due regard” when making a decision or taking an action and must assess whether it may have particular implications for people with particular protected characteristics. </w:t>
      </w:r>
    </w:p>
    <w:p w14:paraId="5793B568" w14:textId="77777777" w:rsidR="00A15BEF" w:rsidRPr="00A15BEF" w:rsidRDefault="00A15BEF" w:rsidP="00A15BEF">
      <w:pPr>
        <w:pStyle w:val="ListParagraph"/>
        <w:numPr>
          <w:ilvl w:val="0"/>
          <w:numId w:val="7"/>
        </w:numPr>
        <w:rPr>
          <w:rStyle w:val="Hyperlink"/>
          <w:i/>
          <w:color w:val="000000" w:themeColor="text1"/>
          <w:sz w:val="24"/>
          <w:u w:val="none"/>
        </w:rPr>
      </w:pPr>
      <w:r w:rsidRPr="00A15BEF">
        <w:rPr>
          <w:rStyle w:val="Hyperlink"/>
          <w:i/>
          <w:color w:val="000000" w:themeColor="text1"/>
          <w:sz w:val="24"/>
          <w:u w:val="none"/>
        </w:rPr>
        <w:t xml:space="preserve">Schools should consider equality implications before and at the time that they develop policy and take decisions, not as an afterthought, and they need to keep them under review on a continuing basis. </w:t>
      </w:r>
    </w:p>
    <w:p w14:paraId="4006E631" w14:textId="4685DB71" w:rsidR="00A15BEF" w:rsidRDefault="00A15BEF" w:rsidP="00A15BEF">
      <w:pPr>
        <w:pStyle w:val="ListParagraph"/>
        <w:numPr>
          <w:ilvl w:val="0"/>
          <w:numId w:val="7"/>
        </w:numPr>
        <w:rPr>
          <w:rStyle w:val="Hyperlink"/>
          <w:i/>
          <w:color w:val="000000" w:themeColor="text1"/>
          <w:sz w:val="24"/>
          <w:u w:val="none"/>
        </w:rPr>
      </w:pPr>
      <w:r w:rsidRPr="00A15BEF">
        <w:rPr>
          <w:rStyle w:val="Hyperlink"/>
          <w:i/>
          <w:color w:val="000000" w:themeColor="text1"/>
          <w:sz w:val="24"/>
          <w:u w:val="none"/>
        </w:rPr>
        <w:t xml:space="preserve">The PSED has to be integrated into the carrying out of the school’s functions, and the analysis necessary to comply with the duty has to be carried out seriously, rigorously and with an open mind – it is not just a question of ticking boxes or following a particular process. </w:t>
      </w:r>
      <w:r w:rsidRPr="00A15BEF">
        <w:rPr>
          <w:rStyle w:val="Hyperlink"/>
          <w:i/>
          <w:color w:val="000000" w:themeColor="text1"/>
          <w:sz w:val="24"/>
          <w:u w:val="none"/>
        </w:rPr>
        <w:t> Schools can’t delegate responsibility for carrying out the duty to anyone else.</w:t>
      </w:r>
      <w:r>
        <w:rPr>
          <w:rStyle w:val="Hyperlink"/>
          <w:i/>
          <w:color w:val="000000" w:themeColor="text1"/>
          <w:sz w:val="24"/>
          <w:u w:val="none"/>
        </w:rPr>
        <w:t>”</w:t>
      </w:r>
    </w:p>
    <w:p w14:paraId="554BF840" w14:textId="789A51E5" w:rsidR="00A15BEF" w:rsidRDefault="00A15BEF" w:rsidP="00840EAE">
      <w:pPr>
        <w:ind w:left="720"/>
        <w:rPr>
          <w:rStyle w:val="Hyperlink"/>
          <w:sz w:val="24"/>
        </w:rPr>
      </w:pPr>
      <w:r>
        <w:rPr>
          <w:rStyle w:val="Hyperlink"/>
          <w:color w:val="000000" w:themeColor="text1"/>
          <w:sz w:val="24"/>
          <w:u w:val="none"/>
        </w:rPr>
        <w:t xml:space="preserve">Paragraph 5.4: </w:t>
      </w:r>
      <w:hyperlink r:id="rId12" w:history="1">
        <w:r w:rsidRPr="00F274B2">
          <w:rPr>
            <w:rStyle w:val="Hyperlink"/>
            <w:sz w:val="24"/>
          </w:rPr>
          <w:t>Equality Act 2010: advice for schools</w:t>
        </w:r>
      </w:hyperlink>
    </w:p>
    <w:p w14:paraId="711BD7B9" w14:textId="6D266875" w:rsidR="00A15BEF" w:rsidRPr="00A15BEF" w:rsidRDefault="00A15BEF" w:rsidP="00A15BEF">
      <w:pPr>
        <w:pStyle w:val="ListParagraph"/>
        <w:numPr>
          <w:ilvl w:val="0"/>
          <w:numId w:val="9"/>
        </w:numPr>
        <w:rPr>
          <w:i/>
          <w:color w:val="000000" w:themeColor="text1"/>
          <w:sz w:val="28"/>
          <w:u w:val="single"/>
        </w:rPr>
      </w:pPr>
      <w:r>
        <w:rPr>
          <w:i/>
          <w:color w:val="000000" w:themeColor="text1"/>
          <w:sz w:val="24"/>
        </w:rPr>
        <w:t>“</w:t>
      </w:r>
      <w:r w:rsidRPr="00A15BEF">
        <w:rPr>
          <w:i/>
          <w:color w:val="000000" w:themeColor="text1"/>
          <w:sz w:val="24"/>
        </w:rPr>
        <w:t>It is good practice for schools to keep a written record to show that they have actively considered their equality duties and asked themselves relevant questions. There is no legal requirement to produce a formal equality impact assessment document, although for key decisions this might be a helpful tool.</w:t>
      </w:r>
      <w:r>
        <w:rPr>
          <w:i/>
          <w:color w:val="000000" w:themeColor="text1"/>
          <w:sz w:val="24"/>
        </w:rPr>
        <w:t>”</w:t>
      </w:r>
    </w:p>
    <w:p w14:paraId="6663923F" w14:textId="5DD1CF10" w:rsidR="00A15BEF" w:rsidRDefault="00A15BEF" w:rsidP="00840EAE">
      <w:pPr>
        <w:ind w:left="720"/>
        <w:rPr>
          <w:rStyle w:val="Hyperlink"/>
          <w:sz w:val="24"/>
        </w:rPr>
      </w:pPr>
      <w:r>
        <w:rPr>
          <w:color w:val="000000" w:themeColor="text1"/>
          <w:sz w:val="24"/>
          <w:szCs w:val="24"/>
        </w:rPr>
        <w:t xml:space="preserve">Paragraph 5.6: </w:t>
      </w:r>
      <w:hyperlink r:id="rId13" w:history="1">
        <w:r w:rsidRPr="00F274B2">
          <w:rPr>
            <w:rStyle w:val="Hyperlink"/>
            <w:sz w:val="24"/>
          </w:rPr>
          <w:t>Equality Act 2010: advice for schools</w:t>
        </w:r>
      </w:hyperlink>
    </w:p>
    <w:p w14:paraId="1D377C30" w14:textId="21CC1718" w:rsidR="00A15BEF" w:rsidRPr="00664A80" w:rsidRDefault="00664A80" w:rsidP="00A15BEF">
      <w:pPr>
        <w:pStyle w:val="ListParagraph"/>
        <w:numPr>
          <w:ilvl w:val="0"/>
          <w:numId w:val="9"/>
        </w:numPr>
        <w:rPr>
          <w:i/>
          <w:color w:val="000000" w:themeColor="text1"/>
          <w:sz w:val="24"/>
          <w:szCs w:val="24"/>
        </w:rPr>
      </w:pPr>
      <w:r>
        <w:rPr>
          <w:i/>
          <w:color w:val="000000" w:themeColor="text1"/>
          <w:sz w:val="24"/>
          <w:szCs w:val="24"/>
        </w:rPr>
        <w:t>“</w:t>
      </w:r>
      <w:r w:rsidR="00A15BEF" w:rsidRPr="00664A80">
        <w:rPr>
          <w:i/>
          <w:color w:val="000000" w:themeColor="text1"/>
          <w:sz w:val="24"/>
          <w:szCs w:val="24"/>
        </w:rPr>
        <w:t xml:space="preserve">The specific duties require schools: </w:t>
      </w:r>
    </w:p>
    <w:p w14:paraId="53E8B61D" w14:textId="77777777" w:rsidR="00664A80" w:rsidRPr="00664A80" w:rsidRDefault="00A15BEF" w:rsidP="00664A80">
      <w:pPr>
        <w:pStyle w:val="ListParagraph"/>
        <w:numPr>
          <w:ilvl w:val="0"/>
          <w:numId w:val="10"/>
        </w:numPr>
        <w:rPr>
          <w:i/>
          <w:color w:val="000000" w:themeColor="text1"/>
          <w:sz w:val="24"/>
          <w:szCs w:val="24"/>
        </w:rPr>
      </w:pPr>
      <w:r w:rsidRPr="00664A80">
        <w:rPr>
          <w:i/>
          <w:color w:val="000000" w:themeColor="text1"/>
          <w:sz w:val="24"/>
          <w:szCs w:val="24"/>
        </w:rPr>
        <w:t xml:space="preserve">to publish information to demonstrate how they are complying with the Public Sector Equality Duty, and </w:t>
      </w:r>
    </w:p>
    <w:p w14:paraId="2B914A86" w14:textId="77777777" w:rsidR="00664A80" w:rsidRPr="00664A80" w:rsidRDefault="00A15BEF" w:rsidP="00664A80">
      <w:pPr>
        <w:pStyle w:val="ListParagraph"/>
        <w:numPr>
          <w:ilvl w:val="0"/>
          <w:numId w:val="10"/>
        </w:numPr>
        <w:rPr>
          <w:i/>
          <w:color w:val="000000" w:themeColor="text1"/>
          <w:sz w:val="24"/>
          <w:szCs w:val="24"/>
        </w:rPr>
      </w:pPr>
      <w:r w:rsidRPr="00664A80">
        <w:rPr>
          <w:i/>
          <w:color w:val="000000" w:themeColor="text1"/>
          <w:sz w:val="24"/>
          <w:szCs w:val="24"/>
        </w:rPr>
        <w:t xml:space="preserve">to prepare and publish equality objectives. </w:t>
      </w:r>
    </w:p>
    <w:p w14:paraId="0717DBE4" w14:textId="77777777" w:rsidR="00664A80" w:rsidRPr="00664A80" w:rsidRDefault="00664A80" w:rsidP="00A15BEF">
      <w:pPr>
        <w:pStyle w:val="ListParagraph"/>
        <w:rPr>
          <w:i/>
          <w:color w:val="000000" w:themeColor="text1"/>
          <w:sz w:val="24"/>
          <w:szCs w:val="24"/>
        </w:rPr>
      </w:pPr>
    </w:p>
    <w:p w14:paraId="352210A0" w14:textId="2C70B3D2" w:rsidR="00A15BEF" w:rsidRDefault="00A15BEF" w:rsidP="00A15BEF">
      <w:pPr>
        <w:pStyle w:val="ListParagraph"/>
        <w:rPr>
          <w:i/>
          <w:color w:val="000000" w:themeColor="text1"/>
          <w:sz w:val="24"/>
          <w:szCs w:val="24"/>
        </w:rPr>
      </w:pPr>
      <w:r w:rsidRPr="00664A80">
        <w:rPr>
          <w:i/>
          <w:color w:val="000000" w:themeColor="text1"/>
          <w:sz w:val="24"/>
          <w:szCs w:val="24"/>
        </w:rPr>
        <w:t>By 6 April 2012 schools were obliged to publish their initial information and first set of objectives demonstrating how it complies with the general duty. School have to update the published information at least annually and to publish objectives at least once every four years.</w:t>
      </w:r>
      <w:r w:rsidR="00664A80">
        <w:rPr>
          <w:i/>
          <w:color w:val="000000" w:themeColor="text1"/>
          <w:sz w:val="24"/>
          <w:szCs w:val="24"/>
        </w:rPr>
        <w:t>”</w:t>
      </w:r>
    </w:p>
    <w:p w14:paraId="7AAF5202" w14:textId="77777777" w:rsidR="00664A80" w:rsidRDefault="00664A80" w:rsidP="00A15BEF">
      <w:pPr>
        <w:pStyle w:val="ListParagraph"/>
        <w:rPr>
          <w:i/>
          <w:color w:val="000000" w:themeColor="text1"/>
          <w:sz w:val="24"/>
          <w:szCs w:val="24"/>
        </w:rPr>
      </w:pPr>
    </w:p>
    <w:p w14:paraId="32EA04F2" w14:textId="340B1FF9" w:rsidR="00664A80" w:rsidRDefault="00664A80" w:rsidP="00840EAE">
      <w:pPr>
        <w:pStyle w:val="ListParagraph"/>
        <w:rPr>
          <w:rStyle w:val="Hyperlink"/>
          <w:sz w:val="24"/>
        </w:rPr>
      </w:pPr>
      <w:r>
        <w:rPr>
          <w:color w:val="000000" w:themeColor="text1"/>
          <w:sz w:val="24"/>
          <w:szCs w:val="24"/>
        </w:rPr>
        <w:t xml:space="preserve">Paragraph 5.11: </w:t>
      </w:r>
      <w:hyperlink r:id="rId14" w:history="1">
        <w:r w:rsidRPr="00F274B2">
          <w:rPr>
            <w:rStyle w:val="Hyperlink"/>
            <w:sz w:val="24"/>
          </w:rPr>
          <w:t>Equality Act 2010: advice for schools</w:t>
        </w:r>
      </w:hyperlink>
    </w:p>
    <w:p w14:paraId="2AD9130B" w14:textId="77777777" w:rsidR="0040343A" w:rsidRDefault="0040343A" w:rsidP="00664A80">
      <w:pPr>
        <w:pStyle w:val="ListParagraph"/>
        <w:ind w:left="0"/>
        <w:rPr>
          <w:rStyle w:val="Hyperlink"/>
          <w:sz w:val="24"/>
        </w:rPr>
      </w:pPr>
    </w:p>
    <w:p w14:paraId="03D57CA2" w14:textId="77777777" w:rsidR="00840EAE" w:rsidRDefault="00840EAE" w:rsidP="0040343A">
      <w:pPr>
        <w:rPr>
          <w:rStyle w:val="Hyperlink"/>
          <w:color w:val="000000" w:themeColor="text1"/>
          <w:sz w:val="24"/>
          <w:szCs w:val="24"/>
        </w:rPr>
      </w:pPr>
    </w:p>
    <w:p w14:paraId="18419104" w14:textId="77777777" w:rsidR="00840EAE" w:rsidRDefault="00840EAE" w:rsidP="0040343A">
      <w:pPr>
        <w:rPr>
          <w:rStyle w:val="Hyperlink"/>
          <w:color w:val="000000" w:themeColor="text1"/>
          <w:sz w:val="24"/>
          <w:szCs w:val="24"/>
        </w:rPr>
      </w:pPr>
    </w:p>
    <w:p w14:paraId="08312866" w14:textId="77777777" w:rsidR="00840EAE" w:rsidRDefault="00840EAE" w:rsidP="0040343A">
      <w:pPr>
        <w:rPr>
          <w:rStyle w:val="Hyperlink"/>
          <w:color w:val="000000" w:themeColor="text1"/>
          <w:sz w:val="24"/>
          <w:szCs w:val="24"/>
        </w:rPr>
      </w:pPr>
    </w:p>
    <w:p w14:paraId="275818BB" w14:textId="4995858C" w:rsidR="0040343A" w:rsidRDefault="0040343A" w:rsidP="0040343A">
      <w:pPr>
        <w:rPr>
          <w:rStyle w:val="Hyperlink"/>
          <w:color w:val="000000" w:themeColor="text1"/>
          <w:sz w:val="24"/>
          <w:szCs w:val="24"/>
        </w:rPr>
      </w:pPr>
      <w:r w:rsidRPr="00A15B50">
        <w:rPr>
          <w:rStyle w:val="Hyperlink"/>
          <w:color w:val="000000" w:themeColor="text1"/>
          <w:sz w:val="24"/>
          <w:szCs w:val="24"/>
        </w:rPr>
        <w:lastRenderedPageBreak/>
        <w:t>Suggested wording</w:t>
      </w:r>
    </w:p>
    <w:p w14:paraId="64BC500E" w14:textId="5DF53023" w:rsidR="0040343A" w:rsidRPr="0040343A" w:rsidRDefault="0040343A" w:rsidP="0040343A">
      <w:pPr>
        <w:rPr>
          <w:i/>
          <w:color w:val="000000" w:themeColor="text1"/>
          <w:sz w:val="32"/>
          <w:szCs w:val="32"/>
          <w:u w:val="single"/>
        </w:rPr>
      </w:pPr>
      <w:r>
        <w:rPr>
          <w:rStyle w:val="Hyperlink"/>
          <w:rFonts w:cstheme="minorHAnsi"/>
          <w:i/>
          <w:color w:val="000000" w:themeColor="text1"/>
        </w:rPr>
        <w:t>(</w:t>
      </w:r>
      <w:r>
        <w:rPr>
          <w:rFonts w:cstheme="minorHAnsi"/>
          <w:i/>
          <w:color w:val="000000" w:themeColor="text1"/>
        </w:rPr>
        <w:t xml:space="preserve">This suggested wording is a guide. You might need to make amendments to fit the individual circumstances of the pupil in question. You can also make reference to the above excerpts to strengthen your argument). </w:t>
      </w:r>
    </w:p>
    <w:p w14:paraId="4F67A504" w14:textId="77777777" w:rsidR="0040343A" w:rsidRPr="0040343A" w:rsidRDefault="00840EAE" w:rsidP="0040343A">
      <w:pPr>
        <w:spacing w:after="0" w:line="240" w:lineRule="auto"/>
        <w:jc w:val="both"/>
        <w:rPr>
          <w:rFonts w:eastAsia="Times New Roman" w:cstheme="minorHAnsi"/>
          <w:sz w:val="24"/>
          <w:szCs w:val="24"/>
          <w:lang w:eastAsia="en-GB"/>
        </w:rPr>
      </w:pPr>
      <w:sdt>
        <w:sdtPr>
          <w:rPr>
            <w:rStyle w:val="eop"/>
            <w:rFonts w:cstheme="minorHAnsi"/>
            <w:sz w:val="24"/>
            <w:szCs w:val="24"/>
          </w:rPr>
          <w:tag w:val=""/>
          <w:id w:val="-1806995456"/>
          <w:placeholder>
            <w:docPart w:val="050B94995A4442F3ACF024E4451ADD8E"/>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0040343A" w:rsidRPr="0040343A">
            <w:rPr>
              <w:rStyle w:val="PlaceholderText"/>
              <w:sz w:val="24"/>
              <w:szCs w:val="24"/>
            </w:rPr>
            <w:t>young person</w:t>
          </w:r>
        </w:sdtContent>
      </w:sdt>
      <w:r w:rsidR="0040343A" w:rsidRPr="0040343A">
        <w:rPr>
          <w:rFonts w:eastAsia="Times New Roman" w:cstheme="minorHAnsi"/>
          <w:sz w:val="24"/>
          <w:szCs w:val="24"/>
          <w:lang w:eastAsia="en-GB"/>
        </w:rPr>
        <w:t xml:space="preserve"> is </w:t>
      </w:r>
      <w:sdt>
        <w:sdtPr>
          <w:rPr>
            <w:rFonts w:eastAsia="Times New Roman" w:cstheme="minorHAnsi"/>
            <w:sz w:val="24"/>
            <w:szCs w:val="24"/>
            <w:lang w:eastAsia="en-GB"/>
          </w:rPr>
          <w:tag w:val=""/>
          <w:id w:val="-668714209"/>
          <w:placeholder>
            <w:docPart w:val="679AD12EE56A4AABA46249D234DC8BEF"/>
          </w:placeholder>
          <w:showingPlcHdr/>
          <w:dataBinding w:prefixMappings="xmlns:ns0='http://schemas.microsoft.com/office/2006/coverPageProps' " w:xpath="/ns0:CoverPageProperties[1]/ns0:CompanyAddress[1]" w:storeItemID="{55AF091B-3C7A-41E3-B477-F2FDAA23CFDA}"/>
          <w:text/>
        </w:sdtPr>
        <w:sdtEndPr/>
        <w:sdtContent>
          <w:r w:rsidR="0040343A" w:rsidRPr="0040343A">
            <w:rPr>
              <w:rStyle w:val="PlaceholderText"/>
              <w:sz w:val="24"/>
              <w:szCs w:val="24"/>
            </w:rPr>
            <w:t>protected characteristic</w:t>
          </w:r>
        </w:sdtContent>
      </w:sdt>
      <w:r w:rsidR="0040343A" w:rsidRPr="0040343A">
        <w:rPr>
          <w:rFonts w:eastAsia="Times New Roman" w:cstheme="minorHAnsi"/>
          <w:sz w:val="24"/>
          <w:szCs w:val="24"/>
          <w:lang w:eastAsia="en-GB"/>
        </w:rPr>
        <w:t xml:space="preserve">, which is a protected characteristic under the category of </w:t>
      </w:r>
      <w:sdt>
        <w:sdtPr>
          <w:rPr>
            <w:rFonts w:eastAsia="Times New Roman" w:cstheme="minorHAnsi"/>
            <w:sz w:val="24"/>
            <w:szCs w:val="24"/>
            <w:lang w:eastAsia="en-GB"/>
          </w:rPr>
          <w:alias w:val="select one using the drop-down list"/>
          <w:tag w:val="select one using the drop-down list"/>
          <w:id w:val="-1238468596"/>
          <w:placeholder>
            <w:docPart w:val="5A814D45E04C4E84A14302674EBC0F29"/>
          </w:placeholder>
          <w:showingPlcHdr/>
          <w:comboBox>
            <w:listItem w:value="Choose an item."/>
            <w:listItem w:displayText="age" w:value="age"/>
            <w:listItem w:displayText="disability" w:value="disability"/>
            <w:listItem w:displayText="gender reassignment" w:value="gender reassignment"/>
            <w:listItem w:displayText="marriage and civil partnership" w:value="marriage and civil partnership"/>
            <w:listItem w:displayText="pregnancy and maternity" w:value="pregnancy and maternity"/>
            <w:listItem w:displayText="race" w:value="race"/>
            <w:listItem w:displayText="religion and belief" w:value="religion and belief"/>
            <w:listItem w:displayText="sex" w:value="sex"/>
            <w:listItem w:displayText="sexual orientation" w:value="sexual orientation"/>
          </w:comboBox>
        </w:sdtPr>
        <w:sdtEndPr/>
        <w:sdtContent>
          <w:r w:rsidR="0040343A" w:rsidRPr="0040343A">
            <w:rPr>
              <w:rStyle w:val="PlaceholderText"/>
              <w:sz w:val="24"/>
              <w:szCs w:val="24"/>
            </w:rPr>
            <w:t>category of protected characteristic</w:t>
          </w:r>
        </w:sdtContent>
      </w:sdt>
      <w:r w:rsidR="0040343A" w:rsidRPr="0040343A">
        <w:rPr>
          <w:rFonts w:eastAsia="Times New Roman" w:cstheme="minorHAnsi"/>
          <w:sz w:val="24"/>
          <w:szCs w:val="24"/>
          <w:lang w:eastAsia="en-GB"/>
        </w:rPr>
        <w:t xml:space="preserve">. </w:t>
      </w:r>
    </w:p>
    <w:p w14:paraId="56327347" w14:textId="77777777" w:rsidR="0040343A" w:rsidRPr="0040343A" w:rsidRDefault="0040343A" w:rsidP="0040343A">
      <w:pPr>
        <w:spacing w:after="0" w:line="240" w:lineRule="auto"/>
        <w:jc w:val="both"/>
        <w:rPr>
          <w:rFonts w:eastAsia="Times New Roman" w:cstheme="minorHAnsi"/>
          <w:sz w:val="24"/>
          <w:szCs w:val="24"/>
          <w:lang w:eastAsia="en-GB"/>
        </w:rPr>
      </w:pPr>
    </w:p>
    <w:p w14:paraId="687D490D" w14:textId="77777777" w:rsidR="0040343A" w:rsidRPr="0040343A" w:rsidRDefault="0040343A" w:rsidP="0040343A">
      <w:pPr>
        <w:spacing w:after="0" w:line="240" w:lineRule="auto"/>
        <w:jc w:val="both"/>
        <w:rPr>
          <w:rFonts w:eastAsia="Times New Roman" w:cstheme="minorHAnsi"/>
          <w:sz w:val="24"/>
          <w:szCs w:val="24"/>
          <w:lang w:eastAsia="en-GB"/>
        </w:rPr>
      </w:pPr>
      <w:r w:rsidRPr="0040343A">
        <w:rPr>
          <w:rFonts w:eastAsia="Times New Roman" w:cstheme="minorHAnsi"/>
          <w:sz w:val="24"/>
          <w:szCs w:val="24"/>
          <w:lang w:eastAsia="en-GB"/>
        </w:rPr>
        <w:t xml:space="preserve">This is a vulnerable group of young people, and yet the school has failed to show that they have proactively pursued policies and practices which foster equality of opportunity between people who are </w:t>
      </w:r>
      <w:sdt>
        <w:sdtPr>
          <w:rPr>
            <w:rFonts w:eastAsia="Times New Roman" w:cstheme="minorHAnsi"/>
            <w:sz w:val="24"/>
            <w:szCs w:val="24"/>
            <w:lang w:eastAsia="en-GB"/>
          </w:rPr>
          <w:tag w:val=""/>
          <w:id w:val="1443268673"/>
          <w:placeholder>
            <w:docPart w:val="B8D50C8322FF440EBCBA899F3919D471"/>
          </w:placeholder>
          <w:showingPlcHdr/>
          <w:dataBinding w:prefixMappings="xmlns:ns0='http://schemas.microsoft.com/office/2006/coverPageProps' " w:xpath="/ns0:CoverPageProperties[1]/ns0:CompanyAddress[1]" w:storeItemID="{55AF091B-3C7A-41E3-B477-F2FDAA23CFDA}"/>
          <w:text/>
        </w:sdtPr>
        <w:sdtEndPr/>
        <w:sdtContent>
          <w:r w:rsidRPr="0040343A">
            <w:rPr>
              <w:rStyle w:val="PlaceholderText"/>
              <w:sz w:val="24"/>
              <w:szCs w:val="24"/>
            </w:rPr>
            <w:t>protected characteristic</w:t>
          </w:r>
        </w:sdtContent>
      </w:sdt>
      <w:r w:rsidRPr="0040343A">
        <w:rPr>
          <w:rFonts w:eastAsia="Times New Roman" w:cstheme="minorHAnsi"/>
          <w:sz w:val="24"/>
          <w:szCs w:val="24"/>
          <w:lang w:eastAsia="en-GB"/>
        </w:rPr>
        <w:t>, and people who are not.</w:t>
      </w:r>
    </w:p>
    <w:p w14:paraId="296864E5" w14:textId="77777777" w:rsidR="0040343A" w:rsidRPr="0040343A" w:rsidRDefault="0040343A" w:rsidP="0040343A">
      <w:pPr>
        <w:spacing w:after="0" w:line="240" w:lineRule="auto"/>
        <w:jc w:val="both"/>
        <w:rPr>
          <w:rFonts w:eastAsia="Times New Roman" w:cstheme="minorHAnsi"/>
          <w:sz w:val="24"/>
          <w:szCs w:val="24"/>
          <w:lang w:eastAsia="en-GB"/>
        </w:rPr>
      </w:pPr>
    </w:p>
    <w:p w14:paraId="24F3719F" w14:textId="77777777" w:rsidR="0040343A" w:rsidRPr="0040343A" w:rsidRDefault="0040343A" w:rsidP="0040343A">
      <w:pPr>
        <w:spacing w:after="0" w:line="240" w:lineRule="auto"/>
        <w:jc w:val="both"/>
        <w:rPr>
          <w:rFonts w:eastAsia="Times New Roman" w:cstheme="minorHAnsi"/>
          <w:sz w:val="24"/>
          <w:szCs w:val="24"/>
          <w:lang w:eastAsia="en-GB"/>
        </w:rPr>
      </w:pPr>
      <w:r w:rsidRPr="0040343A">
        <w:rPr>
          <w:rFonts w:eastAsia="Times New Roman" w:cstheme="minorHAnsi"/>
          <w:sz w:val="24"/>
          <w:szCs w:val="24"/>
          <w:lang w:eastAsia="en-GB"/>
        </w:rPr>
        <w:t xml:space="preserve">The school has therefore failed to satisfy its public sector equality duty and </w:t>
      </w:r>
      <w:sdt>
        <w:sdtPr>
          <w:rPr>
            <w:rStyle w:val="eop"/>
            <w:rFonts w:cstheme="minorHAnsi"/>
            <w:sz w:val="24"/>
            <w:szCs w:val="24"/>
          </w:rPr>
          <w:tag w:val=""/>
          <w:id w:val="-1742860961"/>
          <w:placeholder>
            <w:docPart w:val="B69295C7F0984EF187C06F2A4CE5F122"/>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40343A">
            <w:rPr>
              <w:rStyle w:val="PlaceholderText"/>
              <w:sz w:val="24"/>
              <w:szCs w:val="24"/>
            </w:rPr>
            <w:t>young person</w:t>
          </w:r>
        </w:sdtContent>
      </w:sdt>
      <w:r w:rsidRPr="0040343A">
        <w:rPr>
          <w:rStyle w:val="eop"/>
          <w:rFonts w:cstheme="minorHAnsi"/>
          <w:sz w:val="24"/>
          <w:szCs w:val="24"/>
        </w:rPr>
        <w:t xml:space="preserve"> should be reinstated with immediate effect.</w:t>
      </w:r>
    </w:p>
    <w:p w14:paraId="75823761" w14:textId="77777777" w:rsidR="00A15BEF" w:rsidRPr="00A15BEF" w:rsidRDefault="00A15BEF" w:rsidP="00A15BEF">
      <w:pPr>
        <w:rPr>
          <w:rStyle w:val="Hyperlink"/>
          <w:i/>
          <w:color w:val="000000" w:themeColor="text1"/>
          <w:sz w:val="28"/>
        </w:rPr>
      </w:pPr>
    </w:p>
    <w:p w14:paraId="5344AF1C" w14:textId="77777777" w:rsidR="00A15BEF" w:rsidRPr="00A15BEF" w:rsidRDefault="00A15BEF" w:rsidP="00A15BEF">
      <w:pPr>
        <w:rPr>
          <w:rStyle w:val="Hyperlink"/>
          <w:color w:val="000000" w:themeColor="text1"/>
          <w:sz w:val="24"/>
          <w:u w:val="none"/>
        </w:rPr>
      </w:pPr>
    </w:p>
    <w:p w14:paraId="1ABB48B2" w14:textId="62508B67" w:rsidR="0069611C" w:rsidRPr="005319C1" w:rsidRDefault="0069611C" w:rsidP="0069611C">
      <w:pPr>
        <w:pStyle w:val="ListParagraph"/>
        <w:ind w:left="0"/>
        <w:rPr>
          <w:i/>
          <w:color w:val="000000" w:themeColor="text1"/>
          <w:sz w:val="24"/>
          <w:szCs w:val="24"/>
        </w:rPr>
      </w:pPr>
    </w:p>
    <w:sectPr w:rsidR="0069611C" w:rsidRPr="005319C1" w:rsidSect="009043F7">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CD7A3" w14:textId="77777777" w:rsidR="00C64535" w:rsidRDefault="00C64535" w:rsidP="00AB1096">
      <w:pPr>
        <w:spacing w:after="0" w:line="240" w:lineRule="auto"/>
      </w:pPr>
      <w:r>
        <w:separator/>
      </w:r>
    </w:p>
  </w:endnote>
  <w:endnote w:type="continuationSeparator" w:id="0">
    <w:p w14:paraId="29D4C4EF" w14:textId="77777777" w:rsidR="00C64535" w:rsidRDefault="00C64535"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D641E" w14:textId="77777777" w:rsidR="00840EAE" w:rsidRDefault="00840E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F83B6" w14:textId="77777777" w:rsidR="00857D70" w:rsidRDefault="00857D70" w:rsidP="00CC3BB7">
    <w:pPr>
      <w:pStyle w:val="Footer"/>
      <w:rPr>
        <w:color w:val="000000" w:themeColor="text1"/>
        <w:sz w:val="20"/>
        <w:szCs w:val="20"/>
      </w:rPr>
    </w:pPr>
  </w:p>
  <w:p w14:paraId="233CB7A2" w14:textId="77777777" w:rsidR="00857D70" w:rsidRDefault="00857D70" w:rsidP="00CC3BB7">
    <w:pPr>
      <w:pStyle w:val="Footer"/>
      <w:rPr>
        <w:color w:val="000000" w:themeColor="text1"/>
        <w:sz w:val="20"/>
        <w:szCs w:val="20"/>
      </w:rPr>
    </w:pPr>
  </w:p>
  <w:p w14:paraId="21C20835" w14:textId="1FA3ED50"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 xml:space="preserve">rrect at the time of writing, </w:t>
    </w:r>
    <w:r w:rsidR="00840EAE">
      <w:rPr>
        <w:color w:val="000000" w:themeColor="text1"/>
        <w:sz w:val="20"/>
        <w:szCs w:val="20"/>
      </w:rPr>
      <w:t>18 November</w:t>
    </w:r>
    <w:r w:rsidR="00CC3BB7" w:rsidRPr="00CC3BB7">
      <w:rPr>
        <w:color w:val="000000" w:themeColor="text1"/>
        <w:sz w:val="20"/>
        <w:szCs w:val="20"/>
      </w:rPr>
      <w:t xml:space="preserve"> 202</w:t>
    </w:r>
    <w:r w:rsidR="00840EAE">
      <w:rPr>
        <w:color w:val="000000" w:themeColor="text1"/>
        <w:sz w:val="20"/>
        <w:szCs w:val="20"/>
      </w:rPr>
      <w:t>4</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DD2B8" w14:textId="77777777" w:rsidR="00840EAE" w:rsidRDefault="00840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9705D" w14:textId="77777777" w:rsidR="00C64535" w:rsidRDefault="00C64535" w:rsidP="00AB1096">
      <w:pPr>
        <w:spacing w:after="0" w:line="240" w:lineRule="auto"/>
      </w:pPr>
      <w:r>
        <w:separator/>
      </w:r>
    </w:p>
  </w:footnote>
  <w:footnote w:type="continuationSeparator" w:id="0">
    <w:p w14:paraId="011F17D2" w14:textId="77777777" w:rsidR="00C64535" w:rsidRDefault="00C64535"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4317B" w14:textId="77777777" w:rsidR="00840EAE" w:rsidRDefault="00840E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5FEDF5C9" w:rsidR="00AB1096" w:rsidRPr="00B8152B" w:rsidRDefault="00AB1096" w:rsidP="00AB1096">
    <w:pPr>
      <w:pStyle w:val="Header"/>
      <w:rPr>
        <w:color w:val="FF0000"/>
        <w:sz w:val="48"/>
        <w:szCs w:val="48"/>
      </w:rPr>
    </w:pPr>
    <w:r w:rsidRPr="00B8152B">
      <w:rPr>
        <w:noProof/>
        <w:color w:val="FF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00CD0EB1" w:rsidRPr="003F645C">
      <w:rPr>
        <w:color w:val="C00000"/>
        <w:sz w:val="48"/>
        <w:szCs w:val="48"/>
      </w:rPr>
      <w:t>School Exclusions Hub</w:t>
    </w:r>
  </w:p>
  <w:p w14:paraId="4ED0675E" w14:textId="5B70A806" w:rsidR="00B8152B" w:rsidRDefault="00D62049" w:rsidP="00AB1096">
    <w:pPr>
      <w:pStyle w:val="Header"/>
      <w:rPr>
        <w:sz w:val="32"/>
        <w:szCs w:val="32"/>
      </w:rPr>
    </w:pPr>
    <w:r>
      <w:rPr>
        <w:b/>
        <w:bCs/>
        <w:sz w:val="32"/>
        <w:szCs w:val="32"/>
      </w:rPr>
      <w:t>Argument to the Governors</w:t>
    </w:r>
    <w:r w:rsidR="00B8152B" w:rsidRPr="00B8152B">
      <w:rPr>
        <w:b/>
        <w:bCs/>
        <w:sz w:val="32"/>
        <w:szCs w:val="32"/>
      </w:rPr>
      <w:t>:</w:t>
    </w:r>
    <w:r w:rsidR="00B8152B" w:rsidRPr="00B8152B">
      <w:rPr>
        <w:sz w:val="32"/>
        <w:szCs w:val="32"/>
      </w:rPr>
      <w:t xml:space="preserve"> </w:t>
    </w:r>
  </w:p>
  <w:p w14:paraId="2C1A5D50" w14:textId="277FEDD1" w:rsidR="00AB1096" w:rsidRDefault="00AC3110" w:rsidP="00B8152B">
    <w:pPr>
      <w:pStyle w:val="Header"/>
      <w:rPr>
        <w:sz w:val="32"/>
        <w:szCs w:val="32"/>
      </w:rPr>
    </w:pPr>
    <w:r>
      <w:rPr>
        <w:sz w:val="32"/>
        <w:szCs w:val="32"/>
      </w:rPr>
      <w:t>Public Sector Equality Duty not satisfied</w:t>
    </w:r>
  </w:p>
  <w:p w14:paraId="4C98AEC1" w14:textId="77777777" w:rsidR="00594D49" w:rsidRPr="00AB1096" w:rsidRDefault="00594D49" w:rsidP="00B815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B2C49" w14:textId="77777777" w:rsidR="00840EAE" w:rsidRDefault="00840E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74579"/>
    <w:multiLevelType w:val="hybridMultilevel"/>
    <w:tmpl w:val="0DA4C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8D6599"/>
    <w:multiLevelType w:val="hybridMultilevel"/>
    <w:tmpl w:val="EDC67084"/>
    <w:lvl w:ilvl="0" w:tplc="F8F2E72A">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2979A6"/>
    <w:multiLevelType w:val="hybridMultilevel"/>
    <w:tmpl w:val="3496A542"/>
    <w:lvl w:ilvl="0" w:tplc="B56ED824">
      <w:start w:val="1582"/>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0F00B70"/>
    <w:multiLevelType w:val="hybridMultilevel"/>
    <w:tmpl w:val="E7D8DCCC"/>
    <w:lvl w:ilvl="0" w:tplc="B56ED824">
      <w:start w:val="15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553334"/>
    <w:multiLevelType w:val="hybridMultilevel"/>
    <w:tmpl w:val="FD5AEB0A"/>
    <w:lvl w:ilvl="0" w:tplc="B56ED824">
      <w:start w:val="15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DC5F41"/>
    <w:multiLevelType w:val="hybridMultilevel"/>
    <w:tmpl w:val="62CC9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DA2CC4"/>
    <w:multiLevelType w:val="hybridMultilevel"/>
    <w:tmpl w:val="63344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373869"/>
    <w:multiLevelType w:val="hybridMultilevel"/>
    <w:tmpl w:val="C136E9AE"/>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6EA62DBD"/>
    <w:multiLevelType w:val="hybridMultilevel"/>
    <w:tmpl w:val="53F65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0"/>
  </w:num>
  <w:num w:numId="5">
    <w:abstractNumId w:val="9"/>
  </w:num>
  <w:num w:numId="6">
    <w:abstractNumId w:val="3"/>
  </w:num>
  <w:num w:numId="7">
    <w:abstractNumId w:val="2"/>
  </w:num>
  <w:num w:numId="8">
    <w:abstractNumId w:val="4"/>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133309"/>
    <w:rsid w:val="00195529"/>
    <w:rsid w:val="00197D59"/>
    <w:rsid w:val="0022141B"/>
    <w:rsid w:val="00286AB1"/>
    <w:rsid w:val="002C55BC"/>
    <w:rsid w:val="002D6204"/>
    <w:rsid w:val="003570F1"/>
    <w:rsid w:val="003B5E76"/>
    <w:rsid w:val="0040343A"/>
    <w:rsid w:val="004548FB"/>
    <w:rsid w:val="005319C1"/>
    <w:rsid w:val="00594D49"/>
    <w:rsid w:val="006057DA"/>
    <w:rsid w:val="00620F96"/>
    <w:rsid w:val="00640F18"/>
    <w:rsid w:val="00664A80"/>
    <w:rsid w:val="00681DC6"/>
    <w:rsid w:val="00686CD6"/>
    <w:rsid w:val="0069611C"/>
    <w:rsid w:val="00702447"/>
    <w:rsid w:val="00755E84"/>
    <w:rsid w:val="007722CF"/>
    <w:rsid w:val="00811D1D"/>
    <w:rsid w:val="00821879"/>
    <w:rsid w:val="00827407"/>
    <w:rsid w:val="00840EAE"/>
    <w:rsid w:val="00857D70"/>
    <w:rsid w:val="009043F7"/>
    <w:rsid w:val="009D6DAE"/>
    <w:rsid w:val="00A15BEF"/>
    <w:rsid w:val="00A22994"/>
    <w:rsid w:val="00AB1096"/>
    <w:rsid w:val="00AC3110"/>
    <w:rsid w:val="00B01F9B"/>
    <w:rsid w:val="00B562D8"/>
    <w:rsid w:val="00B8152B"/>
    <w:rsid w:val="00BF397E"/>
    <w:rsid w:val="00C11AC1"/>
    <w:rsid w:val="00C64535"/>
    <w:rsid w:val="00C93A87"/>
    <w:rsid w:val="00CA2AE7"/>
    <w:rsid w:val="00CC3BB7"/>
    <w:rsid w:val="00CD0EB1"/>
    <w:rsid w:val="00CF166E"/>
    <w:rsid w:val="00D62049"/>
    <w:rsid w:val="00DE78F3"/>
    <w:rsid w:val="00EB2EE5"/>
    <w:rsid w:val="00F274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styleId="FollowedHyperlink">
    <w:name w:val="FollowedHyperlink"/>
    <w:basedOn w:val="DefaultParagraphFont"/>
    <w:uiPriority w:val="99"/>
    <w:semiHidden/>
    <w:unhideWhenUsed/>
    <w:rsid w:val="00A15BEF"/>
    <w:rPr>
      <w:color w:val="954F72" w:themeColor="followedHyperlink"/>
      <w:u w:val="single"/>
    </w:rPr>
  </w:style>
  <w:style w:type="character" w:customStyle="1" w:styleId="eop">
    <w:name w:val="eop"/>
    <w:basedOn w:val="DefaultParagraphFont"/>
    <w:rsid w:val="0040343A"/>
  </w:style>
  <w:style w:type="character" w:styleId="UnresolvedMention">
    <w:name w:val="Unresolved Mention"/>
    <w:basedOn w:val="DefaultParagraphFont"/>
    <w:uiPriority w:val="99"/>
    <w:semiHidden/>
    <w:unhideWhenUsed/>
    <w:rsid w:val="00840E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2035">
      <w:bodyDiv w:val="1"/>
      <w:marLeft w:val="0"/>
      <w:marRight w:val="0"/>
      <w:marTop w:val="0"/>
      <w:marBottom w:val="0"/>
      <w:divBdr>
        <w:top w:val="none" w:sz="0" w:space="0" w:color="auto"/>
        <w:left w:val="none" w:sz="0" w:space="0" w:color="auto"/>
        <w:bottom w:val="none" w:sz="0" w:space="0" w:color="auto"/>
        <w:right w:val="none" w:sz="0" w:space="0" w:color="auto"/>
      </w:divBdr>
      <w:divsChild>
        <w:div w:id="1014575611">
          <w:marLeft w:val="0"/>
          <w:marRight w:val="0"/>
          <w:marTop w:val="0"/>
          <w:marBottom w:val="0"/>
          <w:divBdr>
            <w:top w:val="none" w:sz="0" w:space="0" w:color="auto"/>
            <w:left w:val="none" w:sz="0" w:space="0" w:color="auto"/>
            <w:bottom w:val="none" w:sz="0" w:space="0" w:color="auto"/>
            <w:right w:val="none" w:sz="0" w:space="0" w:color="auto"/>
          </w:divBdr>
          <w:divsChild>
            <w:div w:id="1599098837">
              <w:marLeft w:val="0"/>
              <w:marRight w:val="0"/>
              <w:marTop w:val="0"/>
              <w:marBottom w:val="0"/>
              <w:divBdr>
                <w:top w:val="none" w:sz="0" w:space="0" w:color="auto"/>
                <w:left w:val="none" w:sz="0" w:space="0" w:color="auto"/>
                <w:bottom w:val="none" w:sz="0" w:space="0" w:color="auto"/>
                <w:right w:val="none" w:sz="0" w:space="0" w:color="auto"/>
              </w:divBdr>
              <w:divsChild>
                <w:div w:id="198647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32145">
      <w:bodyDiv w:val="1"/>
      <w:marLeft w:val="0"/>
      <w:marRight w:val="0"/>
      <w:marTop w:val="0"/>
      <w:marBottom w:val="0"/>
      <w:divBdr>
        <w:top w:val="none" w:sz="0" w:space="0" w:color="auto"/>
        <w:left w:val="none" w:sz="0" w:space="0" w:color="auto"/>
        <w:bottom w:val="none" w:sz="0" w:space="0" w:color="auto"/>
        <w:right w:val="none" w:sz="0" w:space="0" w:color="auto"/>
      </w:divBdr>
    </w:div>
    <w:div w:id="687215734">
      <w:bodyDiv w:val="1"/>
      <w:marLeft w:val="0"/>
      <w:marRight w:val="0"/>
      <w:marTop w:val="0"/>
      <w:marBottom w:val="0"/>
      <w:divBdr>
        <w:top w:val="none" w:sz="0" w:space="0" w:color="auto"/>
        <w:left w:val="none" w:sz="0" w:space="0" w:color="auto"/>
        <w:bottom w:val="none" w:sz="0" w:space="0" w:color="auto"/>
        <w:right w:val="none" w:sz="0" w:space="0" w:color="auto"/>
      </w:divBdr>
      <w:divsChild>
        <w:div w:id="1206060477">
          <w:marLeft w:val="0"/>
          <w:marRight w:val="0"/>
          <w:marTop w:val="0"/>
          <w:marBottom w:val="0"/>
          <w:divBdr>
            <w:top w:val="none" w:sz="0" w:space="0" w:color="auto"/>
            <w:left w:val="none" w:sz="0" w:space="0" w:color="auto"/>
            <w:bottom w:val="none" w:sz="0" w:space="0" w:color="auto"/>
            <w:right w:val="none" w:sz="0" w:space="0" w:color="auto"/>
          </w:divBdr>
          <w:divsChild>
            <w:div w:id="7357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equality-act-2010-advice-for-schools" TargetMode="External"/><Relationship Id="rId13" Type="http://schemas.openxmlformats.org/officeDocument/2006/relationships/hyperlink" Target="https://www.gov.uk/government/publications/equality-act-2010-advice-for-schools"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ov.uk/government/publications/school-exclusion" TargetMode="External"/><Relationship Id="rId12" Type="http://schemas.openxmlformats.org/officeDocument/2006/relationships/hyperlink" Target="https://www.gov.uk/government/publications/equality-act-2010-advice-for-school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v.uk/government/publications/school-exclusion" TargetMode="Externa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assets.publishing.service.gov.uk/government/uploads/system/uploads/attachment_data/file/85020/specific-duties.pdf"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equalityhumanrights.com/en/advice-and-guidance/public-sector-equality-duty-guidance-schools" TargetMode="External"/><Relationship Id="rId14" Type="http://schemas.openxmlformats.org/officeDocument/2006/relationships/hyperlink" Target="https://www.gov.uk/government/publications/equality-act-2010-advice-for-schools" TargetMode="Externa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50B94995A4442F3ACF024E4451ADD8E"/>
        <w:category>
          <w:name w:val="General"/>
          <w:gallery w:val="placeholder"/>
        </w:category>
        <w:types>
          <w:type w:val="bbPlcHdr"/>
        </w:types>
        <w:behaviors>
          <w:behavior w:val="content"/>
        </w:behaviors>
        <w:guid w:val="{408AEEB5-B950-462D-B357-954A5CBF0940}"/>
      </w:docPartPr>
      <w:docPartBody>
        <w:p w:rsidR="00653AB5" w:rsidRDefault="00BC5972" w:rsidP="00BC5972">
          <w:pPr>
            <w:pStyle w:val="050B94995A4442F3ACF024E4451ADD8E"/>
          </w:pPr>
          <w:r w:rsidRPr="00EA4F53">
            <w:rPr>
              <w:rStyle w:val="PlaceholderText"/>
            </w:rPr>
            <w:t>young person</w:t>
          </w:r>
        </w:p>
      </w:docPartBody>
    </w:docPart>
    <w:docPart>
      <w:docPartPr>
        <w:name w:val="679AD12EE56A4AABA46249D234DC8BEF"/>
        <w:category>
          <w:name w:val="General"/>
          <w:gallery w:val="placeholder"/>
        </w:category>
        <w:types>
          <w:type w:val="bbPlcHdr"/>
        </w:types>
        <w:behaviors>
          <w:behavior w:val="content"/>
        </w:behaviors>
        <w:guid w:val="{7F17EE84-1267-468B-9E7E-F86BA02CB05D}"/>
      </w:docPartPr>
      <w:docPartBody>
        <w:p w:rsidR="00653AB5" w:rsidRDefault="00BC5972" w:rsidP="00BC5972">
          <w:pPr>
            <w:pStyle w:val="679AD12EE56A4AABA46249D234DC8BEF"/>
          </w:pPr>
          <w:r w:rsidRPr="00EA4F53">
            <w:rPr>
              <w:rStyle w:val="PlaceholderText"/>
            </w:rPr>
            <w:t>protected characteristic</w:t>
          </w:r>
        </w:p>
      </w:docPartBody>
    </w:docPart>
    <w:docPart>
      <w:docPartPr>
        <w:name w:val="5A814D45E04C4E84A14302674EBC0F29"/>
        <w:category>
          <w:name w:val="General"/>
          <w:gallery w:val="placeholder"/>
        </w:category>
        <w:types>
          <w:type w:val="bbPlcHdr"/>
        </w:types>
        <w:behaviors>
          <w:behavior w:val="content"/>
        </w:behaviors>
        <w:guid w:val="{7B188D0F-798A-4CA6-9DE1-C9EA2BFA0772}"/>
      </w:docPartPr>
      <w:docPartBody>
        <w:p w:rsidR="00653AB5" w:rsidRDefault="00BC5972" w:rsidP="00BC5972">
          <w:pPr>
            <w:pStyle w:val="5A814D45E04C4E84A14302674EBC0F29"/>
          </w:pPr>
          <w:r w:rsidRPr="00EA4F53">
            <w:rPr>
              <w:rStyle w:val="PlaceholderText"/>
            </w:rPr>
            <w:t>category of protected characteristic</w:t>
          </w:r>
        </w:p>
      </w:docPartBody>
    </w:docPart>
    <w:docPart>
      <w:docPartPr>
        <w:name w:val="B8D50C8322FF440EBCBA899F3919D471"/>
        <w:category>
          <w:name w:val="General"/>
          <w:gallery w:val="placeholder"/>
        </w:category>
        <w:types>
          <w:type w:val="bbPlcHdr"/>
        </w:types>
        <w:behaviors>
          <w:behavior w:val="content"/>
        </w:behaviors>
        <w:guid w:val="{999053E0-6731-48BE-96D4-8D9B27A325CC}"/>
      </w:docPartPr>
      <w:docPartBody>
        <w:p w:rsidR="00653AB5" w:rsidRDefault="00BC5972" w:rsidP="00BC5972">
          <w:pPr>
            <w:pStyle w:val="B8D50C8322FF440EBCBA899F3919D471"/>
          </w:pPr>
          <w:r w:rsidRPr="00EA4F53">
            <w:rPr>
              <w:rStyle w:val="PlaceholderText"/>
            </w:rPr>
            <w:t>protected characteristic</w:t>
          </w:r>
        </w:p>
      </w:docPartBody>
    </w:docPart>
    <w:docPart>
      <w:docPartPr>
        <w:name w:val="B69295C7F0984EF187C06F2A4CE5F122"/>
        <w:category>
          <w:name w:val="General"/>
          <w:gallery w:val="placeholder"/>
        </w:category>
        <w:types>
          <w:type w:val="bbPlcHdr"/>
        </w:types>
        <w:behaviors>
          <w:behavior w:val="content"/>
        </w:behaviors>
        <w:guid w:val="{4F3A6976-08CF-4599-8F0F-591E6AC5757E}"/>
      </w:docPartPr>
      <w:docPartBody>
        <w:p w:rsidR="00653AB5" w:rsidRDefault="00BC5972" w:rsidP="00BC5972">
          <w:pPr>
            <w:pStyle w:val="B69295C7F0984EF187C06F2A4CE5F122"/>
          </w:pPr>
          <w:r w:rsidRPr="00EA4F53">
            <w:rPr>
              <w:rStyle w:val="PlaceholderText"/>
            </w:rPr>
            <w:t>young person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972"/>
    <w:rsid w:val="00653AB5"/>
    <w:rsid w:val="00935AF5"/>
    <w:rsid w:val="00BC5972"/>
    <w:rsid w:val="00EC61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5972"/>
    <w:rPr>
      <w:color w:val="808080"/>
    </w:rPr>
  </w:style>
  <w:style w:type="paragraph" w:customStyle="1" w:styleId="050B94995A4442F3ACF024E4451ADD8E">
    <w:name w:val="050B94995A4442F3ACF024E4451ADD8E"/>
    <w:rsid w:val="00BC5972"/>
  </w:style>
  <w:style w:type="paragraph" w:customStyle="1" w:styleId="679AD12EE56A4AABA46249D234DC8BEF">
    <w:name w:val="679AD12EE56A4AABA46249D234DC8BEF"/>
    <w:rsid w:val="00BC5972"/>
  </w:style>
  <w:style w:type="paragraph" w:customStyle="1" w:styleId="5A814D45E04C4E84A14302674EBC0F29">
    <w:name w:val="5A814D45E04C4E84A14302674EBC0F29"/>
    <w:rsid w:val="00BC5972"/>
  </w:style>
  <w:style w:type="paragraph" w:customStyle="1" w:styleId="B8D50C8322FF440EBCBA899F3919D471">
    <w:name w:val="B8D50C8322FF440EBCBA899F3919D471"/>
    <w:rsid w:val="00BC5972"/>
  </w:style>
  <w:style w:type="paragraph" w:customStyle="1" w:styleId="B69295C7F0984EF187C06F2A4CE5F122">
    <w:name w:val="B69295C7F0984EF187C06F2A4CE5F122"/>
    <w:rsid w:val="00BC59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Richard Oldershaw</cp:lastModifiedBy>
  <cp:revision>2</cp:revision>
  <dcterms:created xsi:type="dcterms:W3CDTF">2024-11-18T09:26:00Z</dcterms:created>
  <dcterms:modified xsi:type="dcterms:W3CDTF">2024-11-18T09:26:00Z</dcterms:modified>
</cp:coreProperties>
</file>