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9C5CB3">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2F74FA72" w:rsidR="004548FB" w:rsidRPr="009C5CB3" w:rsidRDefault="009C5CB3" w:rsidP="004F3FC5">
      <w:pPr>
        <w:pStyle w:val="ListParagraph"/>
        <w:numPr>
          <w:ilvl w:val="0"/>
          <w:numId w:val="2"/>
        </w:numPr>
        <w:rPr>
          <w:rStyle w:val="Hyperlink"/>
          <w:color w:val="000000" w:themeColor="text1"/>
          <w:sz w:val="24"/>
          <w:szCs w:val="24"/>
        </w:rPr>
      </w:pPr>
      <w:hyperlink r:id="rId7" w:history="1">
        <w:r w:rsidR="004548FB" w:rsidRPr="009C5CB3">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9C5CB3" w:rsidP="00702447">
      <w:r>
        <w:pict w14:anchorId="73591562">
          <v:rect id="_x0000_i1026" style="width:404.35pt;height:.4pt" o:hrpct="896" o:hralign="center" o:hrstd="t" o:hr="t" fillcolor="#a0a0a0" stroked="f"/>
        </w:pict>
      </w:r>
    </w:p>
    <w:p w14:paraId="48A753BC" w14:textId="746DAE8C" w:rsidR="004548FB"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2ECE39C1" w14:textId="5FCEC040" w:rsidR="004A2079" w:rsidRDefault="004A2079" w:rsidP="004A2079">
      <w:pPr>
        <w:pStyle w:val="ListParagraph"/>
        <w:numPr>
          <w:ilvl w:val="0"/>
          <w:numId w:val="2"/>
        </w:numPr>
        <w:rPr>
          <w:bCs/>
          <w:i/>
          <w:color w:val="000000" w:themeColor="text1"/>
          <w:sz w:val="24"/>
          <w:szCs w:val="24"/>
        </w:rPr>
      </w:pPr>
      <w:r>
        <w:rPr>
          <w:bCs/>
          <w:i/>
          <w:color w:val="000000" w:themeColor="text1"/>
          <w:sz w:val="24"/>
          <w:szCs w:val="24"/>
        </w:rPr>
        <w:t>“</w:t>
      </w:r>
      <w:r w:rsidRPr="004A2079">
        <w:rPr>
          <w:bCs/>
          <w:i/>
          <w:color w:val="000000" w:themeColor="text1"/>
          <w:sz w:val="24"/>
          <w:szCs w:val="24"/>
        </w:rPr>
        <w:t>Whenever a headteacher suspends or permanently excludes a pupil they must, without delay, notify parents or the excluded pupil (if they are 18 years or older) of the period of the suspension or permanent exclusion and the reason(s) for it.</w:t>
      </w:r>
      <w:r>
        <w:rPr>
          <w:bCs/>
          <w:i/>
          <w:color w:val="000000" w:themeColor="text1"/>
          <w:sz w:val="24"/>
          <w:szCs w:val="24"/>
        </w:rPr>
        <w:t>”</w:t>
      </w:r>
    </w:p>
    <w:p w14:paraId="19B2495E" w14:textId="30F5ECDC" w:rsidR="004A2079" w:rsidRPr="004A2079" w:rsidRDefault="004A2079" w:rsidP="009C5CB3">
      <w:pPr>
        <w:ind w:left="720"/>
        <w:rPr>
          <w:rStyle w:val="Hyperlink"/>
          <w:sz w:val="24"/>
          <w:szCs w:val="24"/>
        </w:rPr>
      </w:pPr>
      <w:r w:rsidRPr="004A2079">
        <w:rPr>
          <w:bCs/>
          <w:color w:val="000000" w:themeColor="text1"/>
          <w:sz w:val="24"/>
          <w:szCs w:val="24"/>
        </w:rPr>
        <w:t xml:space="preserve">Paragraph 63: </w:t>
      </w:r>
      <w:hyperlink r:id="rId8" w:history="1">
        <w:r w:rsidRPr="009C5CB3">
          <w:rPr>
            <w:rStyle w:val="Hyperlink"/>
            <w:sz w:val="24"/>
            <w:szCs w:val="24"/>
          </w:rPr>
          <w:t>Suspension and permanent exclusion from maintained schools, academies and pupil referral units in England, including pupil movement</w:t>
        </w:r>
      </w:hyperlink>
    </w:p>
    <w:p w14:paraId="66AE35BE" w14:textId="792C164C" w:rsidR="004A2079" w:rsidRDefault="004A2079" w:rsidP="004A2079">
      <w:pPr>
        <w:pStyle w:val="ListParagraph"/>
        <w:numPr>
          <w:ilvl w:val="0"/>
          <w:numId w:val="2"/>
        </w:numPr>
        <w:rPr>
          <w:bCs/>
          <w:i/>
          <w:color w:val="000000" w:themeColor="text1"/>
          <w:sz w:val="24"/>
          <w:szCs w:val="24"/>
        </w:rPr>
      </w:pPr>
      <w:r w:rsidRPr="004A2079">
        <w:rPr>
          <w:bCs/>
          <w:i/>
          <w:color w:val="000000" w:themeColor="text1"/>
          <w:sz w:val="24"/>
          <w:szCs w:val="24"/>
        </w:rPr>
        <w:t>“They must also, without delay, after their decision, provide parents with the following information in writing: the reason(s) for the suspension or permanent exclusion.”</w:t>
      </w:r>
    </w:p>
    <w:p w14:paraId="34685680" w14:textId="3894F54B" w:rsidR="00702447" w:rsidRDefault="004A2079" w:rsidP="009C5CB3">
      <w:pPr>
        <w:ind w:left="720"/>
        <w:rPr>
          <w:rStyle w:val="Hyperlink"/>
          <w:sz w:val="24"/>
          <w:szCs w:val="24"/>
        </w:rPr>
      </w:pPr>
      <w:r w:rsidRPr="004A2079">
        <w:rPr>
          <w:bCs/>
          <w:color w:val="000000" w:themeColor="text1"/>
          <w:sz w:val="24"/>
          <w:szCs w:val="24"/>
        </w:rPr>
        <w:t>Paragraph 64:</w:t>
      </w:r>
      <w:r>
        <w:rPr>
          <w:bCs/>
          <w:color w:val="000000" w:themeColor="text1"/>
          <w:sz w:val="24"/>
          <w:szCs w:val="24"/>
        </w:rPr>
        <w:t xml:space="preserve"> </w:t>
      </w:r>
      <w:hyperlink r:id="rId9" w:history="1">
        <w:r w:rsidRPr="009C5CB3">
          <w:rPr>
            <w:rStyle w:val="Hyperlink"/>
            <w:sz w:val="24"/>
            <w:szCs w:val="24"/>
          </w:rPr>
          <w:t>Suspension and permanent exclusion from maintained schools, academies and pupil referral units in England, including pupil movement</w:t>
        </w:r>
      </w:hyperlink>
    </w:p>
    <w:p w14:paraId="4A753073" w14:textId="48848061" w:rsidR="004A2079" w:rsidRPr="004A2079" w:rsidRDefault="004A2079" w:rsidP="004A2079">
      <w:pPr>
        <w:pStyle w:val="ListParagraph"/>
        <w:numPr>
          <w:ilvl w:val="0"/>
          <w:numId w:val="2"/>
        </w:numPr>
        <w:rPr>
          <w:rStyle w:val="Hyperlink"/>
          <w:bCs/>
          <w:i/>
          <w:color w:val="000000" w:themeColor="text1"/>
          <w:sz w:val="24"/>
          <w:szCs w:val="24"/>
          <w:u w:val="none"/>
        </w:rPr>
      </w:pPr>
      <w:r w:rsidRPr="004A2079">
        <w:rPr>
          <w:rStyle w:val="Hyperlink"/>
          <w:bCs/>
          <w:i/>
          <w:color w:val="000000" w:themeColor="text1"/>
          <w:sz w:val="24"/>
          <w:szCs w:val="24"/>
          <w:u w:val="none"/>
        </w:rPr>
        <w:t>“There are powerful reasons why it is desirable for administrative bodies to give reasons for their decisions. They include improving the quality of decisions by focusing the mind of the decision-making body and thereby increasing the likelihood that the decision will be lawfully made; promoting public confidence in the decision-making process; providing, or at least facilitating, the opportunity for those affected to consider whether the decision was lawfully reached, thereby facilitating the process of judicial review or the exercise of any right of appeal; and respecting the individual's interest in understanding - and perhaps thereby more readily accepting - why a decision affecting him has been made.”</w:t>
      </w:r>
    </w:p>
    <w:p w14:paraId="0ABF184C" w14:textId="1A3D40A9" w:rsidR="004A2079" w:rsidRPr="004A2079" w:rsidRDefault="009C5CB3" w:rsidP="009C5CB3">
      <w:pPr>
        <w:ind w:left="720"/>
        <w:rPr>
          <w:rStyle w:val="Hyperlink"/>
          <w:bCs/>
          <w:color w:val="000000" w:themeColor="text1"/>
          <w:sz w:val="24"/>
          <w:szCs w:val="24"/>
          <w:u w:val="none"/>
        </w:rPr>
      </w:pPr>
      <w:hyperlink r:id="rId10" w:history="1">
        <w:r w:rsidR="004A2079" w:rsidRPr="004A2079">
          <w:rPr>
            <w:rStyle w:val="Hyperlink"/>
            <w:rFonts w:cstheme="minorHAnsi"/>
            <w:sz w:val="24"/>
            <w:szCs w:val="24"/>
          </w:rPr>
          <w:t>Oakley v South Cambridgeshire District Council</w:t>
        </w:r>
      </w:hyperlink>
    </w:p>
    <w:p w14:paraId="6FF481B8" w14:textId="39E56B4B" w:rsidR="00CA2AE7" w:rsidRDefault="009C5CB3" w:rsidP="009D6DAE">
      <w:pPr>
        <w:rPr>
          <w:rStyle w:val="Hyperlink"/>
          <w:i/>
        </w:rPr>
      </w:pPr>
      <w:r>
        <w:pict w14:anchorId="6F0BFC92">
          <v:rect id="_x0000_i1027" style="width:404.35pt;height:.4pt" o:hrpct="896" o:hralign="center" o:hrstd="t" o:hr="t" fillcolor="#a0a0a0" stroked="f"/>
        </w:pict>
      </w:r>
    </w:p>
    <w:p w14:paraId="191255EB" w14:textId="77777777" w:rsidR="004A2079" w:rsidRDefault="004A2079" w:rsidP="009D6DAE">
      <w:pPr>
        <w:rPr>
          <w:rStyle w:val="Hyperlink"/>
          <w:color w:val="000000" w:themeColor="text1"/>
          <w:sz w:val="24"/>
          <w:szCs w:val="24"/>
        </w:rPr>
      </w:pPr>
    </w:p>
    <w:p w14:paraId="3D851DD6" w14:textId="77777777" w:rsidR="004A2079" w:rsidRDefault="004A2079" w:rsidP="009D6DAE">
      <w:pPr>
        <w:rPr>
          <w:rStyle w:val="Hyperlink"/>
          <w:color w:val="000000" w:themeColor="text1"/>
          <w:sz w:val="24"/>
          <w:szCs w:val="24"/>
        </w:rPr>
      </w:pPr>
    </w:p>
    <w:p w14:paraId="5E2BF3D0" w14:textId="77777777" w:rsidR="004A2079" w:rsidRDefault="004A2079" w:rsidP="009D6DAE">
      <w:pPr>
        <w:rPr>
          <w:rStyle w:val="Hyperlink"/>
          <w:color w:val="000000" w:themeColor="text1"/>
          <w:sz w:val="24"/>
          <w:szCs w:val="24"/>
        </w:rPr>
      </w:pPr>
    </w:p>
    <w:p w14:paraId="623ABEC4" w14:textId="6A40741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lastRenderedPageBreak/>
        <w:t>Suggested wording</w:t>
      </w:r>
    </w:p>
    <w:p w14:paraId="54DAA051" w14:textId="368F3C5F" w:rsidR="003021DB" w:rsidRDefault="003021DB" w:rsidP="003021DB">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CC5321">
        <w:rPr>
          <w:rFonts w:cstheme="minorHAnsi"/>
          <w:i/>
          <w:color w:val="000000" w:themeColor="text1"/>
        </w:rPr>
        <w:t>refer</w:t>
      </w:r>
      <w:r>
        <w:rPr>
          <w:rFonts w:cstheme="minorHAnsi"/>
          <w:i/>
          <w:color w:val="000000" w:themeColor="text1"/>
        </w:rPr>
        <w:t xml:space="preserve"> to the above excerpts to strengthen your argument). </w:t>
      </w:r>
    </w:p>
    <w:p w14:paraId="20789313" w14:textId="77777777" w:rsidR="004A2079" w:rsidRPr="004A2079" w:rsidRDefault="004A2079" w:rsidP="004A2079">
      <w:pPr>
        <w:pStyle w:val="paragraph"/>
        <w:spacing w:before="0" w:beforeAutospacing="0" w:after="0" w:afterAutospacing="0"/>
        <w:jc w:val="both"/>
        <w:textAlignment w:val="baseline"/>
        <w:rPr>
          <w:rStyle w:val="eop"/>
          <w:rFonts w:asciiTheme="minorHAnsi" w:hAnsiTheme="minorHAnsi" w:cstheme="minorHAnsi"/>
        </w:rPr>
      </w:pPr>
      <w:r w:rsidRPr="004A2079">
        <w:rPr>
          <w:rStyle w:val="eop"/>
          <w:rFonts w:asciiTheme="minorHAnsi" w:hAnsiTheme="minorHAnsi" w:cstheme="minorHAnsi"/>
        </w:rPr>
        <w:t xml:space="preserve">In the headteacher’s letter confirming </w:t>
      </w:r>
      <w:sdt>
        <w:sdtPr>
          <w:rPr>
            <w:rStyle w:val="eop"/>
            <w:rFonts w:asciiTheme="minorHAnsi" w:hAnsiTheme="minorHAnsi" w:cstheme="minorHAnsi"/>
          </w:rPr>
          <w:tag w:val=""/>
          <w:id w:val="1116255648"/>
          <w:placeholder>
            <w:docPart w:val="AE52630E318F423981FAD745B847E727"/>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4A2079">
            <w:rPr>
              <w:rStyle w:val="PlaceholderText"/>
              <w:rFonts w:asciiTheme="minorHAnsi" w:hAnsiTheme="minorHAnsi" w:cstheme="minorHAnsi"/>
            </w:rPr>
            <w:t>young person</w:t>
          </w:r>
        </w:sdtContent>
      </w:sdt>
      <w:r w:rsidRPr="004A2079">
        <w:rPr>
          <w:rStyle w:val="eop"/>
          <w:rFonts w:asciiTheme="minorHAnsi" w:hAnsiTheme="minorHAnsi" w:cstheme="minorHAnsi"/>
        </w:rPr>
        <w:t>’s exclusion, the headteacher explained that the reasons for the exclusion were “</w:t>
      </w:r>
      <w:sdt>
        <w:sdtPr>
          <w:rPr>
            <w:rStyle w:val="eop"/>
            <w:rFonts w:asciiTheme="minorHAnsi" w:hAnsiTheme="minorHAnsi" w:cstheme="minorHAnsi"/>
          </w:rPr>
          <w:id w:val="-1213569869"/>
          <w:placeholder>
            <w:docPart w:val="AA9935A52ADF4583A5DDFEA255D83EE1"/>
          </w:placeholder>
          <w:showingPlcHdr/>
        </w:sdtPr>
        <w:sdtEndPr>
          <w:rPr>
            <w:rStyle w:val="eop"/>
          </w:rPr>
        </w:sdtEndPr>
        <w:sdtContent>
          <w:r w:rsidRPr="004A2079">
            <w:rPr>
              <w:rStyle w:val="PlaceholderText"/>
              <w:rFonts w:asciiTheme="minorHAnsi" w:hAnsiTheme="minorHAnsi" w:cstheme="minorHAnsi"/>
            </w:rPr>
            <w:t>quote reasons for the exclusion from the headteacher’s letter</w:t>
          </w:r>
        </w:sdtContent>
      </w:sdt>
      <w:r w:rsidRPr="004A2079">
        <w:rPr>
          <w:rStyle w:val="eop"/>
          <w:rFonts w:asciiTheme="minorHAnsi" w:hAnsiTheme="minorHAnsi" w:cstheme="minorHAnsi"/>
        </w:rPr>
        <w:t>”.</w:t>
      </w:r>
    </w:p>
    <w:p w14:paraId="4CAEF447" w14:textId="77777777" w:rsidR="004A2079" w:rsidRPr="004A2079" w:rsidRDefault="004A2079" w:rsidP="004A2079">
      <w:pPr>
        <w:pStyle w:val="paragraph"/>
        <w:spacing w:before="0" w:beforeAutospacing="0" w:after="0" w:afterAutospacing="0"/>
        <w:jc w:val="both"/>
        <w:textAlignment w:val="baseline"/>
        <w:rPr>
          <w:rStyle w:val="eop"/>
          <w:rFonts w:asciiTheme="minorHAnsi" w:hAnsiTheme="minorHAnsi" w:cstheme="minorHAnsi"/>
        </w:rPr>
      </w:pPr>
    </w:p>
    <w:p w14:paraId="5A8C37B8" w14:textId="6C627C8A" w:rsidR="004A2079" w:rsidRDefault="004A2079" w:rsidP="004A2079">
      <w:pPr>
        <w:pStyle w:val="paragraph"/>
        <w:spacing w:before="0" w:beforeAutospacing="0" w:after="0" w:afterAutospacing="0"/>
        <w:jc w:val="both"/>
        <w:textAlignment w:val="baseline"/>
        <w:rPr>
          <w:rStyle w:val="eop"/>
          <w:rFonts w:asciiTheme="minorHAnsi" w:hAnsiTheme="minorHAnsi" w:cstheme="minorHAnsi"/>
        </w:rPr>
      </w:pPr>
      <w:r w:rsidRPr="004A2079">
        <w:rPr>
          <w:rStyle w:val="eop"/>
          <w:rFonts w:asciiTheme="minorHAnsi" w:hAnsiTheme="minorHAnsi" w:cstheme="minorHAnsi"/>
        </w:rPr>
        <w:t xml:space="preserve">Clearly, this does not provide any clarity or detail as to how the headteacher has reached their decision. Considering the objections raised in these submissions, which cover issues that were known to the headteacher and which throw the lawfulness of the exclusion into question, this is a serious procedural error. Not only has the headteacher failed a procedural requirement of the statutory guidance, but </w:t>
      </w:r>
      <w:r w:rsidR="009C5CB3" w:rsidRPr="004A2079">
        <w:rPr>
          <w:rStyle w:val="eop"/>
          <w:rFonts w:asciiTheme="minorHAnsi" w:hAnsiTheme="minorHAnsi" w:cstheme="minorHAnsi"/>
        </w:rPr>
        <w:t>also,</w:t>
      </w:r>
      <w:r w:rsidRPr="004A2079">
        <w:rPr>
          <w:rStyle w:val="eop"/>
          <w:rFonts w:asciiTheme="minorHAnsi" w:hAnsiTheme="minorHAnsi" w:cstheme="minorHAnsi"/>
        </w:rPr>
        <w:t xml:space="preserve"> they have left the family without any way to understand the reasons for the exclusion.</w:t>
      </w:r>
    </w:p>
    <w:p w14:paraId="22B608A4" w14:textId="77777777" w:rsidR="004A2079" w:rsidRPr="004A2079" w:rsidRDefault="004A2079" w:rsidP="004A2079">
      <w:pPr>
        <w:pStyle w:val="paragraph"/>
        <w:spacing w:before="0" w:beforeAutospacing="0" w:after="0" w:afterAutospacing="0"/>
        <w:jc w:val="both"/>
        <w:textAlignment w:val="baseline"/>
        <w:rPr>
          <w:rStyle w:val="eop"/>
          <w:rFonts w:asciiTheme="minorHAnsi" w:hAnsiTheme="minorHAnsi" w:cstheme="minorHAnsi"/>
        </w:rPr>
      </w:pPr>
    </w:p>
    <w:p w14:paraId="50428701" w14:textId="546E51C8" w:rsidR="004A2079" w:rsidRPr="004A2079" w:rsidRDefault="004A2079" w:rsidP="004A2079">
      <w:pPr>
        <w:pStyle w:val="paragraph"/>
        <w:spacing w:before="0" w:beforeAutospacing="0" w:after="0" w:afterAutospacing="0"/>
        <w:jc w:val="both"/>
        <w:textAlignment w:val="baseline"/>
        <w:rPr>
          <w:rStyle w:val="eop"/>
          <w:rFonts w:asciiTheme="minorHAnsi" w:hAnsiTheme="minorHAnsi" w:cstheme="minorHAnsi"/>
          <w:highlight w:val="cyan"/>
        </w:rPr>
      </w:pPr>
      <w:r w:rsidRPr="004A2079">
        <w:rPr>
          <w:rStyle w:val="eop"/>
          <w:rFonts w:asciiTheme="minorHAnsi" w:hAnsiTheme="minorHAnsi" w:cstheme="minorHAnsi"/>
        </w:rPr>
        <w:t xml:space="preserve">This procedural flaw undermines the headteacher’s decision-making process and makes it inevitable that the process of challenging the exclusion is tilted irrevocably in favour of the </w:t>
      </w:r>
      <w:r>
        <w:rPr>
          <w:rStyle w:val="eop"/>
          <w:rFonts w:asciiTheme="minorHAnsi" w:hAnsiTheme="minorHAnsi" w:cstheme="minorHAnsi"/>
        </w:rPr>
        <w:t>school. Therefore, the governing board</w:t>
      </w:r>
      <w:r w:rsidRPr="004A2079">
        <w:rPr>
          <w:rStyle w:val="eop"/>
          <w:rFonts w:asciiTheme="minorHAnsi" w:hAnsiTheme="minorHAnsi" w:cstheme="minorHAnsi"/>
        </w:rPr>
        <w:t xml:space="preserve"> must conclude that the process has been unfair and reinstate </w:t>
      </w:r>
      <w:sdt>
        <w:sdtPr>
          <w:rPr>
            <w:rStyle w:val="eop"/>
            <w:rFonts w:asciiTheme="minorHAnsi" w:hAnsiTheme="minorHAnsi" w:cstheme="minorHAnsi"/>
          </w:rPr>
          <w:tag w:val=""/>
          <w:id w:val="-1746871651"/>
          <w:placeholder>
            <w:docPart w:val="4D06489673F543D09E944026F467F2C4"/>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4A2079">
            <w:rPr>
              <w:rStyle w:val="PlaceholderText"/>
              <w:rFonts w:asciiTheme="minorHAnsi" w:hAnsiTheme="minorHAnsi" w:cstheme="minorHAnsi"/>
            </w:rPr>
            <w:t>young person</w:t>
          </w:r>
        </w:sdtContent>
      </w:sdt>
      <w:r w:rsidRPr="004A2079">
        <w:rPr>
          <w:rStyle w:val="eop"/>
          <w:rFonts w:asciiTheme="minorHAnsi" w:hAnsiTheme="minorHAnsi" w:cstheme="minorHAnsi"/>
        </w:rPr>
        <w:t xml:space="preserve"> with immediate effect.</w:t>
      </w:r>
    </w:p>
    <w:p w14:paraId="23420031" w14:textId="77777777" w:rsidR="004A2079" w:rsidRPr="000B4AE1" w:rsidRDefault="004A2079" w:rsidP="004A2079">
      <w:pPr>
        <w:spacing w:after="0" w:line="240" w:lineRule="auto"/>
        <w:jc w:val="both"/>
        <w:rPr>
          <w:rFonts w:eastAsia="Times New Roman" w:cstheme="minorHAnsi"/>
          <w:lang w:eastAsia="en-GB"/>
        </w:rPr>
      </w:pPr>
    </w:p>
    <w:p w14:paraId="4EAE150E" w14:textId="77777777" w:rsidR="004A2079" w:rsidRDefault="004A2079" w:rsidP="003021DB">
      <w:pPr>
        <w:rPr>
          <w:rStyle w:val="Hyperlink"/>
          <w:i/>
          <w:color w:val="000000" w:themeColor="text1"/>
          <w:sz w:val="32"/>
          <w:szCs w:val="32"/>
        </w:rPr>
      </w:pPr>
    </w:p>
    <w:p w14:paraId="30BC3745" w14:textId="77777777" w:rsidR="00CA2AE7" w:rsidRPr="00CA2AE7" w:rsidRDefault="00CA2AE7" w:rsidP="009D6DAE">
      <w:pPr>
        <w:rPr>
          <w:color w:val="000000" w:themeColor="text1"/>
          <w:sz w:val="24"/>
          <w:szCs w:val="24"/>
        </w:rPr>
      </w:pPr>
    </w:p>
    <w:p w14:paraId="21CB497D" w14:textId="77777777" w:rsidR="009D6DAE" w:rsidRPr="009D6DAE" w:rsidRDefault="009D6DAE" w:rsidP="009D6DAE">
      <w:pPr>
        <w:rPr>
          <w:b/>
          <w:bCs/>
          <w:sz w:val="24"/>
          <w:szCs w:val="24"/>
        </w:rPr>
      </w:pPr>
    </w:p>
    <w:p w14:paraId="0ECF03D9" w14:textId="77777777" w:rsidR="004548FB" w:rsidRPr="004548FB" w:rsidRDefault="004548FB" w:rsidP="004548FB">
      <w:pPr>
        <w:rPr>
          <w:b/>
          <w:bCs/>
          <w:sz w:val="24"/>
          <w:szCs w:val="24"/>
        </w:rPr>
      </w:pPr>
    </w:p>
    <w:p w14:paraId="36D36197" w14:textId="77777777" w:rsidR="004548FB" w:rsidRDefault="004548FB">
      <w:pPr>
        <w:rPr>
          <w:sz w:val="24"/>
          <w:szCs w:val="24"/>
        </w:rPr>
      </w:pPr>
    </w:p>
    <w:p w14:paraId="6653BBD0" w14:textId="77777777" w:rsidR="004548FB" w:rsidRDefault="004548FB">
      <w:pPr>
        <w:rPr>
          <w:sz w:val="24"/>
          <w:szCs w:val="24"/>
        </w:rPr>
      </w:pPr>
    </w:p>
    <w:p w14:paraId="35591239" w14:textId="66649FB0" w:rsidR="004548FB" w:rsidRDefault="005F5CD5" w:rsidP="005F5CD5">
      <w:pPr>
        <w:tabs>
          <w:tab w:val="left" w:pos="3315"/>
        </w:tabs>
        <w:rPr>
          <w:sz w:val="24"/>
          <w:szCs w:val="24"/>
        </w:rPr>
      </w:pPr>
      <w:r>
        <w:rPr>
          <w:sz w:val="24"/>
          <w:szCs w:val="24"/>
        </w:rPr>
        <w:tab/>
      </w:r>
    </w:p>
    <w:p w14:paraId="351CF19E" w14:textId="77777777" w:rsidR="004548FB" w:rsidRDefault="004548FB">
      <w:pPr>
        <w:rPr>
          <w:sz w:val="24"/>
          <w:szCs w:val="24"/>
        </w:rPr>
      </w:pPr>
    </w:p>
    <w:p w14:paraId="326E1D3B" w14:textId="77777777" w:rsidR="004548FB" w:rsidRPr="004548FB" w:rsidRDefault="004548FB">
      <w:pPr>
        <w:rPr>
          <w:sz w:val="24"/>
          <w:szCs w:val="24"/>
        </w:rPr>
      </w:pPr>
    </w:p>
    <w:sectPr w:rsidR="004548FB" w:rsidRPr="004548FB" w:rsidSect="009043F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9357" w14:textId="77777777" w:rsidR="0024387E" w:rsidRDefault="0024387E" w:rsidP="00AB1096">
      <w:pPr>
        <w:spacing w:after="0" w:line="240" w:lineRule="auto"/>
      </w:pPr>
      <w:r>
        <w:separator/>
      </w:r>
    </w:p>
  </w:endnote>
  <w:endnote w:type="continuationSeparator" w:id="0">
    <w:p w14:paraId="6749AD18" w14:textId="77777777" w:rsidR="0024387E" w:rsidRDefault="0024387E"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8A70F" w14:textId="77777777" w:rsidR="009C5CB3" w:rsidRDefault="009C5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1F78AF85"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9C5CB3">
      <w:rPr>
        <w:color w:val="000000" w:themeColor="text1"/>
        <w:sz w:val="20"/>
        <w:szCs w:val="20"/>
      </w:rPr>
      <w:t>18</w:t>
    </w:r>
    <w:r w:rsidR="009E4E09">
      <w:rPr>
        <w:color w:val="000000" w:themeColor="text1"/>
        <w:sz w:val="20"/>
        <w:szCs w:val="20"/>
      </w:rPr>
      <w:t xml:space="preserve"> </w:t>
    </w:r>
    <w:r w:rsidR="009C5CB3">
      <w:rPr>
        <w:color w:val="000000" w:themeColor="text1"/>
        <w:sz w:val="20"/>
        <w:szCs w:val="20"/>
      </w:rPr>
      <w:t>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2E665" w14:textId="77777777" w:rsidR="009C5CB3" w:rsidRDefault="009C5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24F1" w14:textId="77777777" w:rsidR="0024387E" w:rsidRDefault="0024387E" w:rsidP="00AB1096">
      <w:pPr>
        <w:spacing w:after="0" w:line="240" w:lineRule="auto"/>
      </w:pPr>
      <w:r>
        <w:separator/>
      </w:r>
    </w:p>
  </w:footnote>
  <w:footnote w:type="continuationSeparator" w:id="0">
    <w:p w14:paraId="36B44784" w14:textId="77777777" w:rsidR="0024387E" w:rsidRDefault="0024387E"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74EF" w14:textId="77777777" w:rsidR="009C5CB3" w:rsidRDefault="009C5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0ADE985" w:rsidR="00B8152B" w:rsidRDefault="00D62049" w:rsidP="00AB1096">
    <w:pPr>
      <w:pStyle w:val="Header"/>
      <w:rPr>
        <w:sz w:val="32"/>
        <w:szCs w:val="32"/>
      </w:rPr>
    </w:pPr>
    <w:r>
      <w:rPr>
        <w:b/>
        <w:bCs/>
        <w:sz w:val="32"/>
        <w:szCs w:val="32"/>
      </w:rPr>
      <w:t xml:space="preserve">Argument to the </w:t>
    </w:r>
    <w:r w:rsidR="004A2079">
      <w:rPr>
        <w:b/>
        <w:bCs/>
        <w:sz w:val="32"/>
        <w:szCs w:val="32"/>
      </w:rPr>
      <w:t>governing board:</w:t>
    </w:r>
    <w:r w:rsidR="00B8152B" w:rsidRPr="00B8152B">
      <w:rPr>
        <w:sz w:val="32"/>
        <w:szCs w:val="32"/>
      </w:rPr>
      <w:t xml:space="preserve"> </w:t>
    </w:r>
  </w:p>
  <w:p w14:paraId="2965D57E" w14:textId="596126EF" w:rsidR="004F3FC5" w:rsidRDefault="004A2079" w:rsidP="00B8152B">
    <w:pPr>
      <w:pStyle w:val="Header"/>
      <w:rPr>
        <w:sz w:val="32"/>
        <w:szCs w:val="32"/>
      </w:rPr>
    </w:pPr>
    <w:r>
      <w:rPr>
        <w:sz w:val="32"/>
        <w:szCs w:val="32"/>
      </w:rPr>
      <w:t>Headteacher did not give reasons for the exclusion</w:t>
    </w:r>
  </w:p>
  <w:p w14:paraId="2C1A5D50" w14:textId="42BC1E30" w:rsidR="00AB1096" w:rsidRPr="00AB1096" w:rsidRDefault="00AB1096" w:rsidP="00B8152B">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CEA11" w14:textId="77777777" w:rsidR="009C5CB3" w:rsidRDefault="009C5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5158EC"/>
    <w:multiLevelType w:val="hybridMultilevel"/>
    <w:tmpl w:val="82C0A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197D59"/>
    <w:rsid w:val="001E10FF"/>
    <w:rsid w:val="001F4921"/>
    <w:rsid w:val="0023315E"/>
    <w:rsid w:val="00234B52"/>
    <w:rsid w:val="0024387E"/>
    <w:rsid w:val="00293260"/>
    <w:rsid w:val="003021DB"/>
    <w:rsid w:val="003570F1"/>
    <w:rsid w:val="003B5E76"/>
    <w:rsid w:val="003F645C"/>
    <w:rsid w:val="00405E48"/>
    <w:rsid w:val="004548FB"/>
    <w:rsid w:val="004A2079"/>
    <w:rsid w:val="004F3FC5"/>
    <w:rsid w:val="005F5CD5"/>
    <w:rsid w:val="00620F96"/>
    <w:rsid w:val="006279BF"/>
    <w:rsid w:val="006E26C3"/>
    <w:rsid w:val="00702447"/>
    <w:rsid w:val="007722CF"/>
    <w:rsid w:val="00891D60"/>
    <w:rsid w:val="009043F7"/>
    <w:rsid w:val="009C5CB3"/>
    <w:rsid w:val="009D6DAE"/>
    <w:rsid w:val="009E4E09"/>
    <w:rsid w:val="00A22994"/>
    <w:rsid w:val="00AB1096"/>
    <w:rsid w:val="00B8152B"/>
    <w:rsid w:val="00BC58FA"/>
    <w:rsid w:val="00C3079E"/>
    <w:rsid w:val="00CA2AE7"/>
    <w:rsid w:val="00CC3BB7"/>
    <w:rsid w:val="00CC5321"/>
    <w:rsid w:val="00CF166E"/>
    <w:rsid w:val="00D62049"/>
    <w:rsid w:val="00D77EB7"/>
    <w:rsid w:val="00E47765"/>
    <w:rsid w:val="00F34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4A2079"/>
  </w:style>
  <w:style w:type="paragraph" w:customStyle="1" w:styleId="paragraph">
    <w:name w:val="paragraph"/>
    <w:basedOn w:val="Normal"/>
    <w:rsid w:val="004A207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9C5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gov.uk/government/publications/school-exclus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bailii.org/ew/cases/EWCA/Civ/2017/7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v.uk/government/publications/school-exclusio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52630E318F423981FAD745B847E727"/>
        <w:category>
          <w:name w:val="General"/>
          <w:gallery w:val="placeholder"/>
        </w:category>
        <w:types>
          <w:type w:val="bbPlcHdr"/>
        </w:types>
        <w:behaviors>
          <w:behavior w:val="content"/>
        </w:behaviors>
        <w:guid w:val="{94022F4A-9128-4F3D-9FAA-906993705B9A}"/>
      </w:docPartPr>
      <w:docPartBody>
        <w:p w:rsidR="002B2675" w:rsidRDefault="007973CE" w:rsidP="007973CE">
          <w:pPr>
            <w:pStyle w:val="AE52630E318F423981FAD745B847E727"/>
          </w:pPr>
          <w:r w:rsidRPr="007F1E0C">
            <w:rPr>
              <w:rStyle w:val="PlaceholderText"/>
              <w:rFonts w:cstheme="minorHAnsi"/>
            </w:rPr>
            <w:t>young person</w:t>
          </w:r>
        </w:p>
      </w:docPartBody>
    </w:docPart>
    <w:docPart>
      <w:docPartPr>
        <w:name w:val="AA9935A52ADF4583A5DDFEA255D83EE1"/>
        <w:category>
          <w:name w:val="General"/>
          <w:gallery w:val="placeholder"/>
        </w:category>
        <w:types>
          <w:type w:val="bbPlcHdr"/>
        </w:types>
        <w:behaviors>
          <w:behavior w:val="content"/>
        </w:behaviors>
        <w:guid w:val="{48B8F59E-1032-4535-B9E9-5CF05E4EFD93}"/>
      </w:docPartPr>
      <w:docPartBody>
        <w:p w:rsidR="002B2675" w:rsidRDefault="007973CE" w:rsidP="007973CE">
          <w:pPr>
            <w:pStyle w:val="AA9935A52ADF4583A5DDFEA255D83EE1"/>
          </w:pPr>
          <w:r>
            <w:rPr>
              <w:rStyle w:val="PlaceholderText"/>
            </w:rPr>
            <w:t>quote reasons for the exclusion from the headteacher’s letter</w:t>
          </w:r>
        </w:p>
      </w:docPartBody>
    </w:docPart>
    <w:docPart>
      <w:docPartPr>
        <w:name w:val="4D06489673F543D09E944026F467F2C4"/>
        <w:category>
          <w:name w:val="General"/>
          <w:gallery w:val="placeholder"/>
        </w:category>
        <w:types>
          <w:type w:val="bbPlcHdr"/>
        </w:types>
        <w:behaviors>
          <w:behavior w:val="content"/>
        </w:behaviors>
        <w:guid w:val="{4A50E917-3514-4BB4-9DAE-B695046DECBA}"/>
      </w:docPartPr>
      <w:docPartBody>
        <w:p w:rsidR="002B2675" w:rsidRDefault="007973CE" w:rsidP="007973CE">
          <w:pPr>
            <w:pStyle w:val="4D06489673F543D09E944026F467F2C4"/>
          </w:pPr>
          <w:r w:rsidRPr="007F1E0C">
            <w:rPr>
              <w:rStyle w:val="PlaceholderText"/>
              <w:rFonts w:cstheme="minorHAnsi"/>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134A61"/>
    <w:rsid w:val="002B2675"/>
    <w:rsid w:val="002F0426"/>
    <w:rsid w:val="002F2A5F"/>
    <w:rsid w:val="00733BC6"/>
    <w:rsid w:val="007969EE"/>
    <w:rsid w:val="007973CE"/>
    <w:rsid w:val="0082736D"/>
    <w:rsid w:val="008E4D8B"/>
    <w:rsid w:val="00BD6FEB"/>
    <w:rsid w:val="00C82737"/>
    <w:rsid w:val="00F01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3CE"/>
    <w:rPr>
      <w:color w:val="808080"/>
    </w:rPr>
  </w:style>
  <w:style w:type="paragraph" w:customStyle="1" w:styleId="AE52630E318F423981FAD745B847E727">
    <w:name w:val="AE52630E318F423981FAD745B847E727"/>
    <w:rsid w:val="007973CE"/>
  </w:style>
  <w:style w:type="paragraph" w:customStyle="1" w:styleId="AA9935A52ADF4583A5DDFEA255D83EE1">
    <w:name w:val="AA9935A52ADF4583A5DDFEA255D83EE1"/>
    <w:rsid w:val="007973CE"/>
  </w:style>
  <w:style w:type="paragraph" w:customStyle="1" w:styleId="4D06489673F543D09E944026F467F2C4">
    <w:name w:val="4D06489673F543D09E944026F467F2C4"/>
    <w:rsid w:val="00797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2024-11-18T09:19:00Z</dcterms:created>
  <dcterms:modified xsi:type="dcterms:W3CDTF">2024-11-18T09:19:00Z</dcterms:modified>
</cp:coreProperties>
</file>