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BC0335">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AA40FE4" w:rsidR="004548FB" w:rsidRDefault="00BC0335"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BC0335"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1071CF03" w:rsidR="00FE1F14" w:rsidRDefault="00FE1F14" w:rsidP="00BC0335">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3F17D033" w:rsidR="00322426" w:rsidRPr="00322426" w:rsidRDefault="00322426" w:rsidP="00BC0335">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BC0335"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2CD63326" w14:textId="3C487304" w:rsidR="003B4076" w:rsidRPr="003B4076" w:rsidRDefault="00BC0335" w:rsidP="003B4076">
      <w:pPr>
        <w:spacing w:after="0" w:line="240" w:lineRule="auto"/>
        <w:jc w:val="both"/>
        <w:rPr>
          <w:rStyle w:val="eop"/>
          <w:rFonts w:cstheme="minorHAnsi"/>
          <w:sz w:val="24"/>
          <w:szCs w:val="24"/>
        </w:rPr>
      </w:pPr>
      <w:sdt>
        <w:sdtPr>
          <w:rPr>
            <w:rFonts w:cstheme="minorHAnsi"/>
            <w:sz w:val="24"/>
            <w:szCs w:val="24"/>
          </w:rPr>
          <w:tag w:val=""/>
          <w:id w:val="-1868977629"/>
          <w:placeholder>
            <w:docPart w:val="106291B7C1364514BC48E8DA670FA80A"/>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3B4076" w:rsidRPr="003B4076">
            <w:rPr>
              <w:rStyle w:val="PlaceholderText"/>
              <w:sz w:val="24"/>
              <w:szCs w:val="24"/>
            </w:rPr>
            <w:t>name of school</w:t>
          </w:r>
        </w:sdtContent>
      </w:sdt>
      <w:r w:rsidR="003B4076" w:rsidRPr="003B4076">
        <w:rPr>
          <w:rFonts w:cstheme="minorHAnsi"/>
          <w:sz w:val="24"/>
          <w:szCs w:val="24"/>
        </w:rPr>
        <w:t>’s governing bo</w:t>
      </w:r>
      <w:r w:rsidR="001B671D">
        <w:rPr>
          <w:rFonts w:cstheme="minorHAnsi"/>
          <w:sz w:val="24"/>
          <w:szCs w:val="24"/>
        </w:rPr>
        <w:t>ard</w:t>
      </w:r>
      <w:r w:rsidR="003B4076" w:rsidRPr="003B4076">
        <w:rPr>
          <w:rFonts w:cstheme="minorHAnsi"/>
          <w:sz w:val="24"/>
          <w:szCs w:val="24"/>
        </w:rPr>
        <w:t xml:space="preserve"> w</w:t>
      </w:r>
      <w:r w:rsidR="0066562D">
        <w:rPr>
          <w:rFonts w:cstheme="minorHAnsi"/>
          <w:sz w:val="24"/>
          <w:szCs w:val="24"/>
        </w:rPr>
        <w:t>as</w:t>
      </w:r>
      <w:r w:rsidR="003B4076" w:rsidRPr="003B4076">
        <w:rPr>
          <w:rFonts w:cstheme="minorHAnsi"/>
          <w:sz w:val="24"/>
          <w:szCs w:val="24"/>
        </w:rPr>
        <w:t xml:space="preserve"> bound by the princip</w:t>
      </w:r>
      <w:r w:rsidR="00E1158D">
        <w:rPr>
          <w:rFonts w:cstheme="minorHAnsi"/>
          <w:sz w:val="24"/>
          <w:szCs w:val="24"/>
        </w:rPr>
        <w:t>les</w:t>
      </w:r>
      <w:r w:rsidR="003B4076" w:rsidRPr="003B4076">
        <w:rPr>
          <w:rFonts w:cstheme="minorHAnsi"/>
          <w:sz w:val="24"/>
          <w:szCs w:val="24"/>
        </w:rPr>
        <w:t xml:space="preserve"> of public law when considering </w:t>
      </w:r>
      <w:sdt>
        <w:sdtPr>
          <w:rPr>
            <w:rStyle w:val="eop"/>
            <w:rFonts w:cstheme="minorHAnsi"/>
            <w:sz w:val="24"/>
            <w:szCs w:val="24"/>
          </w:rPr>
          <w:tag w:val=""/>
          <w:id w:val="240680900"/>
          <w:placeholder>
            <w:docPart w:val="5E5937F513014B939CB03C81A6A5A106"/>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3B4076" w:rsidRPr="003B4076">
            <w:rPr>
              <w:rStyle w:val="PlaceholderText"/>
              <w:sz w:val="24"/>
              <w:szCs w:val="24"/>
            </w:rPr>
            <w:t>young person</w:t>
          </w:r>
        </w:sdtContent>
      </w:sdt>
      <w:r w:rsidR="003B4076" w:rsidRPr="003B4076">
        <w:rPr>
          <w:rStyle w:val="eop"/>
          <w:rFonts w:cstheme="minorHAnsi"/>
          <w:sz w:val="24"/>
          <w:szCs w:val="24"/>
        </w:rPr>
        <w:t>’s permanent exclusion, including that the decision must be proportionate.</w:t>
      </w:r>
    </w:p>
    <w:p w14:paraId="3074FD71" w14:textId="77777777" w:rsidR="003B4076" w:rsidRPr="003B4076" w:rsidRDefault="003B4076" w:rsidP="003B4076">
      <w:pPr>
        <w:spacing w:after="0" w:line="240" w:lineRule="auto"/>
        <w:jc w:val="both"/>
        <w:rPr>
          <w:rStyle w:val="eop"/>
          <w:rFonts w:cstheme="minorHAnsi"/>
          <w:sz w:val="24"/>
          <w:szCs w:val="24"/>
        </w:rPr>
      </w:pPr>
    </w:p>
    <w:p w14:paraId="132B9A37" w14:textId="1D609710" w:rsidR="003B4076" w:rsidRPr="003B4076" w:rsidRDefault="003B4076" w:rsidP="003B4076">
      <w:pPr>
        <w:spacing w:after="0" w:line="240" w:lineRule="auto"/>
        <w:jc w:val="both"/>
        <w:rPr>
          <w:rFonts w:cstheme="minorHAnsi"/>
          <w:sz w:val="24"/>
          <w:szCs w:val="24"/>
        </w:rPr>
      </w:pPr>
      <w:r w:rsidRPr="003B4076">
        <w:rPr>
          <w:rFonts w:cstheme="minorHAnsi"/>
          <w:sz w:val="24"/>
          <w:szCs w:val="24"/>
        </w:rPr>
        <w:t>In public law, “proportionality” describes the requirement that any decision the govern</w:t>
      </w:r>
      <w:r w:rsidR="001B671D">
        <w:rPr>
          <w:rFonts w:cstheme="minorHAnsi"/>
          <w:sz w:val="24"/>
          <w:szCs w:val="24"/>
        </w:rPr>
        <w:t>ing board</w:t>
      </w:r>
      <w:r w:rsidRPr="003B4076">
        <w:rPr>
          <w:rFonts w:cstheme="minorHAnsi"/>
          <w:sz w:val="24"/>
          <w:szCs w:val="24"/>
        </w:rPr>
        <w:t xml:space="preserve"> take</w:t>
      </w:r>
      <w:r w:rsidR="00281728">
        <w:rPr>
          <w:rFonts w:cstheme="minorHAnsi"/>
          <w:sz w:val="24"/>
          <w:szCs w:val="24"/>
        </w:rPr>
        <w:t>s</w:t>
      </w:r>
      <w:r w:rsidRPr="003B4076">
        <w:rPr>
          <w:rFonts w:cstheme="minorHAnsi"/>
          <w:sz w:val="24"/>
          <w:szCs w:val="24"/>
        </w:rPr>
        <w:t xml:space="preserve"> must be one in which the impact to </w:t>
      </w:r>
      <w:sdt>
        <w:sdtPr>
          <w:rPr>
            <w:rStyle w:val="eop"/>
            <w:rFonts w:cstheme="minorHAnsi"/>
            <w:sz w:val="24"/>
            <w:szCs w:val="24"/>
          </w:rPr>
          <w:tag w:val=""/>
          <w:id w:val="2068535951"/>
          <w:placeholder>
            <w:docPart w:val="8C317C85328E42EFA6E59B2A80512A6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3B4076">
            <w:rPr>
              <w:rStyle w:val="PlaceholderText"/>
              <w:sz w:val="24"/>
              <w:szCs w:val="24"/>
            </w:rPr>
            <w:t>young person</w:t>
          </w:r>
        </w:sdtContent>
      </w:sdt>
      <w:r w:rsidRPr="003B4076">
        <w:rPr>
          <w:rStyle w:val="eop"/>
          <w:rFonts w:cstheme="minorHAnsi"/>
          <w:sz w:val="24"/>
          <w:szCs w:val="24"/>
        </w:rPr>
        <w:t xml:space="preserve"> does not outweigh the benefit of the legitimate objective sought</w:t>
      </w:r>
      <w:r w:rsidRPr="003B4076">
        <w:rPr>
          <w:rFonts w:cstheme="minorHAnsi"/>
          <w:sz w:val="24"/>
          <w:szCs w:val="24"/>
        </w:rPr>
        <w:t>.</w:t>
      </w:r>
    </w:p>
    <w:p w14:paraId="0AC7F25F" w14:textId="77777777" w:rsidR="003B4076" w:rsidRPr="003B4076" w:rsidRDefault="003B4076" w:rsidP="003B4076">
      <w:pPr>
        <w:spacing w:after="0" w:line="240" w:lineRule="auto"/>
        <w:jc w:val="both"/>
        <w:rPr>
          <w:rFonts w:cstheme="minorHAnsi"/>
          <w:sz w:val="24"/>
          <w:szCs w:val="24"/>
        </w:rPr>
      </w:pPr>
    </w:p>
    <w:p w14:paraId="2C4B6ACF" w14:textId="77777777" w:rsidR="003B4076" w:rsidRDefault="003B4076" w:rsidP="003B4076">
      <w:pPr>
        <w:rPr>
          <w:sz w:val="24"/>
          <w:szCs w:val="24"/>
        </w:rPr>
      </w:pPr>
    </w:p>
    <w:p w14:paraId="03E49899" w14:textId="77777777" w:rsidR="003B4076" w:rsidRDefault="003B4076" w:rsidP="003B4076">
      <w:pPr>
        <w:rPr>
          <w:sz w:val="24"/>
          <w:szCs w:val="24"/>
        </w:rPr>
      </w:pPr>
    </w:p>
    <w:p w14:paraId="33A9D771" w14:textId="644D4889" w:rsidR="003B4076" w:rsidRPr="003B4076" w:rsidRDefault="003B4076" w:rsidP="003B4076">
      <w:pPr>
        <w:rPr>
          <w:sz w:val="24"/>
          <w:szCs w:val="24"/>
        </w:rPr>
      </w:pPr>
      <w:r w:rsidRPr="003B4076">
        <w:rPr>
          <w:sz w:val="24"/>
          <w:szCs w:val="24"/>
        </w:rPr>
        <w:t xml:space="preserve">This exercise should be considered in two ways. </w:t>
      </w:r>
    </w:p>
    <w:p w14:paraId="15BAD4FB" w14:textId="3A798683" w:rsidR="003B4076" w:rsidRPr="003B4076" w:rsidRDefault="003B4076" w:rsidP="003B4076">
      <w:pPr>
        <w:rPr>
          <w:sz w:val="24"/>
          <w:szCs w:val="24"/>
        </w:rPr>
      </w:pPr>
      <w:r w:rsidRPr="003B4076">
        <w:rPr>
          <w:sz w:val="24"/>
          <w:szCs w:val="24"/>
        </w:rPr>
        <w:t>Firstly, does the punishment fit the behavioural infraction? If the impact of permanent exclusion on the young person outweighs the seriousness of the misbehaviour, then the permanent exclusion will be disproportionate.</w:t>
      </w:r>
    </w:p>
    <w:p w14:paraId="3B896D3D" w14:textId="77777777" w:rsidR="003B4076" w:rsidRPr="003B4076" w:rsidRDefault="003B4076" w:rsidP="003B4076">
      <w:pPr>
        <w:rPr>
          <w:sz w:val="24"/>
          <w:szCs w:val="24"/>
        </w:rPr>
      </w:pPr>
      <w:r w:rsidRPr="003B4076">
        <w:rPr>
          <w:sz w:val="24"/>
          <w:szCs w:val="24"/>
        </w:rPr>
        <w:t>Secondly, does the benefit to the school community at large justify the personal cost to the young person? If the school is excluding the young person in the interests of other members of the school community, but the benefit to that community will be small whereas the impact of the permanent exclusion will be significant, then the permanent exclusion will be disproportionate.</w:t>
      </w:r>
    </w:p>
    <w:p w14:paraId="22307EA6" w14:textId="0B8D31F8" w:rsidR="003B4076" w:rsidRPr="003B4076" w:rsidRDefault="003B4076" w:rsidP="003B4076">
      <w:pPr>
        <w:rPr>
          <w:sz w:val="24"/>
          <w:szCs w:val="24"/>
        </w:rPr>
      </w:pPr>
      <w:r w:rsidRPr="003B4076">
        <w:rPr>
          <w:sz w:val="24"/>
          <w:szCs w:val="24"/>
        </w:rPr>
        <w:t>Just as the headteacher must not permanently exclude someone if it would be disproportionate, the govern</w:t>
      </w:r>
      <w:r w:rsidR="00E10899">
        <w:rPr>
          <w:sz w:val="24"/>
          <w:szCs w:val="24"/>
        </w:rPr>
        <w:t>ing board</w:t>
      </w:r>
      <w:r w:rsidRPr="003B4076">
        <w:rPr>
          <w:sz w:val="24"/>
          <w:szCs w:val="24"/>
        </w:rPr>
        <w:t xml:space="preserve"> must not uphold a permanent exclusion if they find it to be disproportionate.</w:t>
      </w:r>
    </w:p>
    <w:p w14:paraId="397776B4" w14:textId="42C2AF84" w:rsidR="003B4076" w:rsidRPr="003B4076" w:rsidRDefault="003B4076" w:rsidP="003B4076">
      <w:pPr>
        <w:rPr>
          <w:sz w:val="24"/>
          <w:szCs w:val="24"/>
        </w:rPr>
      </w:pPr>
      <w:r w:rsidRPr="003B4076">
        <w:rPr>
          <w:sz w:val="24"/>
          <w:szCs w:val="24"/>
        </w:rPr>
        <w:t>In 2017</w:t>
      </w:r>
      <w:r w:rsidR="00E10899">
        <w:rPr>
          <w:sz w:val="24"/>
          <w:szCs w:val="24"/>
        </w:rPr>
        <w:t>,</w:t>
      </w:r>
      <w:r w:rsidRPr="003B4076">
        <w:rPr>
          <w:sz w:val="24"/>
          <w:szCs w:val="24"/>
        </w:rPr>
        <w:t xml:space="preserve"> there was a case in the High Court called Craig v Farriers Registration Council. The case found that where a disciplinary body has two disciplinary responses available that would both be within a range of appropriate responses, the less severe one should be chosen, because otherwise the more serious punishment is being arbitrarily imposed.</w:t>
      </w:r>
    </w:p>
    <w:p w14:paraId="74AB9116" w14:textId="504036F1" w:rsidR="006A2A02" w:rsidRDefault="006A2A02" w:rsidP="003B4076">
      <w:pPr>
        <w:spacing w:after="0" w:line="240" w:lineRule="auto"/>
        <w:jc w:val="both"/>
        <w:rPr>
          <w:sz w:val="24"/>
          <w:szCs w:val="24"/>
        </w:rPr>
      </w:pPr>
      <w:r w:rsidRPr="006A2A02">
        <w:rPr>
          <w:sz w:val="24"/>
          <w:szCs w:val="24"/>
        </w:rPr>
        <w:t xml:space="preserve">In the case, the </w:t>
      </w:r>
      <w:r>
        <w:rPr>
          <w:sz w:val="24"/>
          <w:szCs w:val="24"/>
        </w:rPr>
        <w:t>c</w:t>
      </w:r>
      <w:r w:rsidRPr="006A2A02">
        <w:rPr>
          <w:sz w:val="24"/>
          <w:szCs w:val="24"/>
        </w:rPr>
        <w:t>ourt found that even where it is appropriate to impose a less severe punishment, their lack of power to choose the less serious response does not justify them upholding the more severe option just because it was the only one available to them. Therefore, in accordance with this judgement, if the governing board feels that a less severe punishment than permanent exclusion would also be appropriate, even though they don’t have the power to impose the less severe punishment, they must still reinstate the young person and decline to uphold the exclusion.</w:t>
      </w:r>
    </w:p>
    <w:p w14:paraId="781F493C" w14:textId="77777777" w:rsidR="006A2A02" w:rsidRDefault="006A2A02" w:rsidP="003B4076">
      <w:pPr>
        <w:spacing w:after="0" w:line="240" w:lineRule="auto"/>
        <w:jc w:val="both"/>
        <w:rPr>
          <w:sz w:val="24"/>
          <w:szCs w:val="24"/>
        </w:rPr>
      </w:pPr>
    </w:p>
    <w:p w14:paraId="3C365CB4" w14:textId="66E4DAD2" w:rsidR="003B4076" w:rsidRPr="003B4076" w:rsidRDefault="003B4076" w:rsidP="003B4076">
      <w:pPr>
        <w:spacing w:after="0" w:line="240" w:lineRule="auto"/>
        <w:jc w:val="both"/>
        <w:rPr>
          <w:rStyle w:val="eop"/>
          <w:rFonts w:cstheme="minorHAnsi"/>
          <w:sz w:val="24"/>
          <w:szCs w:val="24"/>
        </w:rPr>
      </w:pPr>
      <w:r w:rsidRPr="003B4076">
        <w:rPr>
          <w:rFonts w:cstheme="minorHAnsi"/>
          <w:sz w:val="24"/>
          <w:szCs w:val="24"/>
        </w:rPr>
        <w:t xml:space="preserve">The impact of the permanent exclusion on </w:t>
      </w:r>
      <w:sdt>
        <w:sdtPr>
          <w:rPr>
            <w:rStyle w:val="eop"/>
            <w:rFonts w:cstheme="minorHAnsi"/>
            <w:sz w:val="24"/>
            <w:szCs w:val="24"/>
          </w:rPr>
          <w:tag w:val=""/>
          <w:id w:val="476733932"/>
          <w:placeholder>
            <w:docPart w:val="997F1143410249669421AD63A19557B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3B4076">
            <w:rPr>
              <w:rStyle w:val="PlaceholderText"/>
              <w:sz w:val="24"/>
              <w:szCs w:val="24"/>
            </w:rPr>
            <w:t>young person</w:t>
          </w:r>
        </w:sdtContent>
      </w:sdt>
      <w:r w:rsidRPr="003B4076">
        <w:rPr>
          <w:rStyle w:val="eop"/>
          <w:rFonts w:cstheme="minorHAnsi"/>
          <w:sz w:val="24"/>
          <w:szCs w:val="24"/>
        </w:rPr>
        <w:t xml:space="preserve"> will be very significant. In addition to the impact that every permanently excluded young person experiences, for </w:t>
      </w:r>
      <w:sdt>
        <w:sdtPr>
          <w:rPr>
            <w:rStyle w:val="eop"/>
            <w:rFonts w:cstheme="minorHAnsi"/>
            <w:sz w:val="24"/>
            <w:szCs w:val="24"/>
          </w:rPr>
          <w:tag w:val=""/>
          <w:id w:val="-1947690655"/>
          <w:placeholder>
            <w:docPart w:val="50AEBB94CC734814AF4C30698A6AAB60"/>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3B4076">
            <w:rPr>
              <w:rStyle w:val="PlaceholderText"/>
              <w:sz w:val="24"/>
              <w:szCs w:val="24"/>
            </w:rPr>
            <w:t>young person</w:t>
          </w:r>
        </w:sdtContent>
      </w:sdt>
      <w:r w:rsidRPr="003B4076">
        <w:rPr>
          <w:rStyle w:val="eop"/>
          <w:rFonts w:cstheme="minorHAnsi"/>
          <w:sz w:val="24"/>
          <w:szCs w:val="24"/>
        </w:rPr>
        <w:t xml:space="preserve"> it will mean </w:t>
      </w:r>
      <w:sdt>
        <w:sdtPr>
          <w:rPr>
            <w:rStyle w:val="eop"/>
            <w:rFonts w:cstheme="minorHAnsi"/>
            <w:sz w:val="24"/>
            <w:szCs w:val="24"/>
          </w:rPr>
          <w:id w:val="-1800062744"/>
          <w:placeholder>
            <w:docPart w:val="534E0F55406C431EA80851BE86DCCDAB"/>
          </w:placeholder>
          <w:showingPlcHdr/>
        </w:sdtPr>
        <w:sdtEndPr>
          <w:rPr>
            <w:rStyle w:val="eop"/>
          </w:rPr>
        </w:sdtEndPr>
        <w:sdtContent>
          <w:r w:rsidRPr="003B4076">
            <w:rPr>
              <w:rStyle w:val="PlaceholderText"/>
              <w:sz w:val="24"/>
              <w:szCs w:val="24"/>
            </w:rPr>
            <w:t>describe the particular impact for the young person</w:t>
          </w:r>
        </w:sdtContent>
      </w:sdt>
      <w:r w:rsidRPr="003B4076">
        <w:rPr>
          <w:rStyle w:val="eop"/>
          <w:rFonts w:cstheme="minorHAnsi"/>
          <w:sz w:val="24"/>
          <w:szCs w:val="24"/>
        </w:rPr>
        <w:t>.</w:t>
      </w:r>
    </w:p>
    <w:p w14:paraId="0C8F2AC7" w14:textId="77777777" w:rsidR="003B4076" w:rsidRPr="003B4076" w:rsidRDefault="003B4076" w:rsidP="003B4076">
      <w:pPr>
        <w:spacing w:after="0" w:line="240" w:lineRule="auto"/>
        <w:jc w:val="both"/>
        <w:rPr>
          <w:rStyle w:val="eop"/>
          <w:rFonts w:cstheme="minorHAnsi"/>
          <w:sz w:val="24"/>
          <w:szCs w:val="24"/>
        </w:rPr>
      </w:pPr>
    </w:p>
    <w:p w14:paraId="6B68CF69" w14:textId="77AA4537" w:rsidR="003B4076" w:rsidRPr="003B4076" w:rsidRDefault="00BC0335" w:rsidP="003B4076">
      <w:pPr>
        <w:spacing w:after="0" w:line="240" w:lineRule="auto"/>
        <w:jc w:val="both"/>
        <w:rPr>
          <w:rStyle w:val="eop"/>
          <w:rFonts w:cstheme="minorHAnsi"/>
          <w:sz w:val="24"/>
          <w:szCs w:val="24"/>
        </w:rPr>
      </w:pPr>
      <w:sdt>
        <w:sdtPr>
          <w:rPr>
            <w:rFonts w:cstheme="minorHAnsi"/>
            <w:sz w:val="24"/>
            <w:szCs w:val="24"/>
          </w:rPr>
          <w:tag w:val=""/>
          <w:id w:val="225266729"/>
          <w:placeholder>
            <w:docPart w:val="7349265039CE471198C2C5037355DD37"/>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3B4076" w:rsidRPr="003B4076">
            <w:rPr>
              <w:rStyle w:val="PlaceholderText"/>
              <w:sz w:val="24"/>
              <w:szCs w:val="24"/>
            </w:rPr>
            <w:t>name of school</w:t>
          </w:r>
        </w:sdtContent>
      </w:sdt>
      <w:r w:rsidR="003B4076" w:rsidRPr="003B4076">
        <w:rPr>
          <w:rFonts w:cstheme="minorHAnsi"/>
          <w:sz w:val="24"/>
          <w:szCs w:val="24"/>
        </w:rPr>
        <w:t xml:space="preserve"> could have administered a disciplinary response to </w:t>
      </w:r>
      <w:sdt>
        <w:sdtPr>
          <w:rPr>
            <w:rStyle w:val="eop"/>
            <w:rFonts w:cstheme="minorHAnsi"/>
            <w:sz w:val="24"/>
            <w:szCs w:val="24"/>
          </w:rPr>
          <w:tag w:val=""/>
          <w:id w:val="-1057555434"/>
          <w:placeholder>
            <w:docPart w:val="E8415AFC0E1D428D8AD4536023D40CC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3B4076" w:rsidRPr="003B4076">
            <w:rPr>
              <w:rStyle w:val="PlaceholderText"/>
              <w:sz w:val="24"/>
              <w:szCs w:val="24"/>
            </w:rPr>
            <w:t>young person</w:t>
          </w:r>
        </w:sdtContent>
      </w:sdt>
      <w:r w:rsidR="003B4076" w:rsidRPr="003B4076">
        <w:rPr>
          <w:rStyle w:val="eop"/>
          <w:rFonts w:cstheme="minorHAnsi"/>
          <w:sz w:val="24"/>
          <w:szCs w:val="24"/>
        </w:rPr>
        <w:t xml:space="preserve"> which would have been more appropriate in the circumstances, without permanently excluding them. </w:t>
      </w:r>
      <w:r w:rsidR="002E4A1D" w:rsidRPr="002E4A1D">
        <w:rPr>
          <w:rStyle w:val="eop"/>
          <w:rFonts w:cstheme="minorHAnsi"/>
          <w:sz w:val="24"/>
          <w:szCs w:val="24"/>
        </w:rPr>
        <w:t>Therefore, by upholding the permanent exclusion the governing board has acted disproportionately</w:t>
      </w:r>
      <w:r w:rsidR="002E4A1D">
        <w:rPr>
          <w:rStyle w:val="eop"/>
          <w:rFonts w:cstheme="minorHAnsi"/>
          <w:sz w:val="24"/>
          <w:szCs w:val="24"/>
        </w:rPr>
        <w:t xml:space="preserve">. </w:t>
      </w:r>
    </w:p>
    <w:p w14:paraId="2EE9D50C" w14:textId="77777777" w:rsidR="003B4076" w:rsidRPr="003B4076" w:rsidRDefault="003B4076" w:rsidP="003B4076">
      <w:pPr>
        <w:spacing w:after="0" w:line="240" w:lineRule="auto"/>
        <w:jc w:val="both"/>
        <w:rPr>
          <w:rStyle w:val="eop"/>
          <w:rFonts w:cstheme="minorHAnsi"/>
          <w:sz w:val="24"/>
          <w:szCs w:val="24"/>
        </w:rPr>
      </w:pPr>
    </w:p>
    <w:p w14:paraId="5B9F0865" w14:textId="77777777" w:rsidR="003B4076" w:rsidRPr="003B4076" w:rsidRDefault="003B4076" w:rsidP="003B4076">
      <w:pPr>
        <w:spacing w:after="0" w:line="240" w:lineRule="auto"/>
        <w:jc w:val="both"/>
        <w:rPr>
          <w:rFonts w:cstheme="minorHAnsi"/>
          <w:sz w:val="24"/>
          <w:szCs w:val="24"/>
        </w:rPr>
      </w:pPr>
      <w:r w:rsidRPr="003B4076">
        <w:rPr>
          <w:rStyle w:val="eop"/>
          <w:rFonts w:cstheme="minorHAnsi"/>
          <w:sz w:val="24"/>
          <w:szCs w:val="24"/>
        </w:rPr>
        <w:t>The IRP is asked to quash the permanent exclusion and direct reconsideration.</w:t>
      </w:r>
    </w:p>
    <w:p w14:paraId="35591239" w14:textId="66649FB0" w:rsidR="004548FB" w:rsidRPr="00FE1F14" w:rsidRDefault="005F5CD5" w:rsidP="005F5CD5">
      <w:pPr>
        <w:tabs>
          <w:tab w:val="left" w:pos="3315"/>
        </w:tabs>
        <w:rPr>
          <w:sz w:val="24"/>
          <w:szCs w:val="24"/>
        </w:rPr>
      </w:pPr>
      <w:r w:rsidRPr="00FE1F14">
        <w:rPr>
          <w:sz w:val="24"/>
          <w:szCs w:val="24"/>
        </w:rPr>
        <w:tab/>
      </w:r>
    </w:p>
    <w:sectPr w:rsidR="004548FB" w:rsidRPr="00FE1F14"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74D4" w14:textId="77777777" w:rsidR="001512EE" w:rsidRDefault="001512EE" w:rsidP="00AB1096">
      <w:pPr>
        <w:spacing w:after="0" w:line="240" w:lineRule="auto"/>
      </w:pPr>
      <w:r>
        <w:separator/>
      </w:r>
    </w:p>
  </w:endnote>
  <w:endnote w:type="continuationSeparator" w:id="0">
    <w:p w14:paraId="45AD795E" w14:textId="77777777" w:rsidR="001512EE" w:rsidRDefault="001512E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83D8" w14:textId="77777777" w:rsidR="008B71AE" w:rsidRDefault="008B7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8853FC3"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8B71AE">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020" w14:textId="77777777" w:rsidR="008B71AE" w:rsidRDefault="008B7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FBFA" w14:textId="77777777" w:rsidR="001512EE" w:rsidRDefault="001512EE" w:rsidP="00AB1096">
      <w:pPr>
        <w:spacing w:after="0" w:line="240" w:lineRule="auto"/>
      </w:pPr>
      <w:r>
        <w:separator/>
      </w:r>
    </w:p>
  </w:footnote>
  <w:footnote w:type="continuationSeparator" w:id="0">
    <w:p w14:paraId="4CE04526" w14:textId="77777777" w:rsidR="001512EE" w:rsidRDefault="001512E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5A52" w14:textId="77777777" w:rsidR="008B71AE" w:rsidRDefault="008B7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1F42081" w:rsidR="00B8152B" w:rsidRDefault="00D62049" w:rsidP="00AB1096">
    <w:pPr>
      <w:pStyle w:val="Header"/>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p>
  <w:p w14:paraId="2C1A5D50" w14:textId="4D3F1329" w:rsidR="00AB1096" w:rsidRPr="00AB1096" w:rsidRDefault="00B72C5B" w:rsidP="00B72C5B">
    <w:pPr>
      <w:pStyle w:val="Header"/>
    </w:pPr>
    <w:r w:rsidRPr="00B72C5B">
      <w:rPr>
        <w:sz w:val="32"/>
        <w:szCs w:val="32"/>
      </w:rPr>
      <w:t>Governing board’s decision disproportionate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C597" w14:textId="77777777" w:rsidR="008B71AE" w:rsidRDefault="008B7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512EE"/>
    <w:rsid w:val="00197D59"/>
    <w:rsid w:val="001B671D"/>
    <w:rsid w:val="001E10FF"/>
    <w:rsid w:val="001F4921"/>
    <w:rsid w:val="0023315E"/>
    <w:rsid w:val="00234B52"/>
    <w:rsid w:val="00240555"/>
    <w:rsid w:val="0024387E"/>
    <w:rsid w:val="00281728"/>
    <w:rsid w:val="00293260"/>
    <w:rsid w:val="002A0A53"/>
    <w:rsid w:val="002E4A1D"/>
    <w:rsid w:val="003021DB"/>
    <w:rsid w:val="00322426"/>
    <w:rsid w:val="003570F1"/>
    <w:rsid w:val="003B4076"/>
    <w:rsid w:val="003B5E76"/>
    <w:rsid w:val="003E3B8F"/>
    <w:rsid w:val="003F645C"/>
    <w:rsid w:val="003F7C65"/>
    <w:rsid w:val="00405E48"/>
    <w:rsid w:val="00436C08"/>
    <w:rsid w:val="004548FB"/>
    <w:rsid w:val="004C1EC4"/>
    <w:rsid w:val="004C455C"/>
    <w:rsid w:val="004D50EC"/>
    <w:rsid w:val="004F3FC5"/>
    <w:rsid w:val="00533648"/>
    <w:rsid w:val="00544AA4"/>
    <w:rsid w:val="005F5CD5"/>
    <w:rsid w:val="00620F96"/>
    <w:rsid w:val="006279BF"/>
    <w:rsid w:val="0066562D"/>
    <w:rsid w:val="00687BF5"/>
    <w:rsid w:val="006A2178"/>
    <w:rsid w:val="006A2A02"/>
    <w:rsid w:val="006B49EA"/>
    <w:rsid w:val="006E26C3"/>
    <w:rsid w:val="00702447"/>
    <w:rsid w:val="007722CF"/>
    <w:rsid w:val="00873338"/>
    <w:rsid w:val="00891D60"/>
    <w:rsid w:val="008B71AE"/>
    <w:rsid w:val="009043F7"/>
    <w:rsid w:val="00977767"/>
    <w:rsid w:val="009D6DAE"/>
    <w:rsid w:val="009E4E09"/>
    <w:rsid w:val="00A22994"/>
    <w:rsid w:val="00A371C5"/>
    <w:rsid w:val="00AB1096"/>
    <w:rsid w:val="00AB6F0F"/>
    <w:rsid w:val="00B72C5B"/>
    <w:rsid w:val="00B8152B"/>
    <w:rsid w:val="00BC0335"/>
    <w:rsid w:val="00BC58FA"/>
    <w:rsid w:val="00C3079E"/>
    <w:rsid w:val="00C65D2D"/>
    <w:rsid w:val="00C83F35"/>
    <w:rsid w:val="00CA2AE7"/>
    <w:rsid w:val="00CC3BB7"/>
    <w:rsid w:val="00CD7AD4"/>
    <w:rsid w:val="00CF166E"/>
    <w:rsid w:val="00CF7BFC"/>
    <w:rsid w:val="00D62049"/>
    <w:rsid w:val="00D77EB7"/>
    <w:rsid w:val="00DD69A9"/>
    <w:rsid w:val="00E10899"/>
    <w:rsid w:val="00E1158D"/>
    <w:rsid w:val="00E47765"/>
    <w:rsid w:val="00EC2388"/>
    <w:rsid w:val="00F3448B"/>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6291B7C1364514BC48E8DA670FA80A"/>
        <w:category>
          <w:name w:val="General"/>
          <w:gallery w:val="placeholder"/>
        </w:category>
        <w:types>
          <w:type w:val="bbPlcHdr"/>
        </w:types>
        <w:behaviors>
          <w:behavior w:val="content"/>
        </w:behaviors>
        <w:guid w:val="{521021E3-536E-4F55-B956-355103D2C61B}"/>
      </w:docPartPr>
      <w:docPartBody>
        <w:p w:rsidR="007F7182" w:rsidRDefault="0091709B" w:rsidP="0091709B">
          <w:pPr>
            <w:pStyle w:val="106291B7C1364514BC48E8DA670FA80A"/>
          </w:pPr>
          <w:r w:rsidRPr="004624FD">
            <w:rPr>
              <w:rStyle w:val="PlaceholderText"/>
            </w:rPr>
            <w:t>name of school</w:t>
          </w:r>
        </w:p>
      </w:docPartBody>
    </w:docPart>
    <w:docPart>
      <w:docPartPr>
        <w:name w:val="5E5937F513014B939CB03C81A6A5A106"/>
        <w:category>
          <w:name w:val="General"/>
          <w:gallery w:val="placeholder"/>
        </w:category>
        <w:types>
          <w:type w:val="bbPlcHdr"/>
        </w:types>
        <w:behaviors>
          <w:behavior w:val="content"/>
        </w:behaviors>
        <w:guid w:val="{18A083AA-1A94-4AC3-B5D8-BFD1F424C159}"/>
      </w:docPartPr>
      <w:docPartBody>
        <w:p w:rsidR="007F7182" w:rsidRDefault="0091709B" w:rsidP="0091709B">
          <w:pPr>
            <w:pStyle w:val="5E5937F513014B939CB03C81A6A5A106"/>
          </w:pPr>
          <w:r w:rsidRPr="004624FD">
            <w:rPr>
              <w:rStyle w:val="PlaceholderText"/>
            </w:rPr>
            <w:t>young person</w:t>
          </w:r>
        </w:p>
      </w:docPartBody>
    </w:docPart>
    <w:docPart>
      <w:docPartPr>
        <w:name w:val="8C317C85328E42EFA6E59B2A80512A62"/>
        <w:category>
          <w:name w:val="General"/>
          <w:gallery w:val="placeholder"/>
        </w:category>
        <w:types>
          <w:type w:val="bbPlcHdr"/>
        </w:types>
        <w:behaviors>
          <w:behavior w:val="content"/>
        </w:behaviors>
        <w:guid w:val="{6E63913B-11EF-4AC6-8772-925C81D5A764}"/>
      </w:docPartPr>
      <w:docPartBody>
        <w:p w:rsidR="007F7182" w:rsidRDefault="0091709B" w:rsidP="0091709B">
          <w:pPr>
            <w:pStyle w:val="8C317C85328E42EFA6E59B2A80512A62"/>
          </w:pPr>
          <w:r w:rsidRPr="004624FD">
            <w:rPr>
              <w:rStyle w:val="PlaceholderText"/>
            </w:rPr>
            <w:t>young person</w:t>
          </w:r>
        </w:p>
      </w:docPartBody>
    </w:docPart>
    <w:docPart>
      <w:docPartPr>
        <w:name w:val="997F1143410249669421AD63A19557BB"/>
        <w:category>
          <w:name w:val="General"/>
          <w:gallery w:val="placeholder"/>
        </w:category>
        <w:types>
          <w:type w:val="bbPlcHdr"/>
        </w:types>
        <w:behaviors>
          <w:behavior w:val="content"/>
        </w:behaviors>
        <w:guid w:val="{D84EAD07-A355-4465-9BE3-3CA807CF3025}"/>
      </w:docPartPr>
      <w:docPartBody>
        <w:p w:rsidR="007F7182" w:rsidRDefault="0091709B" w:rsidP="0091709B">
          <w:pPr>
            <w:pStyle w:val="997F1143410249669421AD63A19557BB"/>
          </w:pPr>
          <w:r w:rsidRPr="004624FD">
            <w:rPr>
              <w:rStyle w:val="PlaceholderText"/>
            </w:rPr>
            <w:t>young person</w:t>
          </w:r>
        </w:p>
      </w:docPartBody>
    </w:docPart>
    <w:docPart>
      <w:docPartPr>
        <w:name w:val="50AEBB94CC734814AF4C30698A6AAB60"/>
        <w:category>
          <w:name w:val="General"/>
          <w:gallery w:val="placeholder"/>
        </w:category>
        <w:types>
          <w:type w:val="bbPlcHdr"/>
        </w:types>
        <w:behaviors>
          <w:behavior w:val="content"/>
        </w:behaviors>
        <w:guid w:val="{D59A7EEA-080C-4FB6-BB87-FE891816B151}"/>
      </w:docPartPr>
      <w:docPartBody>
        <w:p w:rsidR="007F7182" w:rsidRDefault="0091709B" w:rsidP="0091709B">
          <w:pPr>
            <w:pStyle w:val="50AEBB94CC734814AF4C30698A6AAB60"/>
          </w:pPr>
          <w:r w:rsidRPr="004624FD">
            <w:rPr>
              <w:rStyle w:val="PlaceholderText"/>
            </w:rPr>
            <w:t>young person</w:t>
          </w:r>
        </w:p>
      </w:docPartBody>
    </w:docPart>
    <w:docPart>
      <w:docPartPr>
        <w:name w:val="534E0F55406C431EA80851BE86DCCDAB"/>
        <w:category>
          <w:name w:val="General"/>
          <w:gallery w:val="placeholder"/>
        </w:category>
        <w:types>
          <w:type w:val="bbPlcHdr"/>
        </w:types>
        <w:behaviors>
          <w:behavior w:val="content"/>
        </w:behaviors>
        <w:guid w:val="{EC1C8819-D63B-4BB1-8B2B-59B9BEC9D4AD}"/>
      </w:docPartPr>
      <w:docPartBody>
        <w:p w:rsidR="007F7182" w:rsidRDefault="0091709B" w:rsidP="0091709B">
          <w:pPr>
            <w:pStyle w:val="534E0F55406C431EA80851BE86DCCDAB"/>
          </w:pPr>
          <w:r>
            <w:rPr>
              <w:rStyle w:val="PlaceholderText"/>
            </w:rPr>
            <w:t>describe the particular impact for the young person</w:t>
          </w:r>
        </w:p>
      </w:docPartBody>
    </w:docPart>
    <w:docPart>
      <w:docPartPr>
        <w:name w:val="7349265039CE471198C2C5037355DD37"/>
        <w:category>
          <w:name w:val="General"/>
          <w:gallery w:val="placeholder"/>
        </w:category>
        <w:types>
          <w:type w:val="bbPlcHdr"/>
        </w:types>
        <w:behaviors>
          <w:behavior w:val="content"/>
        </w:behaviors>
        <w:guid w:val="{CE3A4779-A16D-4417-A998-98D7CE1D2C80}"/>
      </w:docPartPr>
      <w:docPartBody>
        <w:p w:rsidR="007F7182" w:rsidRDefault="0091709B" w:rsidP="0091709B">
          <w:pPr>
            <w:pStyle w:val="7349265039CE471198C2C5037355DD37"/>
          </w:pPr>
          <w:r w:rsidRPr="004624FD">
            <w:rPr>
              <w:rStyle w:val="PlaceholderText"/>
            </w:rPr>
            <w:t>name of school</w:t>
          </w:r>
        </w:p>
      </w:docPartBody>
    </w:docPart>
    <w:docPart>
      <w:docPartPr>
        <w:name w:val="E8415AFC0E1D428D8AD4536023D40CC2"/>
        <w:category>
          <w:name w:val="General"/>
          <w:gallery w:val="placeholder"/>
        </w:category>
        <w:types>
          <w:type w:val="bbPlcHdr"/>
        </w:types>
        <w:behaviors>
          <w:behavior w:val="content"/>
        </w:behaviors>
        <w:guid w:val="{A5EDC064-CC4D-4F08-930A-5ADEB67A8BFE}"/>
      </w:docPartPr>
      <w:docPartBody>
        <w:p w:rsidR="007F7182" w:rsidRDefault="0091709B" w:rsidP="0091709B">
          <w:pPr>
            <w:pStyle w:val="E8415AFC0E1D428D8AD4536023D40CC2"/>
          </w:pPr>
          <w:r w:rsidRPr="004624FD">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501A5"/>
    <w:rsid w:val="001D6B5E"/>
    <w:rsid w:val="002F0426"/>
    <w:rsid w:val="002F2A5F"/>
    <w:rsid w:val="00733BC6"/>
    <w:rsid w:val="007969EE"/>
    <w:rsid w:val="007F7182"/>
    <w:rsid w:val="0082736D"/>
    <w:rsid w:val="008E4D8B"/>
    <w:rsid w:val="0091709B"/>
    <w:rsid w:val="009A282E"/>
    <w:rsid w:val="00B9331F"/>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09B"/>
    <w:rPr>
      <w:color w:val="808080"/>
    </w:rPr>
  </w:style>
  <w:style w:type="paragraph" w:customStyle="1" w:styleId="106291B7C1364514BC48E8DA670FA80A">
    <w:name w:val="106291B7C1364514BC48E8DA670FA80A"/>
    <w:rsid w:val="0091709B"/>
    <w:rPr>
      <w:kern w:val="2"/>
      <w14:ligatures w14:val="standardContextual"/>
    </w:rPr>
  </w:style>
  <w:style w:type="paragraph" w:customStyle="1" w:styleId="5E5937F513014B939CB03C81A6A5A106">
    <w:name w:val="5E5937F513014B939CB03C81A6A5A106"/>
    <w:rsid w:val="0091709B"/>
    <w:rPr>
      <w:kern w:val="2"/>
      <w14:ligatures w14:val="standardContextual"/>
    </w:rPr>
  </w:style>
  <w:style w:type="paragraph" w:customStyle="1" w:styleId="8C317C85328E42EFA6E59B2A80512A62">
    <w:name w:val="8C317C85328E42EFA6E59B2A80512A62"/>
    <w:rsid w:val="0091709B"/>
    <w:rPr>
      <w:kern w:val="2"/>
      <w14:ligatures w14:val="standardContextual"/>
    </w:rPr>
  </w:style>
  <w:style w:type="paragraph" w:customStyle="1" w:styleId="997F1143410249669421AD63A19557BB">
    <w:name w:val="997F1143410249669421AD63A19557BB"/>
    <w:rsid w:val="0091709B"/>
    <w:rPr>
      <w:kern w:val="2"/>
      <w14:ligatures w14:val="standardContextual"/>
    </w:rPr>
  </w:style>
  <w:style w:type="paragraph" w:customStyle="1" w:styleId="50AEBB94CC734814AF4C30698A6AAB60">
    <w:name w:val="50AEBB94CC734814AF4C30698A6AAB60"/>
    <w:rsid w:val="0091709B"/>
    <w:rPr>
      <w:kern w:val="2"/>
      <w14:ligatures w14:val="standardContextual"/>
    </w:rPr>
  </w:style>
  <w:style w:type="paragraph" w:customStyle="1" w:styleId="534E0F55406C431EA80851BE86DCCDAB">
    <w:name w:val="534E0F55406C431EA80851BE86DCCDAB"/>
    <w:rsid w:val="0091709B"/>
    <w:rPr>
      <w:kern w:val="2"/>
      <w14:ligatures w14:val="standardContextual"/>
    </w:rPr>
  </w:style>
  <w:style w:type="paragraph" w:customStyle="1" w:styleId="7349265039CE471198C2C5037355DD37">
    <w:name w:val="7349265039CE471198C2C5037355DD37"/>
    <w:rsid w:val="0091709B"/>
    <w:rPr>
      <w:kern w:val="2"/>
      <w14:ligatures w14:val="standardContextual"/>
    </w:rPr>
  </w:style>
  <w:style w:type="paragraph" w:customStyle="1" w:styleId="E8415AFC0E1D428D8AD4536023D40CC2">
    <w:name w:val="E8415AFC0E1D428D8AD4536023D40CC2"/>
    <w:rsid w:val="0091709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2024-11-18T12:48:00Z</dcterms:created>
  <dcterms:modified xsi:type="dcterms:W3CDTF">2024-11-18T13:21:00Z</dcterms:modified>
</cp:coreProperties>
</file>