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170BE" w14:textId="77777777" w:rsidR="00320462" w:rsidRPr="00345223" w:rsidRDefault="00345223">
      <w:pPr>
        <w:pStyle w:val="BodyText"/>
        <w:numPr>
          <w:ilvl w:val="0"/>
          <w:numId w:val="2"/>
        </w:numPr>
        <w:spacing w:after="0"/>
        <w:rPr>
          <w:rFonts w:ascii="Helvetica" w:hAnsi="Helvetica"/>
          <w:color w:val="000000"/>
          <w:sz w:val="20"/>
          <w:szCs w:val="20"/>
        </w:rPr>
      </w:pPr>
      <w:r w:rsidRPr="00345223">
        <w:rPr>
          <w:rFonts w:ascii="Helvetica" w:hAnsi="Helvetica"/>
          <w:color w:val="000000"/>
          <w:sz w:val="20"/>
          <w:szCs w:val="20"/>
        </w:rPr>
        <w:t xml:space="preserve">As Tim suggested and we discussed earlier, I think the narrative would be clearer if each simulation study and the resampling study got their own section. </w:t>
      </w:r>
      <w:proofErr w:type="gramStart"/>
      <w:r w:rsidRPr="00345223">
        <w:rPr>
          <w:rFonts w:ascii="Helvetica" w:hAnsi="Helvetica"/>
          <w:color w:val="000000"/>
          <w:sz w:val="20"/>
          <w:szCs w:val="20"/>
        </w:rPr>
        <w:t>So</w:t>
      </w:r>
      <w:proofErr w:type="gramEnd"/>
      <w:r w:rsidRPr="00345223">
        <w:rPr>
          <w:rFonts w:ascii="Helvetica" w:hAnsi="Helvetica"/>
          <w:color w:val="000000"/>
          <w:sz w:val="20"/>
          <w:szCs w:val="20"/>
        </w:rPr>
        <w:t xml:space="preserve"> the overall structure would look something like the following:</w:t>
      </w:r>
    </w:p>
    <w:p w14:paraId="5D5F1020" w14:textId="77777777" w:rsidR="00320462" w:rsidRPr="00345223" w:rsidRDefault="00345223">
      <w:pPr>
        <w:pStyle w:val="BodyText"/>
        <w:spacing w:after="0"/>
        <w:ind w:left="720"/>
        <w:rPr>
          <w:rFonts w:ascii="Helvetica" w:hAnsi="Helvetica"/>
          <w:color w:val="000000"/>
          <w:sz w:val="20"/>
          <w:szCs w:val="20"/>
        </w:rPr>
      </w:pPr>
      <w:r w:rsidRPr="00345223">
        <w:rPr>
          <w:rFonts w:ascii="Helvetica" w:hAnsi="Helvetica"/>
          <w:color w:val="000000"/>
          <w:sz w:val="20"/>
          <w:szCs w:val="20"/>
        </w:rPr>
        <w:t>- Introduction</w:t>
      </w:r>
    </w:p>
    <w:p w14:paraId="22FA7312"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t>- Imputation methods description</w:t>
      </w:r>
    </w:p>
    <w:p w14:paraId="7D1D2C0A"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t>- Simulation 1: Methods</w:t>
      </w:r>
    </w:p>
    <w:p w14:paraId="632F65CE"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t>- Simulation 1: Results</w:t>
      </w:r>
    </w:p>
    <w:p w14:paraId="2C617883"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t>- Simulation 2: Methods</w:t>
      </w:r>
    </w:p>
    <w:p w14:paraId="325909EA"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t>- Simulation 2: Results</w:t>
      </w:r>
    </w:p>
    <w:p w14:paraId="1CDE250F"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t>- Resampling study: Methods</w:t>
      </w:r>
    </w:p>
    <w:p w14:paraId="11407C21"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t>- Resampling study: Results</w:t>
      </w:r>
    </w:p>
    <w:p w14:paraId="71E6C2FF"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t>- Discussion</w:t>
      </w:r>
    </w:p>
    <w:p w14:paraId="3CD395A4" w14:textId="77777777" w:rsidR="00320462" w:rsidRPr="00345223" w:rsidRDefault="00320462">
      <w:pPr>
        <w:pStyle w:val="BodyText"/>
        <w:spacing w:after="0"/>
        <w:rPr>
          <w:rFonts w:ascii="Helvetica" w:hAnsi="Helvetica"/>
          <w:color w:val="000000"/>
          <w:sz w:val="20"/>
          <w:szCs w:val="20"/>
        </w:rPr>
      </w:pPr>
    </w:p>
    <w:p w14:paraId="1C2088BA"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t xml:space="preserve">You can also keep the methods sections more linear by </w:t>
      </w:r>
      <w:r w:rsidRPr="00345223">
        <w:rPr>
          <w:rFonts w:ascii="Helvetica" w:hAnsi="Helvetica"/>
          <w:color w:val="000000"/>
          <w:sz w:val="20"/>
          <w:szCs w:val="20"/>
        </w:rPr>
        <w:tab/>
        <w:t>employing a structure something like:</w:t>
      </w:r>
    </w:p>
    <w:p w14:paraId="2729FA60"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t>- Data generation</w:t>
      </w:r>
    </w:p>
    <w:p w14:paraId="1076EE33"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t>- Missing data imposition</w:t>
      </w:r>
    </w:p>
    <w:p w14:paraId="3D9CCC48"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t>- Outcome measures</w:t>
      </w:r>
    </w:p>
    <w:p w14:paraId="4355B102"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t>- Conditions/Procedure</w:t>
      </w:r>
    </w:p>
    <w:p w14:paraId="4974852C" w14:textId="77777777" w:rsidR="00320462" w:rsidRPr="00345223" w:rsidRDefault="00345223">
      <w:pPr>
        <w:pStyle w:val="BodyText"/>
        <w:spacing w:after="0"/>
        <w:rPr>
          <w:rFonts w:ascii="Helvetica" w:hAnsi="Helvetica"/>
          <w:color w:val="000000"/>
          <w:sz w:val="20"/>
          <w:szCs w:val="20"/>
        </w:rPr>
      </w:pPr>
      <w:r w:rsidRPr="00345223">
        <w:rPr>
          <w:rFonts w:ascii="Helvetica" w:hAnsi="Helvetica"/>
          <w:color w:val="000000"/>
          <w:sz w:val="20"/>
          <w:szCs w:val="20"/>
        </w:rPr>
        <w:tab/>
      </w:r>
    </w:p>
    <w:p w14:paraId="1625D4F5" w14:textId="77777777" w:rsidR="00320462" w:rsidRPr="00345223" w:rsidRDefault="00345223">
      <w:pPr>
        <w:pStyle w:val="BodyText"/>
        <w:numPr>
          <w:ilvl w:val="0"/>
          <w:numId w:val="1"/>
        </w:numPr>
        <w:spacing w:after="0"/>
        <w:rPr>
          <w:rFonts w:ascii="Helvetica" w:hAnsi="Helvetica"/>
          <w:color w:val="000000"/>
          <w:sz w:val="20"/>
          <w:szCs w:val="20"/>
        </w:rPr>
      </w:pPr>
      <w:r w:rsidRPr="00345223">
        <w:rPr>
          <w:rFonts w:ascii="Helvetica" w:hAnsi="Helvetica"/>
          <w:color w:val="000000"/>
          <w:sz w:val="20"/>
          <w:szCs w:val="20"/>
        </w:rPr>
        <w:t xml:space="preserve">I don’t think the discussion section is fully effective yet. Currently, the discussion rehashes the results but does very little in the way of synthesis or critical comparison of the different methods. Remember that our </w:t>
      </w:r>
      <w:r w:rsidRPr="00287B41">
        <w:rPr>
          <w:rFonts w:ascii="Helvetica" w:hAnsi="Helvetica"/>
          <w:b/>
          <w:bCs/>
          <w:color w:val="000000"/>
          <w:sz w:val="20"/>
          <w:szCs w:val="20"/>
        </w:rPr>
        <w:t>purpose in writing this paper is to offer some advice on which methods should be used in practice</w:t>
      </w:r>
      <w:r w:rsidRPr="00345223">
        <w:rPr>
          <w:rFonts w:ascii="Helvetica" w:hAnsi="Helvetica"/>
          <w:color w:val="000000"/>
          <w:sz w:val="20"/>
          <w:szCs w:val="20"/>
        </w:rPr>
        <w:t xml:space="preserve">. You need to wrap up your discussion with a summary of </w:t>
      </w:r>
      <w:r w:rsidRPr="00287B41">
        <w:rPr>
          <w:rFonts w:ascii="Helvetica" w:hAnsi="Helvetica"/>
          <w:b/>
          <w:bCs/>
          <w:color w:val="000000"/>
          <w:sz w:val="20"/>
          <w:szCs w:val="20"/>
        </w:rPr>
        <w:t>which methods work best and why as well as some comments on which methods show the most promise for future development</w:t>
      </w:r>
      <w:r w:rsidRPr="00345223">
        <w:rPr>
          <w:rFonts w:ascii="Helvetica" w:hAnsi="Helvetica"/>
          <w:color w:val="000000"/>
          <w:sz w:val="20"/>
          <w:szCs w:val="20"/>
        </w:rPr>
        <w:t xml:space="preserve"> (use this summary as an opportunity to motivate your next project). You touch on these themes in the conclusion section, but you need to give them more attention.</w:t>
      </w:r>
    </w:p>
    <w:p w14:paraId="44678B07" w14:textId="77777777" w:rsidR="00320462" w:rsidRPr="00345223" w:rsidRDefault="00320462">
      <w:pPr>
        <w:pStyle w:val="BodyText"/>
        <w:spacing w:after="0"/>
        <w:ind w:left="720"/>
        <w:rPr>
          <w:rFonts w:ascii="Helvetica" w:hAnsi="Helvetica"/>
          <w:color w:val="000000"/>
          <w:sz w:val="20"/>
          <w:szCs w:val="20"/>
        </w:rPr>
      </w:pPr>
    </w:p>
    <w:p w14:paraId="534D6515" w14:textId="77777777" w:rsidR="00320462" w:rsidRPr="00345223" w:rsidRDefault="00345223">
      <w:pPr>
        <w:pStyle w:val="BodyText"/>
        <w:numPr>
          <w:ilvl w:val="0"/>
          <w:numId w:val="1"/>
        </w:numPr>
        <w:spacing w:after="0"/>
        <w:rPr>
          <w:rFonts w:ascii="Helvetica" w:hAnsi="Helvetica"/>
          <w:color w:val="000000"/>
          <w:sz w:val="20"/>
          <w:szCs w:val="20"/>
        </w:rPr>
      </w:pPr>
      <w:r w:rsidRPr="00345223">
        <w:rPr>
          <w:rFonts w:ascii="Helvetica" w:hAnsi="Helvetica"/>
          <w:color w:val="000000"/>
          <w:sz w:val="20"/>
          <w:szCs w:val="20"/>
        </w:rPr>
        <w:t xml:space="preserve">Related to the above point, try to highlight the differences between the methods a bit more throughout the discussion. Every subsection of the discussion, other than the bridge section, begins with the word “Overall” after which you say something that amounts to “this method did pretty well on most dimensions that we explored”. Only after a few sentences of this type of positive appraisal do you get into the nuanced differences. The effect on the reader is to give </w:t>
      </w:r>
      <w:r w:rsidRPr="00287B41">
        <w:rPr>
          <w:rFonts w:ascii="Helvetica" w:hAnsi="Helvetica"/>
          <w:b/>
          <w:bCs/>
          <w:color w:val="000000"/>
          <w:sz w:val="20"/>
          <w:szCs w:val="20"/>
        </w:rPr>
        <w:t>the impression that pretty much every method worked fine, and no method did substantially better than another</w:t>
      </w:r>
      <w:r w:rsidRPr="00345223">
        <w:rPr>
          <w:rFonts w:ascii="Helvetica" w:hAnsi="Helvetica"/>
          <w:color w:val="000000"/>
          <w:sz w:val="20"/>
          <w:szCs w:val="20"/>
        </w:rPr>
        <w:t>. I know the results were nuanced, and we cannot clearly call out one method as the absolute winner, but we don’t want to give the impression that all the methods were equivalent.</w:t>
      </w:r>
    </w:p>
    <w:p w14:paraId="5B2BB2CA" w14:textId="77777777" w:rsidR="00320462" w:rsidRPr="00345223" w:rsidRDefault="00320462">
      <w:pPr>
        <w:pStyle w:val="BodyText"/>
        <w:spacing w:after="0"/>
        <w:ind w:left="720"/>
        <w:rPr>
          <w:rFonts w:ascii="Helvetica" w:hAnsi="Helvetica"/>
          <w:color w:val="000000"/>
          <w:sz w:val="20"/>
          <w:szCs w:val="20"/>
        </w:rPr>
      </w:pPr>
    </w:p>
    <w:p w14:paraId="3676D942" w14:textId="77777777" w:rsidR="00320462" w:rsidRPr="00345223" w:rsidRDefault="00345223">
      <w:pPr>
        <w:pStyle w:val="BodyText"/>
        <w:numPr>
          <w:ilvl w:val="0"/>
          <w:numId w:val="1"/>
        </w:numPr>
        <w:spacing w:after="0"/>
        <w:rPr>
          <w:rFonts w:ascii="Helvetica" w:hAnsi="Helvetica"/>
          <w:color w:val="000000"/>
          <w:sz w:val="20"/>
          <w:szCs w:val="20"/>
        </w:rPr>
      </w:pPr>
      <w:r w:rsidRPr="00345223">
        <w:rPr>
          <w:rFonts w:ascii="Helvetica" w:hAnsi="Helvetica"/>
          <w:color w:val="000000"/>
          <w:sz w:val="20"/>
          <w:szCs w:val="20"/>
        </w:rPr>
        <w:t xml:space="preserve">The manuscript will be printed in grayscale, so you need to remove the color from the figures in the resampling study. Also, I’d recommend trying a white background for the figures. The gray background reduces contrast with the figure contents, and figures with white backgrounds tend to look better in print than figures with filled backgrounds (in my opinion). </w:t>
      </w:r>
    </w:p>
    <w:p w14:paraId="087985B5" w14:textId="77777777" w:rsidR="00320462" w:rsidRPr="00345223" w:rsidRDefault="00320462">
      <w:pPr>
        <w:pStyle w:val="BodyText"/>
        <w:spacing w:after="0"/>
        <w:rPr>
          <w:rFonts w:ascii="Helvetica" w:hAnsi="Helvetica"/>
          <w:sz w:val="20"/>
          <w:szCs w:val="20"/>
        </w:rPr>
      </w:pPr>
    </w:p>
    <w:sectPr w:rsidR="00320462" w:rsidRPr="0034522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141F8"/>
    <w:multiLevelType w:val="multilevel"/>
    <w:tmpl w:val="009E08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8081FE4"/>
    <w:multiLevelType w:val="multilevel"/>
    <w:tmpl w:val="2BCC9B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509017E"/>
    <w:multiLevelType w:val="multilevel"/>
    <w:tmpl w:val="C910F3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79"/>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320462"/>
    <w:rsid w:val="00287B41"/>
    <w:rsid w:val="00320462"/>
    <w:rsid w:val="00345223"/>
    <w:rsid w:val="009A042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B79BD1A"/>
  <w15:docId w15:val="{D71B8E42-A6EE-3D4A-95FC-259EE35E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Edoardo Costantini</cp:lastModifiedBy>
  <cp:revision>6</cp:revision>
  <dcterms:created xsi:type="dcterms:W3CDTF">2021-02-06T02:47:00Z</dcterms:created>
  <dcterms:modified xsi:type="dcterms:W3CDTF">2021-02-11T12:41:00Z</dcterms:modified>
  <dc:language>en-US</dc:language>
</cp:coreProperties>
</file>