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0E9C7" w14:textId="558625D1" w:rsidR="003F5F56" w:rsidRDefault="00911FDE" w:rsidP="003133D2">
      <w:pPr>
        <w:pStyle w:val="TOCHeading"/>
        <w:jc w:val="center"/>
      </w:pPr>
      <w:bookmarkStart w:id="0" w:name="_GoBack"/>
      <w:bookmarkEnd w:id="0"/>
      <w:r w:rsidRPr="00962BFC">
        <w:t xml:space="preserve">Towards a statistical measure for durable solutions to internal displacement: </w:t>
      </w:r>
      <w:r w:rsidR="008874B0" w:rsidRPr="00962BFC">
        <w:t xml:space="preserve">a </w:t>
      </w:r>
      <w:r w:rsidR="00BF051A" w:rsidRPr="00962BFC">
        <w:t>simulation</w:t>
      </w:r>
      <w:r w:rsidR="003601E5" w:rsidRPr="00962BFC">
        <w:t xml:space="preserve"> </w:t>
      </w:r>
      <w:r w:rsidR="008874B0" w:rsidRPr="00962BFC">
        <w:t xml:space="preserve">to assess </w:t>
      </w:r>
      <w:r w:rsidRPr="00962BFC">
        <w:t xml:space="preserve">indicator and </w:t>
      </w:r>
      <w:r w:rsidR="00B94B95">
        <w:t>metric</w:t>
      </w:r>
      <w:r w:rsidRPr="00962BFC">
        <w:t xml:space="preserve"> choice</w:t>
      </w:r>
    </w:p>
    <w:p w14:paraId="1665AA08" w14:textId="5538A5FC" w:rsidR="00F5377A" w:rsidRDefault="00F5377A" w:rsidP="00F5377A"/>
    <w:p w14:paraId="79448D69" w14:textId="1CF5F8DF" w:rsidR="00F5377A" w:rsidRDefault="00F5377A" w:rsidP="00F5377A">
      <w:pPr>
        <w:jc w:val="center"/>
        <w:rPr>
          <w:i/>
          <w:iCs/>
        </w:rPr>
      </w:pPr>
      <w:r w:rsidRPr="00F5377A">
        <w:rPr>
          <w:i/>
          <w:iCs/>
        </w:rPr>
        <w:t>DRAFT VERSION FOR INTERNAL DISCUSSION</w:t>
      </w:r>
      <w:r>
        <w:rPr>
          <w:i/>
          <w:iCs/>
        </w:rPr>
        <w:t xml:space="preserve"> IN EGRIS SUBGROUP 3</w:t>
      </w:r>
    </w:p>
    <w:p w14:paraId="23593FA1" w14:textId="31EADB4E" w:rsidR="00DD58E2" w:rsidRDefault="00DD58E2" w:rsidP="00F5377A">
      <w:pPr>
        <w:jc w:val="center"/>
        <w:rPr>
          <w:i/>
          <w:iCs/>
        </w:rPr>
      </w:pPr>
    </w:p>
    <w:p w14:paraId="19EC14AF" w14:textId="77777777" w:rsidR="00DD58E2" w:rsidRPr="00F5377A" w:rsidRDefault="00DD58E2" w:rsidP="00F5377A">
      <w:pPr>
        <w:jc w:val="center"/>
        <w:rPr>
          <w:i/>
          <w:iCs/>
        </w:rPr>
      </w:pPr>
    </w:p>
    <w:sdt>
      <w:sdtPr>
        <w:rPr>
          <w:rFonts w:asciiTheme="minorHAnsi" w:eastAsiaTheme="minorEastAsia" w:hAnsiTheme="minorHAnsi" w:cstheme="minorBidi"/>
          <w:b w:val="0"/>
          <w:color w:val="auto"/>
          <w:sz w:val="22"/>
          <w:szCs w:val="22"/>
        </w:rPr>
        <w:id w:val="-1389796691"/>
        <w:docPartObj>
          <w:docPartGallery w:val="Table of Contents"/>
          <w:docPartUnique/>
        </w:docPartObj>
      </w:sdtPr>
      <w:sdtEndPr>
        <w:rPr>
          <w:bCs/>
          <w:noProof/>
        </w:rPr>
      </w:sdtEndPr>
      <w:sdtContent>
        <w:p w14:paraId="0971F5A0" w14:textId="0552DA80" w:rsidR="00065599" w:rsidRDefault="00065599">
          <w:pPr>
            <w:pStyle w:val="TOCHeading"/>
          </w:pPr>
          <w:r>
            <w:t>Contents</w:t>
          </w:r>
        </w:p>
        <w:p w14:paraId="4588555B" w14:textId="15066E63" w:rsidR="00E1338F" w:rsidRDefault="00065599">
          <w:pPr>
            <w:pStyle w:val="TOC1"/>
            <w:tabs>
              <w:tab w:val="right" w:leader="dot" w:pos="9016"/>
            </w:tabs>
            <w:rPr>
              <w:noProof/>
            </w:rPr>
          </w:pPr>
          <w:r>
            <w:fldChar w:fldCharType="begin"/>
          </w:r>
          <w:r>
            <w:instrText xml:space="preserve"> TOC \o "1-3" \h \z \u </w:instrText>
          </w:r>
          <w:r>
            <w:fldChar w:fldCharType="separate"/>
          </w:r>
          <w:hyperlink w:anchor="_Toc63432128" w:history="1">
            <w:r w:rsidR="00E1338F" w:rsidRPr="00A94342">
              <w:rPr>
                <w:rStyle w:val="Hyperlink"/>
                <w:rFonts w:cstheme="majorHAnsi"/>
                <w:noProof/>
              </w:rPr>
              <w:t>Introduction</w:t>
            </w:r>
            <w:r w:rsidR="00E1338F">
              <w:rPr>
                <w:noProof/>
                <w:webHidden/>
              </w:rPr>
              <w:tab/>
            </w:r>
            <w:r w:rsidR="00E1338F">
              <w:rPr>
                <w:noProof/>
                <w:webHidden/>
              </w:rPr>
              <w:fldChar w:fldCharType="begin"/>
            </w:r>
            <w:r w:rsidR="00E1338F">
              <w:rPr>
                <w:noProof/>
                <w:webHidden/>
              </w:rPr>
              <w:instrText xml:space="preserve"> PAGEREF _Toc63432128 \h </w:instrText>
            </w:r>
            <w:r w:rsidR="00E1338F">
              <w:rPr>
                <w:noProof/>
                <w:webHidden/>
              </w:rPr>
            </w:r>
            <w:r w:rsidR="00E1338F">
              <w:rPr>
                <w:noProof/>
                <w:webHidden/>
              </w:rPr>
              <w:fldChar w:fldCharType="separate"/>
            </w:r>
            <w:r w:rsidR="004D44F7">
              <w:rPr>
                <w:noProof/>
                <w:webHidden/>
              </w:rPr>
              <w:t>1</w:t>
            </w:r>
            <w:r w:rsidR="00E1338F">
              <w:rPr>
                <w:noProof/>
                <w:webHidden/>
              </w:rPr>
              <w:fldChar w:fldCharType="end"/>
            </w:r>
          </w:hyperlink>
        </w:p>
        <w:p w14:paraId="1A3F5476" w14:textId="61B34ABA" w:rsidR="00E1338F" w:rsidRDefault="00646531">
          <w:pPr>
            <w:pStyle w:val="TOC1"/>
            <w:tabs>
              <w:tab w:val="right" w:leader="dot" w:pos="9016"/>
            </w:tabs>
            <w:rPr>
              <w:noProof/>
            </w:rPr>
          </w:pPr>
          <w:hyperlink w:anchor="_Toc63432129" w:history="1">
            <w:r w:rsidR="00E1338F" w:rsidRPr="00A94342">
              <w:rPr>
                <w:rStyle w:val="Hyperlink"/>
                <w:rFonts w:cstheme="majorHAnsi"/>
                <w:noProof/>
              </w:rPr>
              <w:t>The IRIS “solutions measure”</w:t>
            </w:r>
            <w:r w:rsidR="00E1338F">
              <w:rPr>
                <w:noProof/>
                <w:webHidden/>
              </w:rPr>
              <w:tab/>
            </w:r>
            <w:r w:rsidR="00E1338F">
              <w:rPr>
                <w:noProof/>
                <w:webHidden/>
              </w:rPr>
              <w:fldChar w:fldCharType="begin"/>
            </w:r>
            <w:r w:rsidR="00E1338F">
              <w:rPr>
                <w:noProof/>
                <w:webHidden/>
              </w:rPr>
              <w:instrText xml:space="preserve"> PAGEREF _Toc63432129 \h </w:instrText>
            </w:r>
            <w:r w:rsidR="00E1338F">
              <w:rPr>
                <w:noProof/>
                <w:webHidden/>
              </w:rPr>
            </w:r>
            <w:r w:rsidR="00E1338F">
              <w:rPr>
                <w:noProof/>
                <w:webHidden/>
              </w:rPr>
              <w:fldChar w:fldCharType="separate"/>
            </w:r>
            <w:r w:rsidR="004D44F7">
              <w:rPr>
                <w:noProof/>
                <w:webHidden/>
              </w:rPr>
              <w:t>2</w:t>
            </w:r>
            <w:r w:rsidR="00E1338F">
              <w:rPr>
                <w:noProof/>
                <w:webHidden/>
              </w:rPr>
              <w:fldChar w:fldCharType="end"/>
            </w:r>
          </w:hyperlink>
        </w:p>
        <w:p w14:paraId="0A97E286" w14:textId="2DEB77E5" w:rsidR="00E1338F" w:rsidRDefault="00646531">
          <w:pPr>
            <w:pStyle w:val="TOC2"/>
            <w:tabs>
              <w:tab w:val="right" w:leader="dot" w:pos="9016"/>
            </w:tabs>
            <w:rPr>
              <w:noProof/>
            </w:rPr>
          </w:pPr>
          <w:hyperlink w:anchor="_Toc63432130" w:history="1">
            <w:r w:rsidR="00E1338F" w:rsidRPr="00A94342">
              <w:rPr>
                <w:rStyle w:val="Hyperlink"/>
                <w:noProof/>
              </w:rPr>
              <w:t>Remaining methodological challenges</w:t>
            </w:r>
            <w:r w:rsidR="00E1338F">
              <w:rPr>
                <w:noProof/>
                <w:webHidden/>
              </w:rPr>
              <w:tab/>
            </w:r>
            <w:r w:rsidR="00E1338F">
              <w:rPr>
                <w:noProof/>
                <w:webHidden/>
              </w:rPr>
              <w:fldChar w:fldCharType="begin"/>
            </w:r>
            <w:r w:rsidR="00E1338F">
              <w:rPr>
                <w:noProof/>
                <w:webHidden/>
              </w:rPr>
              <w:instrText xml:space="preserve"> PAGEREF _Toc63432130 \h </w:instrText>
            </w:r>
            <w:r w:rsidR="00E1338F">
              <w:rPr>
                <w:noProof/>
                <w:webHidden/>
              </w:rPr>
            </w:r>
            <w:r w:rsidR="00E1338F">
              <w:rPr>
                <w:noProof/>
                <w:webHidden/>
              </w:rPr>
              <w:fldChar w:fldCharType="separate"/>
            </w:r>
            <w:r w:rsidR="004D44F7">
              <w:rPr>
                <w:noProof/>
                <w:webHidden/>
              </w:rPr>
              <w:t>3</w:t>
            </w:r>
            <w:r w:rsidR="00E1338F">
              <w:rPr>
                <w:noProof/>
                <w:webHidden/>
              </w:rPr>
              <w:fldChar w:fldCharType="end"/>
            </w:r>
          </w:hyperlink>
        </w:p>
        <w:p w14:paraId="7FD9F63C" w14:textId="6E6A56FE" w:rsidR="00E1338F" w:rsidRDefault="00646531">
          <w:pPr>
            <w:pStyle w:val="TOC2"/>
            <w:tabs>
              <w:tab w:val="right" w:leader="dot" w:pos="9016"/>
            </w:tabs>
            <w:rPr>
              <w:noProof/>
            </w:rPr>
          </w:pPr>
          <w:hyperlink w:anchor="_Toc63432131" w:history="1">
            <w:r w:rsidR="00E1338F" w:rsidRPr="00A94342">
              <w:rPr>
                <w:rStyle w:val="Hyperlink"/>
                <w:noProof/>
              </w:rPr>
              <w:t>Ways forward for indicator and metric choice</w:t>
            </w:r>
            <w:r w:rsidR="00E1338F">
              <w:rPr>
                <w:noProof/>
                <w:webHidden/>
              </w:rPr>
              <w:tab/>
            </w:r>
            <w:r w:rsidR="00E1338F">
              <w:rPr>
                <w:noProof/>
                <w:webHidden/>
              </w:rPr>
              <w:fldChar w:fldCharType="begin"/>
            </w:r>
            <w:r w:rsidR="00E1338F">
              <w:rPr>
                <w:noProof/>
                <w:webHidden/>
              </w:rPr>
              <w:instrText xml:space="preserve"> PAGEREF _Toc63432131 \h </w:instrText>
            </w:r>
            <w:r w:rsidR="00E1338F">
              <w:rPr>
                <w:noProof/>
                <w:webHidden/>
              </w:rPr>
            </w:r>
            <w:r w:rsidR="00E1338F">
              <w:rPr>
                <w:noProof/>
                <w:webHidden/>
              </w:rPr>
              <w:fldChar w:fldCharType="separate"/>
            </w:r>
            <w:r w:rsidR="004D44F7">
              <w:rPr>
                <w:noProof/>
                <w:webHidden/>
              </w:rPr>
              <w:t>4</w:t>
            </w:r>
            <w:r w:rsidR="00E1338F">
              <w:rPr>
                <w:noProof/>
                <w:webHidden/>
              </w:rPr>
              <w:fldChar w:fldCharType="end"/>
            </w:r>
          </w:hyperlink>
        </w:p>
        <w:p w14:paraId="67C8478B" w14:textId="1ED18493" w:rsidR="00E1338F" w:rsidRDefault="00646531">
          <w:pPr>
            <w:pStyle w:val="TOC1"/>
            <w:tabs>
              <w:tab w:val="right" w:leader="dot" w:pos="9016"/>
            </w:tabs>
            <w:rPr>
              <w:noProof/>
            </w:rPr>
          </w:pPr>
          <w:hyperlink w:anchor="_Toc63432132" w:history="1">
            <w:r w:rsidR="00E1338F" w:rsidRPr="00A94342">
              <w:rPr>
                <w:rStyle w:val="Hyperlink"/>
                <w:noProof/>
              </w:rPr>
              <w:t>Methodology</w:t>
            </w:r>
            <w:r w:rsidR="00E1338F">
              <w:rPr>
                <w:noProof/>
                <w:webHidden/>
              </w:rPr>
              <w:tab/>
            </w:r>
            <w:r w:rsidR="00E1338F">
              <w:rPr>
                <w:noProof/>
                <w:webHidden/>
              </w:rPr>
              <w:fldChar w:fldCharType="begin"/>
            </w:r>
            <w:r w:rsidR="00E1338F">
              <w:rPr>
                <w:noProof/>
                <w:webHidden/>
              </w:rPr>
              <w:instrText xml:space="preserve"> PAGEREF _Toc63432132 \h </w:instrText>
            </w:r>
            <w:r w:rsidR="00E1338F">
              <w:rPr>
                <w:noProof/>
                <w:webHidden/>
              </w:rPr>
            </w:r>
            <w:r w:rsidR="00E1338F">
              <w:rPr>
                <w:noProof/>
                <w:webHidden/>
              </w:rPr>
              <w:fldChar w:fldCharType="separate"/>
            </w:r>
            <w:r w:rsidR="004D44F7">
              <w:rPr>
                <w:noProof/>
                <w:webHidden/>
              </w:rPr>
              <w:t>10</w:t>
            </w:r>
            <w:r w:rsidR="00E1338F">
              <w:rPr>
                <w:noProof/>
                <w:webHidden/>
              </w:rPr>
              <w:fldChar w:fldCharType="end"/>
            </w:r>
          </w:hyperlink>
        </w:p>
        <w:p w14:paraId="096D8122" w14:textId="2B61478D" w:rsidR="00E1338F" w:rsidRDefault="00646531">
          <w:pPr>
            <w:pStyle w:val="TOC2"/>
            <w:tabs>
              <w:tab w:val="right" w:leader="dot" w:pos="9016"/>
            </w:tabs>
            <w:rPr>
              <w:noProof/>
            </w:rPr>
          </w:pPr>
          <w:hyperlink w:anchor="_Toc63432133" w:history="1">
            <w:r w:rsidR="00E1338F" w:rsidRPr="00A94342">
              <w:rPr>
                <w:rStyle w:val="Hyperlink"/>
                <w:noProof/>
              </w:rPr>
              <w:t>Step 1: Identifying the universe of potential indicators</w:t>
            </w:r>
            <w:r w:rsidR="00E1338F">
              <w:rPr>
                <w:noProof/>
                <w:webHidden/>
              </w:rPr>
              <w:tab/>
            </w:r>
            <w:r w:rsidR="00E1338F">
              <w:rPr>
                <w:noProof/>
                <w:webHidden/>
              </w:rPr>
              <w:fldChar w:fldCharType="begin"/>
            </w:r>
            <w:r w:rsidR="00E1338F">
              <w:rPr>
                <w:noProof/>
                <w:webHidden/>
              </w:rPr>
              <w:instrText xml:space="preserve"> PAGEREF _Toc63432133 \h </w:instrText>
            </w:r>
            <w:r w:rsidR="00E1338F">
              <w:rPr>
                <w:noProof/>
                <w:webHidden/>
              </w:rPr>
            </w:r>
            <w:r w:rsidR="00E1338F">
              <w:rPr>
                <w:noProof/>
                <w:webHidden/>
              </w:rPr>
              <w:fldChar w:fldCharType="separate"/>
            </w:r>
            <w:r w:rsidR="004D44F7">
              <w:rPr>
                <w:noProof/>
                <w:webHidden/>
              </w:rPr>
              <w:t>10</w:t>
            </w:r>
            <w:r w:rsidR="00E1338F">
              <w:rPr>
                <w:noProof/>
                <w:webHidden/>
              </w:rPr>
              <w:fldChar w:fldCharType="end"/>
            </w:r>
          </w:hyperlink>
        </w:p>
        <w:p w14:paraId="48FF9C77" w14:textId="2A811490" w:rsidR="00E1338F" w:rsidRDefault="00646531">
          <w:pPr>
            <w:pStyle w:val="TOC2"/>
            <w:tabs>
              <w:tab w:val="right" w:leader="dot" w:pos="9016"/>
            </w:tabs>
            <w:rPr>
              <w:noProof/>
            </w:rPr>
          </w:pPr>
          <w:hyperlink w:anchor="_Toc63432134" w:history="1">
            <w:r w:rsidR="00E1338F" w:rsidRPr="00A94342">
              <w:rPr>
                <w:rStyle w:val="Hyperlink"/>
                <w:noProof/>
              </w:rPr>
              <w:t>Step 2: Selecting empirical datasets on IDP vulnerabilities &amp; solutions</w:t>
            </w:r>
            <w:r w:rsidR="00E1338F">
              <w:rPr>
                <w:noProof/>
                <w:webHidden/>
              </w:rPr>
              <w:tab/>
            </w:r>
            <w:r w:rsidR="00E1338F">
              <w:rPr>
                <w:noProof/>
                <w:webHidden/>
              </w:rPr>
              <w:fldChar w:fldCharType="begin"/>
            </w:r>
            <w:r w:rsidR="00E1338F">
              <w:rPr>
                <w:noProof/>
                <w:webHidden/>
              </w:rPr>
              <w:instrText xml:space="preserve"> PAGEREF _Toc63432134 \h </w:instrText>
            </w:r>
            <w:r w:rsidR="00E1338F">
              <w:rPr>
                <w:noProof/>
                <w:webHidden/>
              </w:rPr>
            </w:r>
            <w:r w:rsidR="00E1338F">
              <w:rPr>
                <w:noProof/>
                <w:webHidden/>
              </w:rPr>
              <w:fldChar w:fldCharType="separate"/>
            </w:r>
            <w:r w:rsidR="004D44F7">
              <w:rPr>
                <w:noProof/>
                <w:webHidden/>
              </w:rPr>
              <w:t>11</w:t>
            </w:r>
            <w:r w:rsidR="00E1338F">
              <w:rPr>
                <w:noProof/>
                <w:webHidden/>
              </w:rPr>
              <w:fldChar w:fldCharType="end"/>
            </w:r>
          </w:hyperlink>
        </w:p>
        <w:p w14:paraId="11225408" w14:textId="3DAA4434" w:rsidR="00E1338F" w:rsidRDefault="00646531">
          <w:pPr>
            <w:pStyle w:val="TOC2"/>
            <w:tabs>
              <w:tab w:val="right" w:leader="dot" w:pos="9016"/>
            </w:tabs>
            <w:rPr>
              <w:noProof/>
            </w:rPr>
          </w:pPr>
          <w:hyperlink w:anchor="_Toc63432135" w:history="1">
            <w:r w:rsidR="00E1338F" w:rsidRPr="00A94342">
              <w:rPr>
                <w:rStyle w:val="Hyperlink"/>
                <w:noProof/>
              </w:rPr>
              <w:t>Step 3: Preparing the indicators and indices for simulation</w:t>
            </w:r>
            <w:r w:rsidR="00E1338F">
              <w:rPr>
                <w:noProof/>
                <w:webHidden/>
              </w:rPr>
              <w:tab/>
            </w:r>
            <w:r w:rsidR="00E1338F">
              <w:rPr>
                <w:noProof/>
                <w:webHidden/>
              </w:rPr>
              <w:fldChar w:fldCharType="begin"/>
            </w:r>
            <w:r w:rsidR="00E1338F">
              <w:rPr>
                <w:noProof/>
                <w:webHidden/>
              </w:rPr>
              <w:instrText xml:space="preserve"> PAGEREF _Toc63432135 \h </w:instrText>
            </w:r>
            <w:r w:rsidR="00E1338F">
              <w:rPr>
                <w:noProof/>
                <w:webHidden/>
              </w:rPr>
            </w:r>
            <w:r w:rsidR="00E1338F">
              <w:rPr>
                <w:noProof/>
                <w:webHidden/>
              </w:rPr>
              <w:fldChar w:fldCharType="separate"/>
            </w:r>
            <w:r w:rsidR="004D44F7">
              <w:rPr>
                <w:noProof/>
                <w:webHidden/>
              </w:rPr>
              <w:t>12</w:t>
            </w:r>
            <w:r w:rsidR="00E1338F">
              <w:rPr>
                <w:noProof/>
                <w:webHidden/>
              </w:rPr>
              <w:fldChar w:fldCharType="end"/>
            </w:r>
          </w:hyperlink>
        </w:p>
        <w:p w14:paraId="6CFE5F5D" w14:textId="71A5BC3D" w:rsidR="00E1338F" w:rsidRDefault="00646531">
          <w:pPr>
            <w:pStyle w:val="TOC2"/>
            <w:tabs>
              <w:tab w:val="right" w:leader="dot" w:pos="9016"/>
            </w:tabs>
            <w:rPr>
              <w:noProof/>
            </w:rPr>
          </w:pPr>
          <w:hyperlink w:anchor="_Toc63432136" w:history="1">
            <w:r w:rsidR="00E1338F" w:rsidRPr="00A94342">
              <w:rPr>
                <w:rStyle w:val="Hyperlink"/>
                <w:noProof/>
              </w:rPr>
              <w:t>Step 4: Iteratively simulating the indicator and metric choice</w:t>
            </w:r>
            <w:r w:rsidR="00E1338F">
              <w:rPr>
                <w:noProof/>
                <w:webHidden/>
              </w:rPr>
              <w:tab/>
            </w:r>
            <w:r w:rsidR="00E1338F">
              <w:rPr>
                <w:noProof/>
                <w:webHidden/>
              </w:rPr>
              <w:fldChar w:fldCharType="begin"/>
            </w:r>
            <w:r w:rsidR="00E1338F">
              <w:rPr>
                <w:noProof/>
                <w:webHidden/>
              </w:rPr>
              <w:instrText xml:space="preserve"> PAGEREF _Toc63432136 \h </w:instrText>
            </w:r>
            <w:r w:rsidR="00E1338F">
              <w:rPr>
                <w:noProof/>
                <w:webHidden/>
              </w:rPr>
            </w:r>
            <w:r w:rsidR="00E1338F">
              <w:rPr>
                <w:noProof/>
                <w:webHidden/>
              </w:rPr>
              <w:fldChar w:fldCharType="separate"/>
            </w:r>
            <w:r w:rsidR="004D44F7">
              <w:rPr>
                <w:noProof/>
                <w:webHidden/>
              </w:rPr>
              <w:t>13</w:t>
            </w:r>
            <w:r w:rsidR="00E1338F">
              <w:rPr>
                <w:noProof/>
                <w:webHidden/>
              </w:rPr>
              <w:fldChar w:fldCharType="end"/>
            </w:r>
          </w:hyperlink>
        </w:p>
        <w:p w14:paraId="759D7648" w14:textId="37DF4587" w:rsidR="00E1338F" w:rsidRDefault="00646531">
          <w:pPr>
            <w:pStyle w:val="TOC1"/>
            <w:tabs>
              <w:tab w:val="right" w:leader="dot" w:pos="9016"/>
            </w:tabs>
            <w:rPr>
              <w:noProof/>
            </w:rPr>
          </w:pPr>
          <w:hyperlink w:anchor="_Toc63432137" w:history="1">
            <w:r w:rsidR="00E1338F" w:rsidRPr="00A94342">
              <w:rPr>
                <w:rStyle w:val="Hyperlink"/>
                <w:noProof/>
              </w:rPr>
              <w:t>Findings</w:t>
            </w:r>
            <w:r w:rsidR="00E1338F">
              <w:rPr>
                <w:noProof/>
                <w:webHidden/>
              </w:rPr>
              <w:tab/>
            </w:r>
            <w:r w:rsidR="00E1338F">
              <w:rPr>
                <w:noProof/>
                <w:webHidden/>
              </w:rPr>
              <w:fldChar w:fldCharType="begin"/>
            </w:r>
            <w:r w:rsidR="00E1338F">
              <w:rPr>
                <w:noProof/>
                <w:webHidden/>
              </w:rPr>
              <w:instrText xml:space="preserve"> PAGEREF _Toc63432137 \h </w:instrText>
            </w:r>
            <w:r w:rsidR="00E1338F">
              <w:rPr>
                <w:noProof/>
                <w:webHidden/>
              </w:rPr>
            </w:r>
            <w:r w:rsidR="00E1338F">
              <w:rPr>
                <w:noProof/>
                <w:webHidden/>
              </w:rPr>
              <w:fldChar w:fldCharType="separate"/>
            </w:r>
            <w:r w:rsidR="004D44F7">
              <w:rPr>
                <w:noProof/>
                <w:webHidden/>
              </w:rPr>
              <w:t>14</w:t>
            </w:r>
            <w:r w:rsidR="00E1338F">
              <w:rPr>
                <w:noProof/>
                <w:webHidden/>
              </w:rPr>
              <w:fldChar w:fldCharType="end"/>
            </w:r>
          </w:hyperlink>
        </w:p>
        <w:p w14:paraId="34CF9FF8" w14:textId="646D918D" w:rsidR="00E1338F" w:rsidRDefault="00646531">
          <w:pPr>
            <w:pStyle w:val="TOC2"/>
            <w:tabs>
              <w:tab w:val="right" w:leader="dot" w:pos="9016"/>
            </w:tabs>
            <w:rPr>
              <w:noProof/>
            </w:rPr>
          </w:pPr>
          <w:hyperlink w:anchor="_Toc63432138" w:history="1">
            <w:r w:rsidR="00E1338F" w:rsidRPr="00A94342">
              <w:rPr>
                <w:rStyle w:val="Hyperlink"/>
                <w:noProof/>
              </w:rPr>
              <w:t>Simulation results for Hargeisa (UNHCR 2015)</w:t>
            </w:r>
            <w:r w:rsidR="00E1338F">
              <w:rPr>
                <w:noProof/>
                <w:webHidden/>
              </w:rPr>
              <w:tab/>
            </w:r>
            <w:r w:rsidR="00E1338F">
              <w:rPr>
                <w:noProof/>
                <w:webHidden/>
              </w:rPr>
              <w:fldChar w:fldCharType="begin"/>
            </w:r>
            <w:r w:rsidR="00E1338F">
              <w:rPr>
                <w:noProof/>
                <w:webHidden/>
              </w:rPr>
              <w:instrText xml:space="preserve"> PAGEREF _Toc63432138 \h </w:instrText>
            </w:r>
            <w:r w:rsidR="00E1338F">
              <w:rPr>
                <w:noProof/>
                <w:webHidden/>
              </w:rPr>
            </w:r>
            <w:r w:rsidR="00E1338F">
              <w:rPr>
                <w:noProof/>
                <w:webHidden/>
              </w:rPr>
              <w:fldChar w:fldCharType="separate"/>
            </w:r>
            <w:r w:rsidR="004D44F7">
              <w:rPr>
                <w:noProof/>
                <w:webHidden/>
              </w:rPr>
              <w:t>14</w:t>
            </w:r>
            <w:r w:rsidR="00E1338F">
              <w:rPr>
                <w:noProof/>
                <w:webHidden/>
              </w:rPr>
              <w:fldChar w:fldCharType="end"/>
            </w:r>
          </w:hyperlink>
        </w:p>
        <w:p w14:paraId="1C38B1A8" w14:textId="71071990" w:rsidR="00E1338F" w:rsidRDefault="00646531">
          <w:pPr>
            <w:pStyle w:val="TOC2"/>
            <w:tabs>
              <w:tab w:val="right" w:leader="dot" w:pos="9016"/>
            </w:tabs>
            <w:rPr>
              <w:noProof/>
            </w:rPr>
          </w:pPr>
          <w:hyperlink w:anchor="_Toc63432139" w:history="1">
            <w:r w:rsidR="00E1338F" w:rsidRPr="00A94342">
              <w:rPr>
                <w:rStyle w:val="Hyperlink"/>
                <w:noProof/>
              </w:rPr>
              <w:t>Simulation results for Nigeria (World Bank 2018)</w:t>
            </w:r>
            <w:r w:rsidR="00E1338F">
              <w:rPr>
                <w:noProof/>
                <w:webHidden/>
              </w:rPr>
              <w:tab/>
            </w:r>
            <w:r w:rsidR="00E1338F">
              <w:rPr>
                <w:noProof/>
                <w:webHidden/>
              </w:rPr>
              <w:fldChar w:fldCharType="begin"/>
            </w:r>
            <w:r w:rsidR="00E1338F">
              <w:rPr>
                <w:noProof/>
                <w:webHidden/>
              </w:rPr>
              <w:instrText xml:space="preserve"> PAGEREF _Toc63432139 \h </w:instrText>
            </w:r>
            <w:r w:rsidR="00E1338F">
              <w:rPr>
                <w:noProof/>
                <w:webHidden/>
              </w:rPr>
            </w:r>
            <w:r w:rsidR="00E1338F">
              <w:rPr>
                <w:noProof/>
                <w:webHidden/>
              </w:rPr>
              <w:fldChar w:fldCharType="separate"/>
            </w:r>
            <w:r w:rsidR="004D44F7">
              <w:rPr>
                <w:noProof/>
                <w:webHidden/>
              </w:rPr>
              <w:t>21</w:t>
            </w:r>
            <w:r w:rsidR="00E1338F">
              <w:rPr>
                <w:noProof/>
                <w:webHidden/>
              </w:rPr>
              <w:fldChar w:fldCharType="end"/>
            </w:r>
          </w:hyperlink>
        </w:p>
        <w:p w14:paraId="46043539" w14:textId="19A066D8" w:rsidR="00E1338F" w:rsidRDefault="00646531">
          <w:pPr>
            <w:pStyle w:val="TOC2"/>
            <w:tabs>
              <w:tab w:val="right" w:leader="dot" w:pos="9016"/>
            </w:tabs>
            <w:rPr>
              <w:noProof/>
            </w:rPr>
          </w:pPr>
          <w:hyperlink w:anchor="_Toc63432140" w:history="1">
            <w:r w:rsidR="00E1338F" w:rsidRPr="00A94342">
              <w:rPr>
                <w:rStyle w:val="Hyperlink"/>
                <w:noProof/>
              </w:rPr>
              <w:t>Limitations</w:t>
            </w:r>
            <w:r w:rsidR="00E1338F">
              <w:rPr>
                <w:noProof/>
                <w:webHidden/>
              </w:rPr>
              <w:tab/>
            </w:r>
            <w:r w:rsidR="00E1338F">
              <w:rPr>
                <w:noProof/>
                <w:webHidden/>
              </w:rPr>
              <w:fldChar w:fldCharType="begin"/>
            </w:r>
            <w:r w:rsidR="00E1338F">
              <w:rPr>
                <w:noProof/>
                <w:webHidden/>
              </w:rPr>
              <w:instrText xml:space="preserve"> PAGEREF _Toc63432140 \h </w:instrText>
            </w:r>
            <w:r w:rsidR="00E1338F">
              <w:rPr>
                <w:noProof/>
                <w:webHidden/>
              </w:rPr>
            </w:r>
            <w:r w:rsidR="00E1338F">
              <w:rPr>
                <w:noProof/>
                <w:webHidden/>
              </w:rPr>
              <w:fldChar w:fldCharType="separate"/>
            </w:r>
            <w:r w:rsidR="004D44F7">
              <w:rPr>
                <w:noProof/>
                <w:webHidden/>
              </w:rPr>
              <w:t>25</w:t>
            </w:r>
            <w:r w:rsidR="00E1338F">
              <w:rPr>
                <w:noProof/>
                <w:webHidden/>
              </w:rPr>
              <w:fldChar w:fldCharType="end"/>
            </w:r>
          </w:hyperlink>
        </w:p>
        <w:p w14:paraId="2A7AB894" w14:textId="1E8EB235" w:rsidR="00E1338F" w:rsidRDefault="00646531">
          <w:pPr>
            <w:pStyle w:val="TOC1"/>
            <w:tabs>
              <w:tab w:val="right" w:leader="dot" w:pos="9016"/>
            </w:tabs>
            <w:rPr>
              <w:noProof/>
            </w:rPr>
          </w:pPr>
          <w:hyperlink w:anchor="_Toc63432141" w:history="1">
            <w:r w:rsidR="00E1338F" w:rsidRPr="00A94342">
              <w:rPr>
                <w:rStyle w:val="Hyperlink"/>
                <w:noProof/>
              </w:rPr>
              <w:t>Conclusions and key recommendations</w:t>
            </w:r>
            <w:r w:rsidR="00E1338F">
              <w:rPr>
                <w:noProof/>
                <w:webHidden/>
              </w:rPr>
              <w:tab/>
            </w:r>
            <w:r w:rsidR="00E1338F">
              <w:rPr>
                <w:noProof/>
                <w:webHidden/>
              </w:rPr>
              <w:fldChar w:fldCharType="begin"/>
            </w:r>
            <w:r w:rsidR="00E1338F">
              <w:rPr>
                <w:noProof/>
                <w:webHidden/>
              </w:rPr>
              <w:instrText xml:space="preserve"> PAGEREF _Toc63432141 \h </w:instrText>
            </w:r>
            <w:r w:rsidR="00E1338F">
              <w:rPr>
                <w:noProof/>
                <w:webHidden/>
              </w:rPr>
            </w:r>
            <w:r w:rsidR="00E1338F">
              <w:rPr>
                <w:noProof/>
                <w:webHidden/>
              </w:rPr>
              <w:fldChar w:fldCharType="separate"/>
            </w:r>
            <w:r w:rsidR="004D44F7">
              <w:rPr>
                <w:noProof/>
                <w:webHidden/>
              </w:rPr>
              <w:t>26</w:t>
            </w:r>
            <w:r w:rsidR="00E1338F">
              <w:rPr>
                <w:noProof/>
                <w:webHidden/>
              </w:rPr>
              <w:fldChar w:fldCharType="end"/>
            </w:r>
          </w:hyperlink>
        </w:p>
        <w:p w14:paraId="4107DCAF" w14:textId="3051BF3B" w:rsidR="00E1338F" w:rsidRDefault="00646531">
          <w:pPr>
            <w:pStyle w:val="TOC2"/>
            <w:tabs>
              <w:tab w:val="right" w:leader="dot" w:pos="9016"/>
            </w:tabs>
            <w:rPr>
              <w:noProof/>
            </w:rPr>
          </w:pPr>
          <w:hyperlink w:anchor="_Toc63432142" w:history="1">
            <w:r w:rsidR="00E1338F" w:rsidRPr="00A94342">
              <w:rPr>
                <w:rStyle w:val="Hyperlink"/>
                <w:noProof/>
              </w:rPr>
              <w:t>Informing the selection of indicators</w:t>
            </w:r>
            <w:r w:rsidR="00E1338F">
              <w:rPr>
                <w:noProof/>
                <w:webHidden/>
              </w:rPr>
              <w:tab/>
            </w:r>
            <w:r w:rsidR="00E1338F">
              <w:rPr>
                <w:noProof/>
                <w:webHidden/>
              </w:rPr>
              <w:fldChar w:fldCharType="begin"/>
            </w:r>
            <w:r w:rsidR="00E1338F">
              <w:rPr>
                <w:noProof/>
                <w:webHidden/>
              </w:rPr>
              <w:instrText xml:space="preserve"> PAGEREF _Toc63432142 \h </w:instrText>
            </w:r>
            <w:r w:rsidR="00E1338F">
              <w:rPr>
                <w:noProof/>
                <w:webHidden/>
              </w:rPr>
            </w:r>
            <w:r w:rsidR="00E1338F">
              <w:rPr>
                <w:noProof/>
                <w:webHidden/>
              </w:rPr>
              <w:fldChar w:fldCharType="separate"/>
            </w:r>
            <w:r w:rsidR="004D44F7">
              <w:rPr>
                <w:noProof/>
                <w:webHidden/>
              </w:rPr>
              <w:t>26</w:t>
            </w:r>
            <w:r w:rsidR="00E1338F">
              <w:rPr>
                <w:noProof/>
                <w:webHidden/>
              </w:rPr>
              <w:fldChar w:fldCharType="end"/>
            </w:r>
          </w:hyperlink>
        </w:p>
        <w:p w14:paraId="65A9F406" w14:textId="094F855B" w:rsidR="00E1338F" w:rsidRDefault="00646531">
          <w:pPr>
            <w:pStyle w:val="TOC2"/>
            <w:tabs>
              <w:tab w:val="right" w:leader="dot" w:pos="9016"/>
            </w:tabs>
            <w:rPr>
              <w:noProof/>
            </w:rPr>
          </w:pPr>
          <w:hyperlink w:anchor="_Toc63432143" w:history="1">
            <w:r w:rsidR="00E1338F" w:rsidRPr="00A94342">
              <w:rPr>
                <w:rStyle w:val="Hyperlink"/>
                <w:noProof/>
              </w:rPr>
              <w:t>Informing the selection of a metric</w:t>
            </w:r>
            <w:r w:rsidR="00E1338F">
              <w:rPr>
                <w:noProof/>
                <w:webHidden/>
              </w:rPr>
              <w:tab/>
            </w:r>
            <w:r w:rsidR="00E1338F">
              <w:rPr>
                <w:noProof/>
                <w:webHidden/>
              </w:rPr>
              <w:fldChar w:fldCharType="begin"/>
            </w:r>
            <w:r w:rsidR="00E1338F">
              <w:rPr>
                <w:noProof/>
                <w:webHidden/>
              </w:rPr>
              <w:instrText xml:space="preserve"> PAGEREF _Toc63432143 \h </w:instrText>
            </w:r>
            <w:r w:rsidR="00E1338F">
              <w:rPr>
                <w:noProof/>
                <w:webHidden/>
              </w:rPr>
            </w:r>
            <w:r w:rsidR="00E1338F">
              <w:rPr>
                <w:noProof/>
                <w:webHidden/>
              </w:rPr>
              <w:fldChar w:fldCharType="separate"/>
            </w:r>
            <w:r w:rsidR="004D44F7">
              <w:rPr>
                <w:noProof/>
                <w:webHidden/>
              </w:rPr>
              <w:t>27</w:t>
            </w:r>
            <w:r w:rsidR="00E1338F">
              <w:rPr>
                <w:noProof/>
                <w:webHidden/>
              </w:rPr>
              <w:fldChar w:fldCharType="end"/>
            </w:r>
          </w:hyperlink>
        </w:p>
        <w:p w14:paraId="44036AD6" w14:textId="5FAA86EF" w:rsidR="00E1338F" w:rsidRDefault="00646531">
          <w:pPr>
            <w:pStyle w:val="TOC1"/>
            <w:tabs>
              <w:tab w:val="right" w:leader="dot" w:pos="9016"/>
            </w:tabs>
            <w:rPr>
              <w:noProof/>
            </w:rPr>
          </w:pPr>
          <w:hyperlink w:anchor="_Toc63432144" w:history="1">
            <w:r w:rsidR="00E1338F" w:rsidRPr="00A94342">
              <w:rPr>
                <w:rStyle w:val="Hyperlink"/>
                <w:noProof/>
              </w:rPr>
              <w:t>Annexes</w:t>
            </w:r>
            <w:r w:rsidR="00E1338F">
              <w:rPr>
                <w:noProof/>
                <w:webHidden/>
              </w:rPr>
              <w:tab/>
            </w:r>
            <w:r w:rsidR="00E1338F">
              <w:rPr>
                <w:noProof/>
                <w:webHidden/>
              </w:rPr>
              <w:fldChar w:fldCharType="begin"/>
            </w:r>
            <w:r w:rsidR="00E1338F">
              <w:rPr>
                <w:noProof/>
                <w:webHidden/>
              </w:rPr>
              <w:instrText xml:space="preserve"> PAGEREF _Toc63432144 \h </w:instrText>
            </w:r>
            <w:r w:rsidR="00E1338F">
              <w:rPr>
                <w:noProof/>
                <w:webHidden/>
              </w:rPr>
            </w:r>
            <w:r w:rsidR="00E1338F">
              <w:rPr>
                <w:noProof/>
                <w:webHidden/>
              </w:rPr>
              <w:fldChar w:fldCharType="separate"/>
            </w:r>
            <w:r w:rsidR="004D44F7">
              <w:rPr>
                <w:noProof/>
                <w:webHidden/>
              </w:rPr>
              <w:t>30</w:t>
            </w:r>
            <w:r w:rsidR="00E1338F">
              <w:rPr>
                <w:noProof/>
                <w:webHidden/>
              </w:rPr>
              <w:fldChar w:fldCharType="end"/>
            </w:r>
          </w:hyperlink>
        </w:p>
        <w:p w14:paraId="522679B8" w14:textId="5DE393D1" w:rsidR="00E1338F" w:rsidRDefault="00646531">
          <w:pPr>
            <w:pStyle w:val="TOC2"/>
            <w:tabs>
              <w:tab w:val="right" w:leader="dot" w:pos="9016"/>
            </w:tabs>
            <w:rPr>
              <w:noProof/>
            </w:rPr>
          </w:pPr>
          <w:hyperlink w:anchor="_Toc63432145" w:history="1">
            <w:r w:rsidR="00E1338F" w:rsidRPr="00A94342">
              <w:rPr>
                <w:rStyle w:val="Hyperlink"/>
                <w:noProof/>
              </w:rPr>
              <w:t>Annex A: Mapping of all indicators available to measure IASC criteria</w:t>
            </w:r>
            <w:r w:rsidR="00E1338F">
              <w:rPr>
                <w:noProof/>
                <w:webHidden/>
              </w:rPr>
              <w:tab/>
            </w:r>
            <w:r w:rsidR="00E1338F">
              <w:rPr>
                <w:noProof/>
                <w:webHidden/>
              </w:rPr>
              <w:fldChar w:fldCharType="begin"/>
            </w:r>
            <w:r w:rsidR="00E1338F">
              <w:rPr>
                <w:noProof/>
                <w:webHidden/>
              </w:rPr>
              <w:instrText xml:space="preserve"> PAGEREF _Toc63432145 \h </w:instrText>
            </w:r>
            <w:r w:rsidR="00E1338F">
              <w:rPr>
                <w:noProof/>
                <w:webHidden/>
              </w:rPr>
            </w:r>
            <w:r w:rsidR="00E1338F">
              <w:rPr>
                <w:noProof/>
                <w:webHidden/>
              </w:rPr>
              <w:fldChar w:fldCharType="separate"/>
            </w:r>
            <w:r w:rsidR="004D44F7">
              <w:rPr>
                <w:noProof/>
                <w:webHidden/>
              </w:rPr>
              <w:t>30</w:t>
            </w:r>
            <w:r w:rsidR="00E1338F">
              <w:rPr>
                <w:noProof/>
                <w:webHidden/>
              </w:rPr>
              <w:fldChar w:fldCharType="end"/>
            </w:r>
          </w:hyperlink>
        </w:p>
        <w:p w14:paraId="4AE3E77F" w14:textId="291869DA" w:rsidR="00385990" w:rsidRDefault="00065599" w:rsidP="00385990">
          <w:pPr>
            <w:rPr>
              <w:bCs/>
              <w:noProof/>
            </w:rPr>
          </w:pPr>
          <w:r>
            <w:rPr>
              <w:b/>
              <w:bCs/>
              <w:noProof/>
            </w:rPr>
            <w:fldChar w:fldCharType="end"/>
          </w:r>
        </w:p>
      </w:sdtContent>
    </w:sdt>
    <w:p w14:paraId="3C8ECF71" w14:textId="1EF12233" w:rsidR="00385990" w:rsidRPr="00385990" w:rsidRDefault="00385990" w:rsidP="00385990">
      <w:r>
        <w:rPr>
          <w:rFonts w:cstheme="majorHAnsi"/>
        </w:rPr>
        <w:br w:type="page"/>
      </w:r>
    </w:p>
    <w:p w14:paraId="5C7D468E" w14:textId="69A9BFC4" w:rsidR="003F5F56" w:rsidRDefault="00385990" w:rsidP="003F5F56">
      <w:pPr>
        <w:pStyle w:val="Heading1"/>
        <w:rPr>
          <w:rFonts w:eastAsiaTheme="minorEastAsia" w:cstheme="majorHAnsi"/>
        </w:rPr>
      </w:pPr>
      <w:bookmarkStart w:id="1" w:name="_Toc63432128"/>
      <w:r>
        <w:rPr>
          <w:rFonts w:eastAsiaTheme="minorEastAsia" w:cstheme="majorHAnsi"/>
        </w:rPr>
        <w:lastRenderedPageBreak/>
        <w:t>I</w:t>
      </w:r>
      <w:r w:rsidR="003F5F56">
        <w:rPr>
          <w:rFonts w:eastAsiaTheme="minorEastAsia" w:cstheme="majorHAnsi"/>
        </w:rPr>
        <w:t>ntroduction</w:t>
      </w:r>
      <w:bookmarkEnd w:id="1"/>
    </w:p>
    <w:p w14:paraId="4D088F33" w14:textId="6E64FC7E" w:rsidR="003F5F56" w:rsidRDefault="003F5F56" w:rsidP="003F5F56">
      <w:pPr>
        <w:spacing w:after="160"/>
        <w:jc w:val="both"/>
      </w:pPr>
      <w:r>
        <w:rPr>
          <w:rFonts w:asciiTheme="majorHAnsi" w:eastAsiaTheme="minorHAnsi" w:hAnsiTheme="majorHAnsi" w:cstheme="majorHAnsi"/>
        </w:rPr>
        <w:t>The</w:t>
      </w:r>
      <w:r w:rsidRPr="000F1273">
        <w:rPr>
          <w:rFonts w:asciiTheme="majorHAnsi" w:eastAsiaTheme="minorHAnsi" w:hAnsiTheme="majorHAnsi" w:cstheme="majorHAnsi"/>
          <w:i/>
          <w:iCs/>
        </w:rPr>
        <w:t xml:space="preserve"> International Recommendations on IDP Statistics</w:t>
      </w:r>
      <w:r w:rsidRPr="003C6052">
        <w:rPr>
          <w:rFonts w:asciiTheme="majorHAnsi" w:eastAsiaTheme="minorHAnsi" w:hAnsiTheme="majorHAnsi" w:cstheme="majorHAnsi"/>
        </w:rPr>
        <w:t xml:space="preserve"> (IRIS), </w:t>
      </w:r>
      <w:r>
        <w:rPr>
          <w:rFonts w:asciiTheme="majorHAnsi" w:eastAsiaTheme="minorHAnsi" w:hAnsiTheme="majorHAnsi" w:cstheme="majorHAnsi"/>
        </w:rPr>
        <w:t xml:space="preserve">developed by </w:t>
      </w:r>
      <w:r w:rsidRPr="003C6052">
        <w:rPr>
          <w:rFonts w:asciiTheme="majorHAnsi" w:eastAsiaTheme="minorHAnsi" w:hAnsiTheme="majorHAnsi" w:cstheme="majorHAnsi"/>
        </w:rPr>
        <w:t xml:space="preserve">the </w:t>
      </w:r>
      <w:r w:rsidRPr="000F1273">
        <w:rPr>
          <w:rFonts w:asciiTheme="majorHAnsi" w:eastAsiaTheme="minorHAnsi" w:hAnsiTheme="majorHAnsi" w:cstheme="majorHAnsi"/>
          <w:i/>
          <w:iCs/>
        </w:rPr>
        <w:t xml:space="preserve">Expert Group on Refugee and </w:t>
      </w:r>
      <w:r>
        <w:rPr>
          <w:rFonts w:asciiTheme="majorHAnsi" w:eastAsiaTheme="minorHAnsi" w:hAnsiTheme="majorHAnsi" w:cstheme="majorHAnsi"/>
          <w:i/>
          <w:iCs/>
        </w:rPr>
        <w:t>IDP</w:t>
      </w:r>
      <w:r w:rsidRPr="000F1273">
        <w:rPr>
          <w:rFonts w:asciiTheme="majorHAnsi" w:eastAsiaTheme="minorHAnsi" w:hAnsiTheme="majorHAnsi" w:cstheme="majorHAnsi"/>
          <w:i/>
          <w:iCs/>
        </w:rPr>
        <w:t xml:space="preserve"> Statistics</w:t>
      </w:r>
      <w:r w:rsidRPr="003C6052">
        <w:rPr>
          <w:rFonts w:asciiTheme="majorHAnsi" w:eastAsiaTheme="minorHAnsi" w:hAnsiTheme="majorHAnsi" w:cstheme="majorHAnsi"/>
        </w:rPr>
        <w:t xml:space="preserve"> (EGRIS)</w:t>
      </w:r>
      <w:r>
        <w:rPr>
          <w:rFonts w:asciiTheme="majorHAnsi" w:eastAsiaTheme="minorHAnsi" w:hAnsiTheme="majorHAnsi" w:cstheme="majorHAnsi"/>
        </w:rPr>
        <w:t>, provide a framework for capturing a country’s stock of IDPs for statistical purposes.</w:t>
      </w:r>
      <w:r w:rsidRPr="009470FE">
        <w:t xml:space="preserve"> </w:t>
      </w:r>
      <w:r>
        <w:t xml:space="preserve">In order to correctly calculate the stock, it is crucial to define when an individual enters the stock and when </w:t>
      </w:r>
      <w:r w:rsidR="00F2321A">
        <w:t>they exit</w:t>
      </w:r>
      <w:r>
        <w:t xml:space="preserve"> the stock. This note relates to the latter, and specifically to the way by which individuals exit the stock by overcoming key displacement-related vulnerabilities – sometimes referred to colloquially as the “solutions measure”. </w:t>
      </w:r>
    </w:p>
    <w:p w14:paraId="5C6A7AA8" w14:textId="77777777" w:rsidR="003F5F56" w:rsidRDefault="003F5F56" w:rsidP="003F5F56">
      <w:pPr>
        <w:spacing w:after="160"/>
        <w:jc w:val="both"/>
      </w:pPr>
      <w:r>
        <w:t>It is important to note that t</w:t>
      </w:r>
      <w:r w:rsidRPr="009470FE">
        <w:t xml:space="preserve">he purpose of </w:t>
      </w:r>
      <w:r>
        <w:t xml:space="preserve">a statistical definition for the “end of displacement” </w:t>
      </w:r>
      <w:r w:rsidRPr="009470FE">
        <w:t>i</w:t>
      </w:r>
      <w:r>
        <w:t>s</w:t>
      </w:r>
      <w:r w:rsidRPr="009470FE">
        <w:t xml:space="preserve"> </w:t>
      </w:r>
      <w:r>
        <w:t xml:space="preserve">explicitly </w:t>
      </w:r>
      <w:r w:rsidRPr="00786D95">
        <w:rPr>
          <w:u w:val="single"/>
        </w:rPr>
        <w:t>not</w:t>
      </w:r>
      <w:r w:rsidRPr="009470FE">
        <w:t xml:space="preserve"> to identify specific households or individuals that are no longer displaced </w:t>
      </w:r>
      <w:r>
        <w:t xml:space="preserve">(e.g. for programming or assistance purposes) </w:t>
      </w:r>
      <w:r w:rsidRPr="009470FE">
        <w:t xml:space="preserve">but </w:t>
      </w:r>
      <w:r>
        <w:t xml:space="preserve">only </w:t>
      </w:r>
      <w:r w:rsidRPr="009470FE">
        <w:t xml:space="preserve">to enable aggregate statistics on the amount of </w:t>
      </w:r>
      <w:r>
        <w:t xml:space="preserve">internal </w:t>
      </w:r>
      <w:r w:rsidRPr="009470FE">
        <w:t>displacement in each country</w:t>
      </w:r>
      <w:r>
        <w:t xml:space="preserve"> that can be compared globally. </w:t>
      </w:r>
    </w:p>
    <w:p w14:paraId="7BF064C8" w14:textId="77777777" w:rsidR="003F5F56" w:rsidRDefault="003F5F56" w:rsidP="003F5F56">
      <w:pPr>
        <w:spacing w:after="160"/>
        <w:jc w:val="both"/>
      </w:pPr>
      <w:r>
        <w:t xml:space="preserve">It is also important to note that, separate from the “solutions measure”, IRIS also proposes a distinct but related framework to assess progress towards the achievement of durable solutions – colloquially referred to as the “progress measure”. The progress measure aims to allow decision makers “to understand at a glance in which aspects of vulnerability IDPs are struggling compared to others […] and in which they are doing relatively well” (IRIS, page 55). While progress and solution can likely be measured with similar statistical indicators, their aims and application are very different: informing decisions on policy areas that need attention as well as more granular assistance-related decisions (through the IRIS progress measure) vs informing aggregate statistics on IDP stocks (IRIS solutions measure).  </w:t>
      </w:r>
    </w:p>
    <w:p w14:paraId="5057401F" w14:textId="7CE292FB" w:rsidR="003F5F56" w:rsidRDefault="003F5F56" w:rsidP="003F5F56">
      <w:pPr>
        <w:spacing w:after="160"/>
        <w:jc w:val="both"/>
        <w:rPr>
          <w:rFonts w:asciiTheme="majorHAnsi" w:eastAsiaTheme="minorHAnsi" w:hAnsiTheme="majorHAnsi" w:cstheme="majorHAnsi"/>
        </w:rPr>
      </w:pPr>
      <w:r>
        <w:t xml:space="preserve">This note focuses on the IRIS solutions measure and the question how this measure can be implemented in practice. </w:t>
      </w:r>
      <w:r w:rsidR="002F1DF9">
        <w:t xml:space="preserve">The </w:t>
      </w:r>
      <w:r>
        <w:rPr>
          <w:rFonts w:asciiTheme="majorHAnsi" w:eastAsiaTheme="minorHAnsi" w:hAnsiTheme="majorHAnsi" w:cstheme="majorHAnsi"/>
        </w:rPr>
        <w:t>IRIS has advanced the debate on a statistical measure on solutions considerably, including in the following ways:</w:t>
      </w:r>
    </w:p>
    <w:p w14:paraId="3E43BBA8" w14:textId="77777777" w:rsidR="003F5F56" w:rsidRDefault="003F5F56" w:rsidP="00B92AF5">
      <w:pPr>
        <w:pStyle w:val="ListParagraph"/>
        <w:numPr>
          <w:ilvl w:val="0"/>
          <w:numId w:val="1"/>
        </w:numPr>
        <w:rPr>
          <w:rFonts w:asciiTheme="majorHAnsi" w:hAnsiTheme="majorHAnsi" w:cstheme="majorHAnsi"/>
        </w:rPr>
      </w:pPr>
      <w:r>
        <w:rPr>
          <w:rFonts w:asciiTheme="majorHAnsi" w:hAnsiTheme="majorHAnsi" w:cstheme="majorHAnsi"/>
        </w:rPr>
        <w:t>Specification of 5 priority criteria and 10 priority sub-criteria that should form the basis of a statistical measure</w:t>
      </w:r>
      <w:r>
        <w:rPr>
          <w:rStyle w:val="FootnoteReference"/>
          <w:rFonts w:asciiTheme="majorHAnsi" w:hAnsiTheme="majorHAnsi" w:cstheme="majorHAnsi"/>
        </w:rPr>
        <w:footnoteReference w:id="2"/>
      </w:r>
    </w:p>
    <w:p w14:paraId="4782E011" w14:textId="77777777" w:rsidR="003F5F56" w:rsidRPr="00E62A4B" w:rsidRDefault="003F5F56" w:rsidP="00B92AF5">
      <w:pPr>
        <w:pStyle w:val="ListParagraph"/>
        <w:numPr>
          <w:ilvl w:val="0"/>
          <w:numId w:val="1"/>
        </w:numPr>
        <w:rPr>
          <w:rFonts w:asciiTheme="majorHAnsi" w:hAnsiTheme="majorHAnsi" w:cstheme="majorHAnsi"/>
        </w:rPr>
      </w:pPr>
      <w:r>
        <w:rPr>
          <w:rFonts w:asciiTheme="majorHAnsi" w:hAnsiTheme="majorHAnsi" w:cstheme="majorHAnsi"/>
        </w:rPr>
        <w:t>Recommendation of quality criteria to assess the suitability of indicators to measure each sub-criterion</w:t>
      </w:r>
    </w:p>
    <w:p w14:paraId="02DAC352" w14:textId="77777777" w:rsidR="003F5F56" w:rsidRDefault="003F5F56" w:rsidP="00B92AF5">
      <w:pPr>
        <w:pStyle w:val="ListParagraph"/>
        <w:numPr>
          <w:ilvl w:val="0"/>
          <w:numId w:val="1"/>
        </w:numPr>
        <w:rPr>
          <w:rFonts w:asciiTheme="majorHAnsi" w:hAnsiTheme="majorHAnsi" w:cstheme="majorBidi"/>
        </w:rPr>
      </w:pPr>
      <w:r w:rsidRPr="2D8076D7">
        <w:rPr>
          <w:rFonts w:asciiTheme="majorHAnsi" w:hAnsiTheme="majorHAnsi" w:cstheme="majorBidi"/>
        </w:rPr>
        <w:t>Move to a context-dependent assessment of durable solutions rather than an absolute approach whilst maintaining a level of comparison</w:t>
      </w:r>
    </w:p>
    <w:p w14:paraId="1D83DDC8" w14:textId="77777777" w:rsidR="003F5F56" w:rsidRPr="00A14E74" w:rsidRDefault="003F5F56" w:rsidP="00B92AF5">
      <w:pPr>
        <w:pStyle w:val="ListParagraph"/>
        <w:numPr>
          <w:ilvl w:val="0"/>
          <w:numId w:val="1"/>
        </w:numPr>
        <w:rPr>
          <w:rFonts w:asciiTheme="majorHAnsi" w:hAnsiTheme="majorHAnsi" w:cstheme="majorHAnsi"/>
        </w:rPr>
      </w:pPr>
      <w:r>
        <w:rPr>
          <w:rFonts w:asciiTheme="majorHAnsi" w:hAnsiTheme="majorHAnsi" w:cstheme="majorHAnsi"/>
        </w:rPr>
        <w:t>Narrowing of benchmark options (to national averages or host community averages)</w:t>
      </w:r>
    </w:p>
    <w:p w14:paraId="64061D9F" w14:textId="170C89CC" w:rsidR="00493752" w:rsidRDefault="003F5F56" w:rsidP="00493752">
      <w:pPr>
        <w:spacing w:after="160"/>
        <w:jc w:val="both"/>
        <w:rPr>
          <w:rFonts w:asciiTheme="majorHAnsi" w:hAnsiTheme="majorHAnsi" w:cstheme="majorHAnsi"/>
        </w:rPr>
      </w:pPr>
      <w:r w:rsidRPr="2D8076D7">
        <w:rPr>
          <w:rFonts w:asciiTheme="majorHAnsi" w:hAnsiTheme="majorHAnsi" w:cstheme="majorBidi"/>
        </w:rPr>
        <w:t>Nevertheless, as stated in the recommendations themselves</w:t>
      </w:r>
      <w:r w:rsidR="002E7C80">
        <w:rPr>
          <w:rFonts w:asciiTheme="majorHAnsi" w:hAnsiTheme="majorHAnsi" w:cstheme="majorBidi"/>
        </w:rPr>
        <w:t>,</w:t>
      </w:r>
      <w:r w:rsidRPr="2D8076D7">
        <w:rPr>
          <w:rFonts w:asciiTheme="majorHAnsi" w:hAnsiTheme="majorHAnsi" w:cstheme="majorBidi"/>
        </w:rPr>
        <w:t xml:space="preserve"> the above achievements do not result in a final and applicable statistical measure for solutions. </w:t>
      </w:r>
      <w:r w:rsidR="002E7C80">
        <w:rPr>
          <w:rFonts w:asciiTheme="majorHAnsi" w:hAnsiTheme="majorHAnsi" w:cstheme="majorBidi"/>
        </w:rPr>
        <w:t>The</w:t>
      </w:r>
      <w:r w:rsidR="00894520">
        <w:rPr>
          <w:rFonts w:asciiTheme="majorHAnsi" w:hAnsiTheme="majorHAnsi" w:cstheme="majorBidi"/>
        </w:rPr>
        <w:t xml:space="preserve"> </w:t>
      </w:r>
      <w:r w:rsidRPr="2D8076D7">
        <w:rPr>
          <w:rFonts w:asciiTheme="majorHAnsi" w:hAnsiTheme="majorHAnsi" w:cstheme="majorBidi"/>
        </w:rPr>
        <w:t xml:space="preserve">IRIS falls short of </w:t>
      </w:r>
      <w:r w:rsidR="00B34E2E">
        <w:rPr>
          <w:rFonts w:asciiTheme="majorHAnsi" w:hAnsiTheme="majorHAnsi" w:cstheme="majorBidi"/>
        </w:rPr>
        <w:t xml:space="preserve">1) </w:t>
      </w:r>
      <w:r w:rsidRPr="2D8076D7">
        <w:rPr>
          <w:rFonts w:asciiTheme="majorHAnsi" w:hAnsiTheme="majorHAnsi" w:cstheme="majorBidi"/>
        </w:rPr>
        <w:t xml:space="preserve">specifying </w:t>
      </w:r>
      <w:r w:rsidRPr="00232381">
        <w:rPr>
          <w:rFonts w:asciiTheme="majorHAnsi" w:hAnsiTheme="majorHAnsi" w:cstheme="majorHAnsi"/>
        </w:rPr>
        <w:t>the selection of statistical indicators for each of the priority criteria / sub-criteria</w:t>
      </w:r>
      <w:r w:rsidR="00B34E2E">
        <w:rPr>
          <w:rFonts w:asciiTheme="majorHAnsi" w:hAnsiTheme="majorHAnsi" w:cstheme="majorHAnsi"/>
        </w:rPr>
        <w:t xml:space="preserve"> and 2) identifying </w:t>
      </w:r>
      <w:r w:rsidRPr="00B34E2E">
        <w:rPr>
          <w:rFonts w:asciiTheme="majorHAnsi" w:hAnsiTheme="majorHAnsi" w:cstheme="majorHAnsi"/>
        </w:rPr>
        <w:t>a fully workable methodology of combining these indicators into an overall statistical measure</w:t>
      </w:r>
      <w:r w:rsidR="002E7C80">
        <w:rPr>
          <w:rFonts w:asciiTheme="majorHAnsi" w:hAnsiTheme="majorHAnsi" w:cstheme="majorHAnsi"/>
        </w:rPr>
        <w:t xml:space="preserve"> that can be compared to a national or host community </w:t>
      </w:r>
      <w:r w:rsidR="00ED3C29">
        <w:rPr>
          <w:rFonts w:asciiTheme="majorHAnsi" w:hAnsiTheme="majorHAnsi" w:cstheme="majorHAnsi"/>
        </w:rPr>
        <w:t>benchmark</w:t>
      </w:r>
      <w:r w:rsidR="00B34E2E">
        <w:rPr>
          <w:rFonts w:asciiTheme="majorHAnsi" w:hAnsiTheme="majorHAnsi" w:cstheme="majorHAnsi"/>
        </w:rPr>
        <w:t>. While other methodological issues</w:t>
      </w:r>
      <w:r w:rsidR="006476B4">
        <w:rPr>
          <w:rFonts w:asciiTheme="majorHAnsi" w:hAnsiTheme="majorHAnsi" w:cstheme="majorHAnsi"/>
        </w:rPr>
        <w:t xml:space="preserve"> may</w:t>
      </w:r>
      <w:r w:rsidR="00B34E2E">
        <w:rPr>
          <w:rFonts w:asciiTheme="majorHAnsi" w:hAnsiTheme="majorHAnsi" w:cstheme="majorHAnsi"/>
        </w:rPr>
        <w:t xml:space="preserve"> also need further attention (i.e. the final definition of a comparator group, </w:t>
      </w:r>
      <w:r w:rsidR="00493752">
        <w:rPr>
          <w:rFonts w:asciiTheme="majorHAnsi" w:eastAsiaTheme="minorHAnsi" w:hAnsiTheme="majorHAnsi" w:cstheme="majorHAnsi"/>
        </w:rPr>
        <w:t xml:space="preserve">addressing statistical uncertainty and missing data points), the aim of this </w:t>
      </w:r>
      <w:r w:rsidR="00493752">
        <w:rPr>
          <w:rFonts w:asciiTheme="majorHAnsi" w:hAnsiTheme="majorHAnsi" w:cstheme="majorHAnsi"/>
        </w:rPr>
        <w:t xml:space="preserve">technical </w:t>
      </w:r>
      <w:r w:rsidR="001B452E">
        <w:rPr>
          <w:rFonts w:asciiTheme="majorHAnsi" w:hAnsiTheme="majorHAnsi" w:cstheme="majorHAnsi"/>
        </w:rPr>
        <w:t xml:space="preserve">note is </w:t>
      </w:r>
      <w:r w:rsidR="00B94B95">
        <w:rPr>
          <w:rFonts w:asciiTheme="majorHAnsi" w:hAnsiTheme="majorHAnsi" w:cstheme="majorHAnsi"/>
        </w:rPr>
        <w:t xml:space="preserve">to inform </w:t>
      </w:r>
      <w:r w:rsidR="00493752">
        <w:rPr>
          <w:rFonts w:asciiTheme="majorHAnsi" w:hAnsiTheme="majorHAnsi" w:cstheme="majorHAnsi"/>
        </w:rPr>
        <w:t xml:space="preserve">solutions to </w:t>
      </w:r>
      <w:r w:rsidR="00B94B95">
        <w:rPr>
          <w:rFonts w:asciiTheme="majorHAnsi" w:hAnsiTheme="majorHAnsi" w:cstheme="majorHAnsi"/>
        </w:rPr>
        <w:t>the</w:t>
      </w:r>
      <w:r w:rsidR="00493752">
        <w:rPr>
          <w:rFonts w:asciiTheme="majorHAnsi" w:hAnsiTheme="majorHAnsi" w:cstheme="majorHAnsi"/>
        </w:rPr>
        <w:t xml:space="preserve">se two outstanding methodological challenges. </w:t>
      </w:r>
      <w:r w:rsidR="006B5057">
        <w:rPr>
          <w:rFonts w:asciiTheme="majorHAnsi" w:hAnsiTheme="majorHAnsi" w:cstheme="majorHAnsi"/>
        </w:rPr>
        <w:t xml:space="preserve"> </w:t>
      </w:r>
    </w:p>
    <w:p w14:paraId="23AB9CC9" w14:textId="3E54DA81" w:rsidR="003F5F56" w:rsidRPr="0091506C" w:rsidRDefault="001028C6" w:rsidP="00493752">
      <w:pPr>
        <w:spacing w:after="160"/>
        <w:jc w:val="both"/>
        <w:rPr>
          <w:rFonts w:asciiTheme="majorHAnsi" w:eastAsiaTheme="minorHAnsi" w:hAnsiTheme="majorHAnsi" w:cstheme="majorHAnsi"/>
        </w:rPr>
      </w:pPr>
      <w:r>
        <w:rPr>
          <w:rFonts w:asciiTheme="majorHAnsi" w:hAnsiTheme="majorHAnsi" w:cstheme="majorHAnsi"/>
        </w:rPr>
        <w:t>This</w:t>
      </w:r>
      <w:r w:rsidR="0098060F">
        <w:rPr>
          <w:rFonts w:asciiTheme="majorHAnsi" w:hAnsiTheme="majorHAnsi" w:cstheme="majorHAnsi"/>
        </w:rPr>
        <w:t xml:space="preserve"> methodo</w:t>
      </w:r>
      <w:r w:rsidR="005D4BFD">
        <w:rPr>
          <w:rFonts w:asciiTheme="majorHAnsi" w:hAnsiTheme="majorHAnsi" w:cstheme="majorHAnsi"/>
        </w:rPr>
        <w:t xml:space="preserve">logical </w:t>
      </w:r>
      <w:r w:rsidR="002D612F">
        <w:rPr>
          <w:rFonts w:asciiTheme="majorHAnsi" w:hAnsiTheme="majorHAnsi" w:cstheme="majorHAnsi"/>
        </w:rPr>
        <w:t>note</w:t>
      </w:r>
      <w:r w:rsidR="003F5F56">
        <w:rPr>
          <w:rFonts w:asciiTheme="majorHAnsi" w:eastAsiaTheme="minorHAnsi" w:hAnsiTheme="majorHAnsi" w:cstheme="majorHAnsi"/>
        </w:rPr>
        <w:t xml:space="preserve"> </w:t>
      </w:r>
      <w:r w:rsidR="00342390">
        <w:rPr>
          <w:rFonts w:asciiTheme="majorHAnsi" w:eastAsiaTheme="minorHAnsi" w:hAnsiTheme="majorHAnsi" w:cstheme="majorHAnsi"/>
        </w:rPr>
        <w:t xml:space="preserve">first outlines the solutions </w:t>
      </w:r>
      <w:r w:rsidR="009B045F">
        <w:rPr>
          <w:rFonts w:asciiTheme="majorHAnsi" w:eastAsiaTheme="minorHAnsi" w:hAnsiTheme="majorHAnsi" w:cstheme="majorHAnsi"/>
        </w:rPr>
        <w:t>measure</w:t>
      </w:r>
      <w:r w:rsidR="00342390">
        <w:rPr>
          <w:rFonts w:asciiTheme="majorHAnsi" w:eastAsiaTheme="minorHAnsi" w:hAnsiTheme="majorHAnsi" w:cstheme="majorHAnsi"/>
        </w:rPr>
        <w:t xml:space="preserve"> </w:t>
      </w:r>
      <w:r w:rsidR="002D61FD">
        <w:rPr>
          <w:rFonts w:asciiTheme="majorHAnsi" w:eastAsiaTheme="minorHAnsi" w:hAnsiTheme="majorHAnsi" w:cstheme="majorHAnsi"/>
        </w:rPr>
        <w:t xml:space="preserve">as </w:t>
      </w:r>
      <w:r w:rsidR="003F5F56">
        <w:rPr>
          <w:rFonts w:asciiTheme="majorHAnsi" w:eastAsiaTheme="minorHAnsi" w:hAnsiTheme="majorHAnsi" w:cstheme="majorHAnsi"/>
        </w:rPr>
        <w:t xml:space="preserve">suggested by the IRIS and </w:t>
      </w:r>
      <w:r w:rsidR="002D61FD">
        <w:rPr>
          <w:rFonts w:asciiTheme="majorHAnsi" w:eastAsiaTheme="minorHAnsi" w:hAnsiTheme="majorHAnsi" w:cstheme="majorHAnsi"/>
        </w:rPr>
        <w:t>demonstrates</w:t>
      </w:r>
      <w:r w:rsidR="00342390">
        <w:rPr>
          <w:rFonts w:asciiTheme="majorHAnsi" w:eastAsiaTheme="minorHAnsi" w:hAnsiTheme="majorHAnsi" w:cstheme="majorHAnsi"/>
        </w:rPr>
        <w:t xml:space="preserve"> </w:t>
      </w:r>
      <w:r w:rsidR="003F5F56">
        <w:rPr>
          <w:rFonts w:asciiTheme="majorHAnsi" w:eastAsiaTheme="minorHAnsi" w:hAnsiTheme="majorHAnsi" w:cstheme="majorHAnsi"/>
        </w:rPr>
        <w:t xml:space="preserve">the </w:t>
      </w:r>
      <w:r w:rsidR="00342390">
        <w:rPr>
          <w:rFonts w:asciiTheme="majorHAnsi" w:eastAsiaTheme="minorHAnsi" w:hAnsiTheme="majorHAnsi" w:cstheme="majorHAnsi"/>
        </w:rPr>
        <w:t xml:space="preserve">remaining </w:t>
      </w:r>
      <w:r w:rsidR="003F5F56">
        <w:rPr>
          <w:rFonts w:asciiTheme="majorHAnsi" w:eastAsiaTheme="minorHAnsi" w:hAnsiTheme="majorHAnsi" w:cstheme="majorHAnsi"/>
        </w:rPr>
        <w:t>methodological challenges</w:t>
      </w:r>
      <w:r w:rsidR="0025650F">
        <w:rPr>
          <w:rFonts w:asciiTheme="majorHAnsi" w:eastAsiaTheme="minorHAnsi" w:hAnsiTheme="majorHAnsi" w:cstheme="majorHAnsi"/>
        </w:rPr>
        <w:t xml:space="preserve">. The main body of the note then simulates how the selection of statistical indicators and the choice of a statistical framework to combine them affect the results of a solutions measure, i.e. the </w:t>
      </w:r>
      <w:r w:rsidR="000E2D0B">
        <w:rPr>
          <w:rFonts w:asciiTheme="majorHAnsi" w:eastAsiaTheme="minorHAnsi" w:hAnsiTheme="majorHAnsi" w:cstheme="majorHAnsi"/>
        </w:rPr>
        <w:t>magnitude</w:t>
      </w:r>
      <w:r w:rsidR="00026FE1">
        <w:rPr>
          <w:rFonts w:asciiTheme="majorHAnsi" w:eastAsiaTheme="minorHAnsi" w:hAnsiTheme="majorHAnsi" w:cstheme="majorHAnsi"/>
        </w:rPr>
        <w:t xml:space="preserve"> of exit from IDP </w:t>
      </w:r>
      <w:r w:rsidR="0025650F">
        <w:rPr>
          <w:rFonts w:asciiTheme="majorHAnsi" w:eastAsiaTheme="minorHAnsi" w:hAnsiTheme="majorHAnsi" w:cstheme="majorHAnsi"/>
        </w:rPr>
        <w:lastRenderedPageBreak/>
        <w:t>stock</w:t>
      </w:r>
      <w:r w:rsidR="00026FE1">
        <w:rPr>
          <w:rFonts w:asciiTheme="majorHAnsi" w:eastAsiaTheme="minorHAnsi" w:hAnsiTheme="majorHAnsi" w:cstheme="majorHAnsi"/>
        </w:rPr>
        <w:t>s</w:t>
      </w:r>
      <w:r w:rsidR="0025650F">
        <w:rPr>
          <w:rFonts w:asciiTheme="majorHAnsi" w:eastAsiaTheme="minorHAnsi" w:hAnsiTheme="majorHAnsi" w:cstheme="majorHAnsi"/>
        </w:rPr>
        <w:t>. To conduct these simulations, two empirical datasets from Nigeria and Hargeisa are used</w:t>
      </w:r>
      <w:r w:rsidR="000E789C">
        <w:rPr>
          <w:rFonts w:asciiTheme="majorHAnsi" w:eastAsiaTheme="minorHAnsi" w:hAnsiTheme="majorHAnsi" w:cstheme="majorHAnsi"/>
        </w:rPr>
        <w:t xml:space="preserve">. </w:t>
      </w:r>
      <w:r w:rsidR="003F5F56">
        <w:rPr>
          <w:rFonts w:asciiTheme="majorHAnsi" w:eastAsiaTheme="minorHAnsi" w:hAnsiTheme="majorHAnsi" w:cstheme="majorHAnsi"/>
        </w:rPr>
        <w:t>The note concludes with</w:t>
      </w:r>
      <w:r w:rsidR="00EC5E60">
        <w:rPr>
          <w:rFonts w:asciiTheme="majorHAnsi" w:eastAsiaTheme="minorHAnsi" w:hAnsiTheme="majorHAnsi" w:cstheme="majorHAnsi"/>
        </w:rPr>
        <w:t xml:space="preserve"> a summary of</w:t>
      </w:r>
      <w:r w:rsidR="003F5F56">
        <w:rPr>
          <w:rFonts w:asciiTheme="majorHAnsi" w:eastAsiaTheme="minorHAnsi" w:hAnsiTheme="majorHAnsi" w:cstheme="majorHAnsi"/>
        </w:rPr>
        <w:t xml:space="preserve"> </w:t>
      </w:r>
      <w:r w:rsidR="0025650F">
        <w:rPr>
          <w:rFonts w:asciiTheme="majorHAnsi" w:eastAsiaTheme="minorHAnsi" w:hAnsiTheme="majorHAnsi" w:cstheme="majorHAnsi"/>
        </w:rPr>
        <w:t xml:space="preserve">findings to improve the solutions metrics. </w:t>
      </w:r>
      <w:r w:rsidR="003F5F56">
        <w:rPr>
          <w:rFonts w:asciiTheme="majorHAnsi" w:eastAsiaTheme="minorHAnsi" w:hAnsiTheme="majorHAnsi" w:cstheme="majorHAnsi"/>
        </w:rPr>
        <w:t xml:space="preserve"> </w:t>
      </w:r>
    </w:p>
    <w:p w14:paraId="09AA9880" w14:textId="77777777" w:rsidR="003F5F56" w:rsidRDefault="003F5F56" w:rsidP="003F5F56">
      <w:pPr>
        <w:pStyle w:val="Heading1"/>
        <w:rPr>
          <w:rFonts w:eastAsiaTheme="minorEastAsia" w:cstheme="majorHAnsi"/>
        </w:rPr>
      </w:pPr>
      <w:bookmarkStart w:id="2" w:name="_Toc63432129"/>
      <w:r>
        <w:rPr>
          <w:rFonts w:eastAsiaTheme="minorEastAsia" w:cstheme="majorHAnsi"/>
        </w:rPr>
        <w:t>The IRIS “solutions measure”</w:t>
      </w:r>
      <w:bookmarkEnd w:id="2"/>
    </w:p>
    <w:p w14:paraId="70A912EE" w14:textId="2AC6CA25" w:rsidR="003F5F56" w:rsidRDefault="003F5F56" w:rsidP="003F5F56">
      <w:pPr>
        <w:spacing w:after="160"/>
        <w:jc w:val="both"/>
        <w:rPr>
          <w:rFonts w:asciiTheme="majorHAnsi" w:eastAsiaTheme="minorHAnsi" w:hAnsiTheme="majorHAnsi" w:cstheme="majorHAnsi"/>
        </w:rPr>
      </w:pPr>
      <w:r>
        <w:t xml:space="preserve">Based </w:t>
      </w:r>
      <w:r>
        <w:rPr>
          <w:rFonts w:asciiTheme="majorHAnsi" w:eastAsiaTheme="minorHAnsi" w:hAnsiTheme="majorHAnsi" w:cstheme="majorHAnsi"/>
        </w:rPr>
        <w:t xml:space="preserve">on the </w:t>
      </w:r>
      <w:r w:rsidRPr="00A76FCB">
        <w:rPr>
          <w:rFonts w:asciiTheme="majorHAnsi" w:eastAsiaTheme="minorHAnsi" w:hAnsiTheme="majorHAnsi" w:cstheme="majorHAnsi"/>
          <w:i/>
          <w:iCs/>
        </w:rPr>
        <w:t xml:space="preserve">Framework for Durable Solutions by the Inter-Agency Standing Committee </w:t>
      </w:r>
      <w:r>
        <w:rPr>
          <w:rFonts w:asciiTheme="majorHAnsi" w:eastAsiaTheme="minorHAnsi" w:hAnsiTheme="majorHAnsi" w:cstheme="majorHAnsi"/>
        </w:rPr>
        <w:t>(IASC), the IRIS specifies a</w:t>
      </w:r>
      <w:r w:rsidRPr="003C6052">
        <w:rPr>
          <w:rFonts w:asciiTheme="majorHAnsi" w:eastAsiaTheme="minorHAnsi" w:hAnsiTheme="majorHAnsi" w:cstheme="majorHAnsi"/>
        </w:rPr>
        <w:t xml:space="preserve"> set of 5 priority criteria and 10 sub-criteria that need to be measured </w:t>
      </w:r>
      <w:r>
        <w:rPr>
          <w:rFonts w:asciiTheme="majorHAnsi" w:eastAsiaTheme="minorHAnsi" w:hAnsiTheme="majorHAnsi" w:cstheme="majorHAnsi"/>
        </w:rPr>
        <w:t xml:space="preserve">in every displacement context </w:t>
      </w:r>
      <w:r w:rsidRPr="003C6052">
        <w:rPr>
          <w:rFonts w:asciiTheme="majorHAnsi" w:eastAsiaTheme="minorHAnsi" w:hAnsiTheme="majorHAnsi" w:cstheme="majorHAnsi"/>
        </w:rPr>
        <w:t xml:space="preserve">to take IDPs out of the national stock as having </w:t>
      </w:r>
      <w:r w:rsidR="009B045F">
        <w:rPr>
          <w:rFonts w:asciiTheme="majorHAnsi" w:eastAsiaTheme="minorHAnsi" w:hAnsiTheme="majorHAnsi" w:cstheme="majorHAnsi"/>
        </w:rPr>
        <w:t>overcome their displacement-related vulnerabilities</w:t>
      </w:r>
      <w:r w:rsidRPr="003C6052">
        <w:rPr>
          <w:rFonts w:asciiTheme="majorHAnsi" w:eastAsiaTheme="minorHAnsi" w:hAnsiTheme="majorHAnsi" w:cstheme="majorHAnsi"/>
        </w:rPr>
        <w:t xml:space="preserve"> (see Table 1). </w:t>
      </w:r>
      <w:r>
        <w:rPr>
          <w:rFonts w:asciiTheme="majorHAnsi" w:eastAsiaTheme="minorHAnsi" w:hAnsiTheme="majorHAnsi" w:cstheme="majorHAnsi"/>
        </w:rPr>
        <w:t>The indicators for each of the 10 sub-criteria should be collected at the household or individual level</w:t>
      </w:r>
      <w:r w:rsidR="009B045F">
        <w:rPr>
          <w:rFonts w:asciiTheme="majorHAnsi" w:eastAsiaTheme="minorHAnsi" w:hAnsiTheme="majorHAnsi" w:cstheme="majorHAnsi"/>
        </w:rPr>
        <w:t>.</w:t>
      </w:r>
    </w:p>
    <w:p w14:paraId="0675F5CA" w14:textId="45F8B9DE" w:rsidR="00E4608D" w:rsidRDefault="003F5F56" w:rsidP="003F5F56">
      <w:pPr>
        <w:spacing w:after="160"/>
        <w:jc w:val="both"/>
        <w:rPr>
          <w:rFonts w:asciiTheme="majorHAnsi" w:eastAsiaTheme="minorHAnsi" w:hAnsiTheme="majorHAnsi" w:cstheme="majorHAnsi"/>
        </w:rPr>
      </w:pPr>
      <w:r>
        <w:rPr>
          <w:rFonts w:asciiTheme="majorHAnsi" w:eastAsiaTheme="minorHAnsi" w:hAnsiTheme="majorHAnsi" w:cstheme="majorHAnsi"/>
        </w:rPr>
        <w:t>To then assess how many displaced individuals in a specific context have progressed towards a durable solution</w:t>
      </w:r>
      <w:r w:rsidRPr="003C6052">
        <w:rPr>
          <w:rFonts w:asciiTheme="majorHAnsi" w:eastAsiaTheme="minorHAnsi" w:hAnsiTheme="majorHAnsi" w:cstheme="majorHAnsi"/>
        </w:rPr>
        <w:t xml:space="preserve">, the situation of IDPs must be compared with that of the comparator population </w:t>
      </w:r>
      <w:r>
        <w:rPr>
          <w:rFonts w:asciiTheme="majorHAnsi" w:eastAsiaTheme="minorHAnsi" w:hAnsiTheme="majorHAnsi" w:cstheme="majorHAnsi"/>
        </w:rPr>
        <w:t>(</w:t>
      </w:r>
      <w:r w:rsidRPr="003C6052">
        <w:rPr>
          <w:rFonts w:asciiTheme="majorHAnsi" w:eastAsiaTheme="minorHAnsi" w:hAnsiTheme="majorHAnsi" w:cstheme="majorHAnsi"/>
        </w:rPr>
        <w:t xml:space="preserve">national </w:t>
      </w:r>
      <w:r>
        <w:rPr>
          <w:rFonts w:asciiTheme="majorHAnsi" w:eastAsiaTheme="minorHAnsi" w:hAnsiTheme="majorHAnsi" w:cstheme="majorHAnsi"/>
        </w:rPr>
        <w:t xml:space="preserve">average </w:t>
      </w:r>
      <w:r w:rsidRPr="003C6052">
        <w:rPr>
          <w:rFonts w:asciiTheme="majorHAnsi" w:eastAsiaTheme="minorHAnsi" w:hAnsiTheme="majorHAnsi" w:cstheme="majorHAnsi"/>
        </w:rPr>
        <w:t xml:space="preserve">or </w:t>
      </w:r>
      <w:r>
        <w:rPr>
          <w:rFonts w:asciiTheme="majorHAnsi" w:eastAsiaTheme="minorHAnsi" w:hAnsiTheme="majorHAnsi" w:cstheme="majorHAnsi"/>
        </w:rPr>
        <w:t>“host community” average)</w:t>
      </w:r>
      <w:r w:rsidRPr="003C6052">
        <w:rPr>
          <w:rFonts w:asciiTheme="majorHAnsi" w:eastAsiaTheme="minorHAnsi" w:hAnsiTheme="majorHAnsi" w:cstheme="majorHAnsi"/>
        </w:rPr>
        <w:t>.</w:t>
      </w:r>
      <w:r>
        <w:rPr>
          <w:rFonts w:asciiTheme="majorHAnsi" w:eastAsiaTheme="minorHAnsi" w:hAnsiTheme="majorHAnsi" w:cstheme="majorHAnsi"/>
        </w:rPr>
        <w:t xml:space="preserve"> The logic is that IDPs that perform similar or better than the comparator population are no longer considered displaced for the purpose of statistics.</w:t>
      </w:r>
      <w:r>
        <w:rPr>
          <w:rStyle w:val="FootnoteReference"/>
          <w:rFonts w:asciiTheme="majorHAnsi" w:eastAsiaTheme="minorHAnsi" w:hAnsiTheme="majorHAnsi" w:cstheme="majorHAnsi"/>
        </w:rPr>
        <w:footnoteReference w:id="3"/>
      </w:r>
      <w:r>
        <w:rPr>
          <w:rFonts w:asciiTheme="majorHAnsi" w:eastAsiaTheme="minorHAnsi" w:hAnsiTheme="majorHAnsi" w:cstheme="majorHAnsi"/>
        </w:rPr>
        <w:t xml:space="preserve"> </w:t>
      </w:r>
    </w:p>
    <w:p w14:paraId="6872A270" w14:textId="7261662B" w:rsidR="003F5F56" w:rsidRPr="00457FA6" w:rsidRDefault="003F5F56" w:rsidP="00457FA6">
      <w:pPr>
        <w:pStyle w:val="TabFigSW"/>
      </w:pPr>
      <w:r w:rsidRPr="00457FA6">
        <w:t xml:space="preserve">Table </w:t>
      </w:r>
      <w:r w:rsidRPr="00457FA6">
        <w:fldChar w:fldCharType="begin"/>
      </w:r>
      <w:r w:rsidRPr="00457FA6">
        <w:instrText>SEQ Table \* ARABIC</w:instrText>
      </w:r>
      <w:r w:rsidRPr="00457FA6">
        <w:fldChar w:fldCharType="separate"/>
      </w:r>
      <w:r w:rsidR="00A44A6F" w:rsidRPr="00457FA6">
        <w:rPr>
          <w:noProof/>
        </w:rPr>
        <w:t>1</w:t>
      </w:r>
      <w:r w:rsidRPr="00457FA6">
        <w:fldChar w:fldCharType="end"/>
      </w:r>
      <w:r w:rsidRPr="00457FA6">
        <w:t>: IASC durable solution criteria and identified sub-criteria</w:t>
      </w:r>
    </w:p>
    <w:tbl>
      <w:tblPr>
        <w:tblStyle w:val="PlainTable2"/>
        <w:tblW w:w="9321" w:type="dxa"/>
        <w:tblLayout w:type="fixed"/>
        <w:tblLook w:val="0400" w:firstRow="0" w:lastRow="0" w:firstColumn="0" w:lastColumn="0" w:noHBand="0" w:noVBand="1"/>
      </w:tblPr>
      <w:tblGrid>
        <w:gridCol w:w="4470"/>
        <w:gridCol w:w="4851"/>
      </w:tblGrid>
      <w:tr w:rsidR="003F5F56" w:rsidRPr="003C6052" w14:paraId="655C083E"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tcPr>
          <w:p w14:paraId="10CE9A6D" w14:textId="77777777" w:rsidR="003F5F56" w:rsidRPr="00600423" w:rsidRDefault="003F5F56" w:rsidP="009B045F">
            <w:pPr>
              <w:spacing w:after="0"/>
              <w:rPr>
                <w:rFonts w:asciiTheme="majorHAnsi" w:hAnsiTheme="majorHAnsi" w:cstheme="majorHAnsi"/>
                <w:b/>
                <w:color w:val="002F59" w:themeColor="text2"/>
                <w:sz w:val="18"/>
                <w:szCs w:val="18"/>
              </w:rPr>
            </w:pPr>
            <w:r w:rsidRPr="00600423">
              <w:rPr>
                <w:rFonts w:asciiTheme="majorHAnsi" w:hAnsiTheme="majorHAnsi" w:cstheme="majorHAnsi"/>
                <w:b/>
                <w:color w:val="002F59" w:themeColor="text2"/>
                <w:sz w:val="18"/>
                <w:szCs w:val="18"/>
              </w:rPr>
              <w:t>Criteria</w:t>
            </w:r>
          </w:p>
        </w:tc>
        <w:tc>
          <w:tcPr>
            <w:tcW w:w="4851" w:type="dxa"/>
          </w:tcPr>
          <w:p w14:paraId="6107051D" w14:textId="77777777" w:rsidR="003F5F56" w:rsidRPr="00600423" w:rsidRDefault="003F5F56" w:rsidP="009B045F">
            <w:pPr>
              <w:spacing w:after="0"/>
              <w:rPr>
                <w:rFonts w:asciiTheme="majorHAnsi" w:hAnsiTheme="majorHAnsi" w:cstheme="majorHAnsi"/>
                <w:b/>
                <w:color w:val="002F59" w:themeColor="text2"/>
                <w:sz w:val="18"/>
                <w:szCs w:val="18"/>
              </w:rPr>
            </w:pPr>
            <w:r w:rsidRPr="00600423">
              <w:rPr>
                <w:rFonts w:asciiTheme="majorHAnsi" w:hAnsiTheme="majorHAnsi" w:cstheme="majorHAnsi"/>
                <w:b/>
                <w:color w:val="002F59" w:themeColor="text2"/>
                <w:sz w:val="18"/>
                <w:szCs w:val="18"/>
              </w:rPr>
              <w:t xml:space="preserve">Sub-criteria </w:t>
            </w:r>
          </w:p>
        </w:tc>
      </w:tr>
      <w:tr w:rsidR="003F5F56" w:rsidRPr="003C6052" w14:paraId="521CA9A7" w14:textId="77777777" w:rsidTr="009B045F">
        <w:trPr>
          <w:trHeight w:val="57"/>
        </w:trPr>
        <w:tc>
          <w:tcPr>
            <w:tcW w:w="4470" w:type="dxa"/>
            <w:vMerge w:val="restart"/>
          </w:tcPr>
          <w:p w14:paraId="16B52325"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1. Safety and security</w:t>
            </w:r>
          </w:p>
        </w:tc>
        <w:tc>
          <w:tcPr>
            <w:tcW w:w="4851" w:type="dxa"/>
          </w:tcPr>
          <w:p w14:paraId="3E11F624"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1.1 Victims of violence</w:t>
            </w:r>
          </w:p>
        </w:tc>
      </w:tr>
      <w:tr w:rsidR="003F5F56" w:rsidRPr="003C6052" w14:paraId="55B226A9"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vMerge/>
          </w:tcPr>
          <w:p w14:paraId="30A55F0F"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533C91CC"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1.2 Freedom of movement</w:t>
            </w:r>
          </w:p>
        </w:tc>
      </w:tr>
      <w:tr w:rsidR="003F5F56" w:rsidRPr="003C6052" w14:paraId="75FBE573" w14:textId="77777777" w:rsidTr="009B045F">
        <w:trPr>
          <w:trHeight w:val="57"/>
        </w:trPr>
        <w:tc>
          <w:tcPr>
            <w:tcW w:w="4470" w:type="dxa"/>
            <w:vMerge w:val="restart"/>
          </w:tcPr>
          <w:p w14:paraId="2E81FC49"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2. Adequate standard of living</w:t>
            </w:r>
          </w:p>
        </w:tc>
        <w:tc>
          <w:tcPr>
            <w:tcW w:w="4851" w:type="dxa"/>
          </w:tcPr>
          <w:p w14:paraId="4BB83CA8"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2.1 Food security</w:t>
            </w:r>
          </w:p>
        </w:tc>
      </w:tr>
      <w:tr w:rsidR="003F5F56" w:rsidRPr="003C6052" w14:paraId="549703FB"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vMerge/>
          </w:tcPr>
          <w:p w14:paraId="5B9E669C"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66D355FF"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2.2 Shelter and housing</w:t>
            </w:r>
          </w:p>
        </w:tc>
      </w:tr>
      <w:tr w:rsidR="003F5F56" w:rsidRPr="003C6052" w14:paraId="57F6A511" w14:textId="77777777" w:rsidTr="009B045F">
        <w:trPr>
          <w:trHeight w:val="57"/>
        </w:trPr>
        <w:tc>
          <w:tcPr>
            <w:tcW w:w="4470" w:type="dxa"/>
            <w:vMerge/>
          </w:tcPr>
          <w:p w14:paraId="4080A70D"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229562A9"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2.3 Medical services</w:t>
            </w:r>
          </w:p>
        </w:tc>
      </w:tr>
      <w:tr w:rsidR="003F5F56" w:rsidRPr="003C6052" w14:paraId="002B2351"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vMerge/>
          </w:tcPr>
          <w:p w14:paraId="2C275571"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7C05A8D6"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2.4 Education</w:t>
            </w:r>
          </w:p>
        </w:tc>
      </w:tr>
      <w:tr w:rsidR="003F5F56" w:rsidRPr="003C6052" w14:paraId="5A03050A" w14:textId="77777777" w:rsidTr="009B045F">
        <w:trPr>
          <w:trHeight w:val="57"/>
        </w:trPr>
        <w:tc>
          <w:tcPr>
            <w:tcW w:w="4470" w:type="dxa"/>
            <w:vMerge w:val="restart"/>
          </w:tcPr>
          <w:p w14:paraId="11F67A6C"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3. Access to livelihoods</w:t>
            </w:r>
          </w:p>
        </w:tc>
        <w:tc>
          <w:tcPr>
            <w:tcW w:w="4851" w:type="dxa"/>
          </w:tcPr>
          <w:p w14:paraId="37C34A38"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3.1 Employment and livelihoods</w:t>
            </w:r>
          </w:p>
        </w:tc>
      </w:tr>
      <w:tr w:rsidR="003F5F56" w:rsidRPr="003C6052" w14:paraId="14F3B18B"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vMerge/>
          </w:tcPr>
          <w:p w14:paraId="40E5339D" w14:textId="77777777" w:rsidR="003F5F56" w:rsidRPr="00600423" w:rsidRDefault="003F5F56" w:rsidP="009B045F">
            <w:pPr>
              <w:pBdr>
                <w:top w:val="nil"/>
                <w:left w:val="nil"/>
                <w:bottom w:val="nil"/>
                <w:right w:val="nil"/>
                <w:between w:val="nil"/>
              </w:pBdr>
              <w:spacing w:after="0"/>
              <w:rPr>
                <w:rFonts w:asciiTheme="majorHAnsi" w:eastAsia="Avenir" w:hAnsiTheme="majorHAnsi" w:cstheme="majorHAnsi"/>
                <w:color w:val="002F59" w:themeColor="text2"/>
                <w:sz w:val="18"/>
                <w:szCs w:val="18"/>
              </w:rPr>
            </w:pPr>
          </w:p>
        </w:tc>
        <w:tc>
          <w:tcPr>
            <w:tcW w:w="4851" w:type="dxa"/>
          </w:tcPr>
          <w:p w14:paraId="33F9E5DA"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3.2 Economic security</w:t>
            </w:r>
          </w:p>
        </w:tc>
      </w:tr>
      <w:tr w:rsidR="003F5F56" w:rsidRPr="003C6052" w14:paraId="54AF059C" w14:textId="77777777" w:rsidTr="009B045F">
        <w:trPr>
          <w:trHeight w:val="57"/>
        </w:trPr>
        <w:tc>
          <w:tcPr>
            <w:tcW w:w="4470" w:type="dxa"/>
          </w:tcPr>
          <w:p w14:paraId="63EED0B3"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4. Restoration of housing, land and property</w:t>
            </w:r>
          </w:p>
        </w:tc>
        <w:tc>
          <w:tcPr>
            <w:tcW w:w="4851" w:type="dxa"/>
          </w:tcPr>
          <w:p w14:paraId="5BC94D80"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4.1 Property restitution and compensation</w:t>
            </w:r>
          </w:p>
        </w:tc>
      </w:tr>
      <w:tr w:rsidR="003F5F56" w:rsidRPr="003C6052" w14:paraId="215715DC"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tcW w:w="4470" w:type="dxa"/>
          </w:tcPr>
          <w:p w14:paraId="597710E8" w14:textId="77777777" w:rsidR="003F5F56" w:rsidRPr="00600423" w:rsidRDefault="003F5F56" w:rsidP="009B045F">
            <w:pPr>
              <w:spacing w:after="0"/>
              <w:rPr>
                <w:rFonts w:asciiTheme="majorHAnsi" w:eastAsia="Avenir" w:hAnsiTheme="majorHAnsi" w:cstheme="majorHAnsi"/>
                <w:color w:val="002F59" w:themeColor="text2"/>
                <w:sz w:val="18"/>
                <w:szCs w:val="18"/>
              </w:rPr>
            </w:pPr>
            <w:r w:rsidRPr="00600423">
              <w:rPr>
                <w:rFonts w:asciiTheme="majorHAnsi" w:eastAsia="Avenir" w:hAnsiTheme="majorHAnsi" w:cstheme="majorHAnsi"/>
                <w:color w:val="002F59" w:themeColor="text2"/>
                <w:sz w:val="18"/>
                <w:szCs w:val="18"/>
              </w:rPr>
              <w:t>5. Access to documentation</w:t>
            </w:r>
          </w:p>
        </w:tc>
        <w:tc>
          <w:tcPr>
            <w:tcW w:w="4851" w:type="dxa"/>
          </w:tcPr>
          <w:p w14:paraId="47D068F3" w14:textId="77777777" w:rsidR="003F5F56" w:rsidRPr="00600423" w:rsidRDefault="003F5F56" w:rsidP="009B045F">
            <w:pPr>
              <w:spacing w:after="0"/>
              <w:rPr>
                <w:rFonts w:asciiTheme="majorHAnsi" w:eastAsia="Avenir" w:hAnsiTheme="majorHAnsi" w:cstheme="majorHAnsi"/>
                <w:sz w:val="18"/>
                <w:szCs w:val="18"/>
              </w:rPr>
            </w:pPr>
            <w:r w:rsidRPr="00600423">
              <w:rPr>
                <w:rFonts w:asciiTheme="majorHAnsi" w:eastAsia="Avenir" w:hAnsiTheme="majorHAnsi" w:cstheme="majorHAnsi"/>
                <w:sz w:val="18"/>
                <w:szCs w:val="18"/>
              </w:rPr>
              <w:t>5.1 Documentation</w:t>
            </w:r>
          </w:p>
        </w:tc>
      </w:tr>
    </w:tbl>
    <w:p w14:paraId="75638BE9" w14:textId="77777777" w:rsidR="00CB0C9D" w:rsidRDefault="00CB0C9D" w:rsidP="003F5F56">
      <w:pPr>
        <w:spacing w:after="160"/>
        <w:jc w:val="both"/>
        <w:rPr>
          <w:rFonts w:asciiTheme="majorHAnsi" w:eastAsiaTheme="minorHAnsi" w:hAnsiTheme="majorHAnsi" w:cstheme="majorHAnsi"/>
        </w:rPr>
      </w:pPr>
    </w:p>
    <w:p w14:paraId="6742FC36" w14:textId="584F4DAB" w:rsidR="003F5F56" w:rsidRDefault="00183987" w:rsidP="003F5F56">
      <w:pPr>
        <w:spacing w:after="160"/>
        <w:jc w:val="both"/>
        <w:rPr>
          <w:rFonts w:asciiTheme="majorHAnsi" w:eastAsiaTheme="minorHAnsi" w:hAnsiTheme="majorHAnsi" w:cstheme="majorHAnsi"/>
        </w:rPr>
      </w:pPr>
      <w:r>
        <w:rPr>
          <w:rFonts w:asciiTheme="majorHAnsi" w:eastAsiaTheme="minorHAnsi" w:hAnsiTheme="majorHAnsi" w:cstheme="majorHAnsi"/>
        </w:rPr>
        <w:t>R</w:t>
      </w:r>
      <w:r w:rsidR="003F5F56">
        <w:rPr>
          <w:rFonts w:asciiTheme="majorHAnsi" w:eastAsiaTheme="minorHAnsi" w:hAnsiTheme="majorHAnsi" w:cstheme="majorHAnsi"/>
        </w:rPr>
        <w:t xml:space="preserve">egarding the methodology that is used to decide whether a household has ended its displacement, IRIS writes: </w:t>
      </w:r>
    </w:p>
    <w:p w14:paraId="0FF16141" w14:textId="45DE8399" w:rsidR="007752A7" w:rsidRPr="00987049" w:rsidRDefault="003F5F56" w:rsidP="00925115">
      <w:pPr>
        <w:ind w:left="720"/>
        <w:jc w:val="both"/>
        <w:rPr>
          <w:i/>
          <w:iCs/>
          <w:sz w:val="18"/>
          <w:szCs w:val="18"/>
        </w:rPr>
      </w:pPr>
      <w:r w:rsidRPr="00987049">
        <w:rPr>
          <w:i/>
          <w:iCs/>
          <w:sz w:val="18"/>
          <w:szCs w:val="18"/>
        </w:rPr>
        <w:t>“The methodology used for calculating the composite measure is a simple pass/no pass (or binary) scenario at sub-criteria level that is then accumulated to produce a score at criteria level, and ultimately an overall score for the measure.</w:t>
      </w:r>
      <w:r w:rsidRPr="00987049">
        <w:rPr>
          <w:sz w:val="18"/>
          <w:szCs w:val="18"/>
        </w:rPr>
        <w:t xml:space="preserve"> </w:t>
      </w:r>
      <w:r w:rsidRPr="00987049">
        <w:rPr>
          <w:i/>
          <w:iCs/>
          <w:sz w:val="18"/>
          <w:szCs w:val="18"/>
        </w:rPr>
        <w:t xml:space="preserve">[…] </w:t>
      </w:r>
      <w:r w:rsidRPr="00987049">
        <w:rPr>
          <w:b/>
          <w:bCs/>
          <w:i/>
          <w:iCs/>
          <w:sz w:val="18"/>
          <w:szCs w:val="18"/>
        </w:rPr>
        <w:t>To determine if a sub-criterion has been overcome or not, for each household, a target needs to be set</w:t>
      </w:r>
      <w:r w:rsidRPr="00987049">
        <w:rPr>
          <w:i/>
          <w:iCs/>
          <w:sz w:val="18"/>
          <w:szCs w:val="18"/>
        </w:rPr>
        <w:t xml:space="preserve"> […] It is foreseen that target setting will be more complex with categorical or binary indicators […] If all sub-criteria receive a ´pass´ mark, then that criterion […] has been overcome. For criteria with multiple sub-criteria, </w:t>
      </w:r>
      <w:r w:rsidRPr="00987049">
        <w:rPr>
          <w:b/>
          <w:bCs/>
          <w:i/>
          <w:iCs/>
          <w:sz w:val="18"/>
          <w:szCs w:val="18"/>
        </w:rPr>
        <w:t xml:space="preserve">all sub-criteria would need to receive a ‘pass’ mark for the criteria to be overcome. </w:t>
      </w:r>
      <w:r w:rsidRPr="00987049">
        <w:rPr>
          <w:i/>
          <w:iCs/>
          <w:sz w:val="18"/>
          <w:szCs w:val="18"/>
        </w:rPr>
        <w:t xml:space="preserve">All of the five key-displacement related vulnerabilities (the five criteria) need to achieve a ‘pass’ mark for the composite measure to be fulfilled.[…] It is recommended to use the general/national population as the comparison group when deciding on the targets or thresholds for scoring each sub-criteria […] In specific circumstances, thresholds can be set through a comparison with the average situation of a subset of the general population.” (IRIS, page 58-61)” </w:t>
      </w:r>
    </w:p>
    <w:p w14:paraId="4599696B" w14:textId="724FD1BA" w:rsidR="00457FA6" w:rsidRDefault="003F5F56" w:rsidP="003F5F56">
      <w:pPr>
        <w:jc w:val="both"/>
      </w:pPr>
      <w:r>
        <w:t xml:space="preserve">Table 2 provides an example to understand the framework. Household A passes the criteria </w:t>
      </w:r>
      <w:r w:rsidR="00D23B70" w:rsidRPr="00D23B70">
        <w:rPr>
          <w:i/>
          <w:iCs/>
        </w:rPr>
        <w:t>1.</w:t>
      </w:r>
      <w:r w:rsidRPr="00D23B70">
        <w:rPr>
          <w:i/>
          <w:iCs/>
        </w:rPr>
        <w:t xml:space="preserve"> </w:t>
      </w:r>
      <w:r w:rsidR="00D23B70" w:rsidRPr="00D23B70">
        <w:rPr>
          <w:i/>
          <w:iCs/>
        </w:rPr>
        <w:t>S</w:t>
      </w:r>
      <w:r w:rsidRPr="00D23B70">
        <w:rPr>
          <w:i/>
          <w:iCs/>
        </w:rPr>
        <w:t>afety &amp; security,</w:t>
      </w:r>
      <w:r>
        <w:t xml:space="preserve"> </w:t>
      </w:r>
      <w:r w:rsidR="00D23B70" w:rsidRPr="00D23B70">
        <w:rPr>
          <w:i/>
          <w:iCs/>
        </w:rPr>
        <w:t>4. R</w:t>
      </w:r>
      <w:r w:rsidRPr="00D23B70">
        <w:rPr>
          <w:i/>
          <w:iCs/>
        </w:rPr>
        <w:t>estoration of HLP rights,</w:t>
      </w:r>
      <w:r>
        <w:t xml:space="preserve"> and </w:t>
      </w:r>
      <w:r w:rsidR="00D23B70" w:rsidRPr="00D23B70">
        <w:rPr>
          <w:i/>
          <w:iCs/>
        </w:rPr>
        <w:t>5. D</w:t>
      </w:r>
      <w:r w:rsidRPr="00D23B70">
        <w:rPr>
          <w:i/>
          <w:iCs/>
        </w:rPr>
        <w:t>ocumentation</w:t>
      </w:r>
      <w:r>
        <w:t>. However, because it has not passed the two sub-criteria in</w:t>
      </w:r>
      <w:r w:rsidR="00D23B70">
        <w:t xml:space="preserve"> </w:t>
      </w:r>
      <w:r w:rsidR="00D23B70" w:rsidRPr="00D23B70">
        <w:rPr>
          <w:i/>
          <w:iCs/>
        </w:rPr>
        <w:t>3. A</w:t>
      </w:r>
      <w:r w:rsidRPr="00D23B70">
        <w:rPr>
          <w:i/>
          <w:iCs/>
        </w:rPr>
        <w:t>ccess to livelihood</w:t>
      </w:r>
      <w:r>
        <w:t xml:space="preserve">, it does not pass this criterion. The household also does not pass the criterion </w:t>
      </w:r>
      <w:r w:rsidR="00D23B70" w:rsidRPr="00D23B70">
        <w:rPr>
          <w:i/>
          <w:iCs/>
        </w:rPr>
        <w:t>2. A</w:t>
      </w:r>
      <w:r w:rsidRPr="00D23B70">
        <w:rPr>
          <w:i/>
          <w:iCs/>
        </w:rPr>
        <w:t>dequate standard of living</w:t>
      </w:r>
      <w:r>
        <w:t xml:space="preserve"> because it has not passed the sub-criterion </w:t>
      </w:r>
      <w:r w:rsidR="00D23B70" w:rsidRPr="00D23B70">
        <w:rPr>
          <w:i/>
          <w:iCs/>
        </w:rPr>
        <w:t xml:space="preserve">2.4 </w:t>
      </w:r>
      <w:r w:rsidRPr="00D23B70">
        <w:rPr>
          <w:i/>
          <w:iCs/>
        </w:rPr>
        <w:t>Education</w:t>
      </w:r>
      <w:r>
        <w:t xml:space="preserve"> and the framework requires to pass all sub-criteria. Overall, no durable solution has been achieved in this example. </w:t>
      </w:r>
    </w:p>
    <w:p w14:paraId="7B2DB398" w14:textId="77777777" w:rsidR="00987049" w:rsidRPr="0024592E" w:rsidRDefault="00987049" w:rsidP="003F5F56">
      <w:pPr>
        <w:jc w:val="both"/>
      </w:pPr>
    </w:p>
    <w:p w14:paraId="5B4B2B41" w14:textId="74EE19ED" w:rsidR="003F5F56" w:rsidRDefault="003F5F56" w:rsidP="00457FA6">
      <w:pPr>
        <w:pStyle w:val="TabFigSW"/>
      </w:pPr>
      <w:r>
        <w:lastRenderedPageBreak/>
        <w:t xml:space="preserve">Table </w:t>
      </w:r>
      <w:r>
        <w:fldChar w:fldCharType="begin"/>
      </w:r>
      <w:r>
        <w:instrText>SEQ Table \* ARABIC</w:instrText>
      </w:r>
      <w:r>
        <w:fldChar w:fldCharType="separate"/>
      </w:r>
      <w:r w:rsidR="00A44A6F">
        <w:rPr>
          <w:noProof/>
        </w:rPr>
        <w:t>2</w:t>
      </w:r>
      <w:r>
        <w:fldChar w:fldCharType="end"/>
      </w:r>
      <w:r>
        <w:t>: Example household in the IRIS framework</w:t>
      </w:r>
    </w:p>
    <w:tbl>
      <w:tblPr>
        <w:tblStyle w:val="PlainTable2"/>
        <w:tblW w:w="8992" w:type="dxa"/>
        <w:tblLook w:val="04A0" w:firstRow="1" w:lastRow="0" w:firstColumn="1" w:lastColumn="0" w:noHBand="0" w:noVBand="1"/>
      </w:tblPr>
      <w:tblGrid>
        <w:gridCol w:w="1350"/>
        <w:gridCol w:w="3600"/>
        <w:gridCol w:w="1170"/>
        <w:gridCol w:w="2872"/>
      </w:tblGrid>
      <w:tr w:rsidR="003F5F56" w:rsidRPr="00D1520C" w14:paraId="35BDCFD0" w14:textId="77777777" w:rsidTr="009B045F">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tcPr>
          <w:p w14:paraId="6DC73DDE" w14:textId="77777777" w:rsidR="003F5F56" w:rsidRPr="00D1520C" w:rsidRDefault="003F5F56" w:rsidP="009B045F">
            <w:pPr>
              <w:spacing w:after="0"/>
              <w:rPr>
                <w:rFonts w:asciiTheme="majorHAnsi" w:eastAsiaTheme="minorHAnsi" w:hAnsiTheme="majorHAnsi" w:cstheme="majorHAnsi"/>
                <w:color w:val="000000" w:themeColor="text1"/>
              </w:rPr>
            </w:pPr>
          </w:p>
        </w:tc>
        <w:tc>
          <w:tcPr>
            <w:tcW w:w="4770" w:type="dxa"/>
            <w:gridSpan w:val="2"/>
          </w:tcPr>
          <w:p w14:paraId="0F9D6503" w14:textId="77777777" w:rsidR="003F5F56" w:rsidRPr="00F07B32" w:rsidRDefault="003F5F56" w:rsidP="009B045F">
            <w:pPr>
              <w:spacing w:after="0"/>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ajorHAnsi"/>
                <w:b w:val="0"/>
                <w:bCs w:val="0"/>
                <w:color w:val="002F59" w:themeColor="text2"/>
              </w:rPr>
            </w:pPr>
            <w:r>
              <w:rPr>
                <w:rFonts w:asciiTheme="majorHAnsi" w:eastAsiaTheme="minorHAnsi" w:hAnsiTheme="majorHAnsi" w:cstheme="majorHAnsi"/>
                <w:color w:val="002F59" w:themeColor="text2"/>
              </w:rPr>
              <w:t>Sub-criterion (compared to a benchmark)</w:t>
            </w:r>
          </w:p>
        </w:tc>
        <w:tc>
          <w:tcPr>
            <w:tcW w:w="2872" w:type="dxa"/>
          </w:tcPr>
          <w:p w14:paraId="2438E534" w14:textId="77777777" w:rsidR="003F5F56" w:rsidRPr="00267E2E" w:rsidRDefault="003F5F56" w:rsidP="009B045F">
            <w:pPr>
              <w:spacing w:after="0"/>
              <w:cnfStyle w:val="100000000000" w:firstRow="1"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2F59" w:themeColor="text2"/>
              </w:rPr>
            </w:pPr>
            <w:r w:rsidRPr="00267E2E">
              <w:rPr>
                <w:rFonts w:asciiTheme="majorHAnsi" w:eastAsiaTheme="minorHAnsi" w:hAnsiTheme="majorHAnsi" w:cstheme="majorHAnsi"/>
                <w:color w:val="002F59" w:themeColor="text2"/>
              </w:rPr>
              <w:t>Result</w:t>
            </w:r>
            <w:r>
              <w:rPr>
                <w:rFonts w:asciiTheme="majorHAnsi" w:eastAsiaTheme="minorHAnsi" w:hAnsiTheme="majorHAnsi" w:cstheme="majorHAnsi"/>
                <w:color w:val="002F59" w:themeColor="text2"/>
              </w:rPr>
              <w:t xml:space="preserve"> on criterion level</w:t>
            </w:r>
          </w:p>
        </w:tc>
      </w:tr>
      <w:tr w:rsidR="003F5F56" w:rsidRPr="00D1520C" w14:paraId="6F9B8184"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val="restart"/>
          </w:tcPr>
          <w:p w14:paraId="4DDA22D2"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Household A</w:t>
            </w:r>
          </w:p>
        </w:tc>
        <w:tc>
          <w:tcPr>
            <w:tcW w:w="3600" w:type="dxa"/>
          </w:tcPr>
          <w:p w14:paraId="4476BE56"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Avenir" w:hAnsiTheme="majorHAnsi" w:cstheme="majorHAnsi"/>
                <w:sz w:val="18"/>
                <w:szCs w:val="18"/>
              </w:rPr>
              <w:t>1.1 Victims of violence</w:t>
            </w:r>
          </w:p>
        </w:tc>
        <w:tc>
          <w:tcPr>
            <w:tcW w:w="1170" w:type="dxa"/>
          </w:tcPr>
          <w:p w14:paraId="1A70C03D"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val="restart"/>
          </w:tcPr>
          <w:p w14:paraId="728B9336"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 xml:space="preserve">2/2 (Passed) </w:t>
            </w:r>
          </w:p>
        </w:tc>
      </w:tr>
      <w:tr w:rsidR="003F5F56" w:rsidRPr="00D1520C" w14:paraId="1E82E55E"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3BC48B61"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7E23EDC3"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1.2 Freedom of movement</w:t>
            </w:r>
          </w:p>
        </w:tc>
        <w:tc>
          <w:tcPr>
            <w:tcW w:w="1170" w:type="dxa"/>
          </w:tcPr>
          <w:p w14:paraId="436556C3"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tcPr>
          <w:p w14:paraId="21BE59AC"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5D165BC5"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1EA5FE5F"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611C5754"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2.1 Food security</w:t>
            </w:r>
          </w:p>
        </w:tc>
        <w:tc>
          <w:tcPr>
            <w:tcW w:w="1170" w:type="dxa"/>
          </w:tcPr>
          <w:p w14:paraId="174F2309"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val="restart"/>
          </w:tcPr>
          <w:p w14:paraId="51FFCADD"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3/4 (Not passed)</w:t>
            </w:r>
          </w:p>
        </w:tc>
      </w:tr>
      <w:tr w:rsidR="003F5F56" w:rsidRPr="00D1520C" w14:paraId="0FC6A493"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3DCB8C74"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44D80998" w14:textId="12E76B0B" w:rsidR="003F5F56" w:rsidRPr="00F07B32" w:rsidRDefault="00564ECF"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2.2 Shelter and housing</w:t>
            </w:r>
          </w:p>
        </w:tc>
        <w:tc>
          <w:tcPr>
            <w:tcW w:w="1170" w:type="dxa"/>
          </w:tcPr>
          <w:p w14:paraId="2EF4E2B0"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tcPr>
          <w:p w14:paraId="03A944F2"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03C4481A"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52A458C5"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05EE4E58"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2.3 Medical services</w:t>
            </w:r>
          </w:p>
        </w:tc>
        <w:tc>
          <w:tcPr>
            <w:tcW w:w="1170" w:type="dxa"/>
          </w:tcPr>
          <w:p w14:paraId="2240321B"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vMerge/>
          </w:tcPr>
          <w:p w14:paraId="13CEE8C3"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39EEDF4B"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1C0EB6F5"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7B8DA09A"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2.4 Education</w:t>
            </w:r>
          </w:p>
        </w:tc>
        <w:tc>
          <w:tcPr>
            <w:tcW w:w="1170" w:type="dxa"/>
          </w:tcPr>
          <w:p w14:paraId="03573EB7"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No pass</w:t>
            </w:r>
          </w:p>
        </w:tc>
        <w:tc>
          <w:tcPr>
            <w:tcW w:w="2872" w:type="dxa"/>
            <w:vMerge/>
          </w:tcPr>
          <w:p w14:paraId="450DB53E"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09D16CD6"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1BF91CEF"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3ED7CAC0"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 xml:space="preserve">3.1 Employment </w:t>
            </w:r>
            <w:r>
              <w:rPr>
                <w:rFonts w:asciiTheme="majorHAnsi" w:eastAsia="Avenir" w:hAnsiTheme="majorHAnsi" w:cstheme="majorHAnsi"/>
                <w:sz w:val="18"/>
                <w:szCs w:val="18"/>
              </w:rPr>
              <w:t xml:space="preserve">&amp; </w:t>
            </w:r>
            <w:r w:rsidRPr="00F07B32">
              <w:rPr>
                <w:rFonts w:asciiTheme="majorHAnsi" w:eastAsia="Avenir" w:hAnsiTheme="majorHAnsi" w:cstheme="majorHAnsi"/>
                <w:sz w:val="18"/>
                <w:szCs w:val="18"/>
              </w:rPr>
              <w:t>livelihoods</w:t>
            </w:r>
          </w:p>
        </w:tc>
        <w:tc>
          <w:tcPr>
            <w:tcW w:w="1170" w:type="dxa"/>
          </w:tcPr>
          <w:p w14:paraId="7789FDFD"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No pass</w:t>
            </w:r>
          </w:p>
        </w:tc>
        <w:tc>
          <w:tcPr>
            <w:tcW w:w="2872" w:type="dxa"/>
            <w:vMerge w:val="restart"/>
          </w:tcPr>
          <w:p w14:paraId="03E1D5BD"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0/2 (Not passed)</w:t>
            </w:r>
          </w:p>
        </w:tc>
      </w:tr>
      <w:tr w:rsidR="003F5F56" w:rsidRPr="00D1520C" w14:paraId="371C014C"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4248F18F"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0367CE0C"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3.2 Economic security</w:t>
            </w:r>
          </w:p>
        </w:tc>
        <w:tc>
          <w:tcPr>
            <w:tcW w:w="1170" w:type="dxa"/>
          </w:tcPr>
          <w:p w14:paraId="405866B2"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No pass</w:t>
            </w:r>
          </w:p>
        </w:tc>
        <w:tc>
          <w:tcPr>
            <w:tcW w:w="2872" w:type="dxa"/>
            <w:vMerge/>
          </w:tcPr>
          <w:p w14:paraId="1A688751"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p>
        </w:tc>
      </w:tr>
      <w:tr w:rsidR="003F5F56" w:rsidRPr="00D1520C" w14:paraId="0D733DAA"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486A9667"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3C18C66F"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 xml:space="preserve">4.1 Property restitution </w:t>
            </w:r>
            <w:r>
              <w:rPr>
                <w:rFonts w:asciiTheme="majorHAnsi" w:eastAsia="Avenir" w:hAnsiTheme="majorHAnsi" w:cstheme="majorHAnsi"/>
                <w:sz w:val="18"/>
                <w:szCs w:val="18"/>
              </w:rPr>
              <w:t>&amp;</w:t>
            </w:r>
            <w:r w:rsidRPr="00F07B32">
              <w:rPr>
                <w:rFonts w:asciiTheme="majorHAnsi" w:eastAsia="Avenir" w:hAnsiTheme="majorHAnsi" w:cstheme="majorHAnsi"/>
                <w:sz w:val="18"/>
                <w:szCs w:val="18"/>
              </w:rPr>
              <w:t xml:space="preserve"> compensation</w:t>
            </w:r>
          </w:p>
        </w:tc>
        <w:tc>
          <w:tcPr>
            <w:tcW w:w="1170" w:type="dxa"/>
          </w:tcPr>
          <w:p w14:paraId="1D816213"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Pass</w:t>
            </w:r>
          </w:p>
        </w:tc>
        <w:tc>
          <w:tcPr>
            <w:tcW w:w="2872" w:type="dxa"/>
          </w:tcPr>
          <w:p w14:paraId="079C2CE7"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1/1 (Passed)</w:t>
            </w:r>
          </w:p>
        </w:tc>
      </w:tr>
      <w:tr w:rsidR="003F5F56" w:rsidRPr="00D1520C" w14:paraId="59B3E53B" w14:textId="77777777" w:rsidTr="009B045F">
        <w:trPr>
          <w:trHeight w:val="57"/>
        </w:trPr>
        <w:tc>
          <w:tcPr>
            <w:cnfStyle w:val="001000000000" w:firstRow="0" w:lastRow="0" w:firstColumn="1" w:lastColumn="0" w:oddVBand="0" w:evenVBand="0" w:oddHBand="0" w:evenHBand="0" w:firstRowFirstColumn="0" w:firstRowLastColumn="0" w:lastRowFirstColumn="0" w:lastRowLastColumn="0"/>
            <w:tcW w:w="1350" w:type="dxa"/>
            <w:vMerge/>
          </w:tcPr>
          <w:p w14:paraId="19114886"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3600" w:type="dxa"/>
          </w:tcPr>
          <w:p w14:paraId="47180523"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sz w:val="18"/>
                <w:szCs w:val="18"/>
              </w:rPr>
            </w:pPr>
            <w:r w:rsidRPr="00F07B32">
              <w:rPr>
                <w:rFonts w:asciiTheme="majorHAnsi" w:eastAsia="Avenir" w:hAnsiTheme="majorHAnsi" w:cstheme="majorHAnsi"/>
                <w:sz w:val="18"/>
                <w:szCs w:val="18"/>
              </w:rPr>
              <w:t>5.1 Documentation</w:t>
            </w:r>
          </w:p>
        </w:tc>
        <w:tc>
          <w:tcPr>
            <w:tcW w:w="1170" w:type="dxa"/>
          </w:tcPr>
          <w:p w14:paraId="7F89DBFD"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Pr>
                <w:rFonts w:asciiTheme="majorHAnsi" w:eastAsiaTheme="minorHAnsi" w:hAnsiTheme="majorHAnsi" w:cstheme="majorHAnsi"/>
                <w:color w:val="000000" w:themeColor="text1"/>
                <w:sz w:val="18"/>
                <w:szCs w:val="18"/>
              </w:rPr>
              <w:t>Pass</w:t>
            </w:r>
          </w:p>
        </w:tc>
        <w:tc>
          <w:tcPr>
            <w:tcW w:w="2872" w:type="dxa"/>
          </w:tcPr>
          <w:p w14:paraId="66C975AA" w14:textId="77777777" w:rsidR="003F5F56" w:rsidRPr="00F07B32" w:rsidRDefault="003F5F56" w:rsidP="009B045F">
            <w:pPr>
              <w:spacing w:after="0"/>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Theme="minorHAnsi" w:hAnsiTheme="majorHAnsi" w:cstheme="majorHAnsi"/>
                <w:color w:val="000000" w:themeColor="text1"/>
                <w:sz w:val="18"/>
                <w:szCs w:val="18"/>
              </w:rPr>
              <w:t>1/1 (Passed</w:t>
            </w:r>
          </w:p>
        </w:tc>
      </w:tr>
      <w:tr w:rsidR="003F5F56" w:rsidRPr="00D1520C" w14:paraId="5710779A" w14:textId="77777777" w:rsidTr="009B045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50" w:type="dxa"/>
          </w:tcPr>
          <w:p w14:paraId="656DE68B" w14:textId="77777777" w:rsidR="003F5F56" w:rsidRPr="00F07B32" w:rsidRDefault="003F5F56" w:rsidP="009B045F">
            <w:pPr>
              <w:spacing w:after="0"/>
              <w:rPr>
                <w:rFonts w:asciiTheme="majorHAnsi" w:eastAsiaTheme="minorHAnsi" w:hAnsiTheme="majorHAnsi" w:cstheme="majorHAnsi"/>
                <w:color w:val="000000" w:themeColor="text1"/>
                <w:sz w:val="18"/>
                <w:szCs w:val="18"/>
              </w:rPr>
            </w:pPr>
          </w:p>
        </w:tc>
        <w:tc>
          <w:tcPr>
            <w:tcW w:w="7642" w:type="dxa"/>
            <w:gridSpan w:val="3"/>
          </w:tcPr>
          <w:p w14:paraId="443241BB" w14:textId="77777777" w:rsidR="003F5F56" w:rsidRPr="00F07B32" w:rsidRDefault="003F5F56" w:rsidP="009B045F">
            <w:pPr>
              <w:spacing w:after="0"/>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color w:val="000000" w:themeColor="text1"/>
                <w:sz w:val="18"/>
                <w:szCs w:val="18"/>
              </w:rPr>
            </w:pPr>
            <w:r w:rsidRPr="00F07B32">
              <w:rPr>
                <w:rFonts w:asciiTheme="majorHAnsi" w:eastAsia="Avenir" w:hAnsiTheme="majorHAnsi" w:cstheme="majorHAnsi"/>
                <w:b/>
                <w:bCs/>
                <w:sz w:val="18"/>
                <w:szCs w:val="18"/>
              </w:rPr>
              <w:t>Overall:</w:t>
            </w:r>
            <w:r w:rsidRPr="00F07B32">
              <w:rPr>
                <w:rFonts w:asciiTheme="majorHAnsi" w:eastAsia="Avenir" w:hAnsiTheme="majorHAnsi" w:cstheme="majorHAnsi"/>
                <w:sz w:val="18"/>
                <w:szCs w:val="18"/>
              </w:rPr>
              <w:t xml:space="preserve"> No durable solution achieved: displacement not ended</w:t>
            </w:r>
          </w:p>
        </w:tc>
      </w:tr>
    </w:tbl>
    <w:p w14:paraId="2DC93287" w14:textId="77777777" w:rsidR="003F5F56" w:rsidRDefault="003F5F56" w:rsidP="0071117C">
      <w:pPr>
        <w:pStyle w:val="Heading2"/>
      </w:pPr>
      <w:bookmarkStart w:id="3" w:name="_Toc63432130"/>
      <w:r>
        <w:t>Remaining methodological challenges</w:t>
      </w:r>
      <w:bookmarkEnd w:id="3"/>
      <w:r>
        <w:t xml:space="preserve"> </w:t>
      </w:r>
    </w:p>
    <w:p w14:paraId="7053E157" w14:textId="77777777" w:rsidR="00BB79EF" w:rsidRDefault="003F5F56" w:rsidP="003F5F56">
      <w:pPr>
        <w:spacing w:after="160"/>
        <w:jc w:val="both"/>
        <w:rPr>
          <w:rFonts w:asciiTheme="majorHAnsi" w:hAnsiTheme="majorHAnsi" w:cstheme="majorHAnsi"/>
          <w:lang w:val="en-GB"/>
        </w:rPr>
      </w:pPr>
      <w:r>
        <w:rPr>
          <w:rFonts w:asciiTheme="majorHAnsi" w:hAnsiTheme="majorHAnsi" w:cstheme="majorHAnsi"/>
          <w:lang w:val="en-GB"/>
        </w:rPr>
        <w:t xml:space="preserve">While this framework appears intuitive, there are several challenges and methodological gaps when implementing it in practice. </w:t>
      </w:r>
    </w:p>
    <w:p w14:paraId="269ABD7A" w14:textId="5F8DB5F9" w:rsidR="003F5F56" w:rsidRPr="00BB79EF" w:rsidRDefault="003F5F56" w:rsidP="003F5F56">
      <w:pPr>
        <w:spacing w:after="160"/>
        <w:jc w:val="both"/>
        <w:rPr>
          <w:rFonts w:asciiTheme="majorHAnsi" w:hAnsiTheme="majorHAnsi" w:cstheme="majorHAnsi"/>
          <w:lang w:val="en-GB"/>
        </w:rPr>
      </w:pPr>
      <w:r>
        <w:rPr>
          <w:rFonts w:asciiTheme="majorHAnsi" w:eastAsiaTheme="minorHAnsi" w:hAnsiTheme="majorHAnsi" w:cstheme="majorHAnsi"/>
        </w:rPr>
        <w:t xml:space="preserve">The first methodological challenge is that </w:t>
      </w:r>
      <w:r w:rsidRPr="0082506B">
        <w:rPr>
          <w:rFonts w:asciiTheme="majorHAnsi" w:eastAsiaTheme="minorHAnsi" w:hAnsiTheme="majorHAnsi" w:cstheme="majorHAnsi"/>
          <w:b/>
          <w:bCs/>
        </w:rPr>
        <w:t>no set of statistical indicators</w:t>
      </w:r>
      <w:r w:rsidRPr="00442FD4">
        <w:rPr>
          <w:rFonts w:asciiTheme="majorHAnsi" w:eastAsiaTheme="minorHAnsi" w:hAnsiTheme="majorHAnsi" w:cstheme="majorHAnsi"/>
          <w:b/>
          <w:bCs/>
        </w:rPr>
        <w:t xml:space="preserve"> have been agreed on to capture the 10 sub-criteria</w:t>
      </w:r>
      <w:r>
        <w:rPr>
          <w:rFonts w:asciiTheme="majorHAnsi" w:eastAsiaTheme="minorHAnsi" w:hAnsiTheme="majorHAnsi" w:cstheme="majorHAnsi"/>
        </w:rPr>
        <w:t xml:space="preserve">. </w:t>
      </w:r>
      <w:r w:rsidRPr="003C6052">
        <w:rPr>
          <w:rFonts w:asciiTheme="majorHAnsi" w:eastAsiaTheme="minorHAnsi" w:hAnsiTheme="majorHAnsi" w:cstheme="majorHAnsi"/>
        </w:rPr>
        <w:t xml:space="preserve">The lack of an agreed, measurable set of indicators presents a real challenge </w:t>
      </w:r>
      <w:r>
        <w:rPr>
          <w:rFonts w:asciiTheme="majorHAnsi" w:eastAsiaTheme="minorHAnsi" w:hAnsiTheme="majorHAnsi" w:cstheme="majorHAnsi"/>
        </w:rPr>
        <w:t xml:space="preserve">in operationalizing the IRIS framework. </w:t>
      </w:r>
      <w:r w:rsidR="005D1103">
        <w:rPr>
          <w:rFonts w:asciiTheme="majorHAnsi" w:eastAsiaTheme="minorHAnsi" w:hAnsiTheme="majorHAnsi" w:cstheme="majorHAnsi"/>
        </w:rPr>
        <w:t>While this methodological assessment aims to shed some light on how specific indicators affect the exit from the IDP stock, f</w:t>
      </w:r>
      <w:r>
        <w:rPr>
          <w:rFonts w:asciiTheme="majorHAnsi" w:eastAsiaTheme="minorHAnsi" w:hAnsiTheme="majorHAnsi" w:cstheme="majorHAnsi"/>
        </w:rPr>
        <w:t xml:space="preserve">urther empirical work </w:t>
      </w:r>
      <w:r w:rsidR="005D1103">
        <w:rPr>
          <w:rFonts w:asciiTheme="majorHAnsi" w:eastAsiaTheme="minorHAnsi" w:hAnsiTheme="majorHAnsi" w:cstheme="majorHAnsi"/>
        </w:rPr>
        <w:t xml:space="preserve">will be </w:t>
      </w:r>
      <w:r>
        <w:rPr>
          <w:rFonts w:asciiTheme="majorHAnsi" w:eastAsiaTheme="minorHAnsi" w:hAnsiTheme="majorHAnsi" w:cstheme="majorHAnsi"/>
        </w:rPr>
        <w:t xml:space="preserve">needed to assess how the indicator choice affects the aggregate stock of IDPs in a displacement context. Eventually, more suitable datasets will need to be produced to facilitate this. </w:t>
      </w:r>
    </w:p>
    <w:p w14:paraId="1963C9E3" w14:textId="7046F9B4" w:rsidR="003F5F56" w:rsidRDefault="003F5F56" w:rsidP="003F5F56">
      <w:pPr>
        <w:spacing w:after="160"/>
        <w:jc w:val="both"/>
        <w:rPr>
          <w:rFonts w:asciiTheme="majorHAnsi" w:hAnsiTheme="majorHAnsi" w:cstheme="majorBidi"/>
        </w:rPr>
      </w:pPr>
      <w:r w:rsidRPr="74D63B69">
        <w:rPr>
          <w:rFonts w:asciiTheme="majorHAnsi" w:hAnsiTheme="majorHAnsi" w:cstheme="majorBidi"/>
        </w:rPr>
        <w:t xml:space="preserve">The second methodological challenge arises from the above-cited assumption that it is possible to set a comparator target/benchmark for each sub-criterion which a household needs to match or surpass. The IRIS states that “target setting will be more complex with categorical or binary indicators”; however, </w:t>
      </w:r>
      <w:r w:rsidRPr="74D63B69">
        <w:rPr>
          <w:rFonts w:asciiTheme="majorHAnsi" w:hAnsiTheme="majorHAnsi" w:cstheme="majorBidi"/>
          <w:b/>
          <w:bCs/>
        </w:rPr>
        <w:t>such benchmark comparison is not just complex but indeed technically meaningless for binary and categorical indicators. Binary and categorical household-level data points cannot be directly compared with average/distribution values in the comparator population</w:t>
      </w:r>
      <w:r w:rsidRPr="74D63B69">
        <w:rPr>
          <w:rFonts w:asciiTheme="majorHAnsi" w:hAnsiTheme="majorHAnsi" w:cstheme="majorBidi"/>
        </w:rPr>
        <w:t xml:space="preserve">. To illustrate this problem, imagine a binary indicator “household has access to medical services” was selected to operationalize sub-criterion </w:t>
      </w:r>
      <w:r w:rsidRPr="00D23B70">
        <w:rPr>
          <w:rFonts w:asciiTheme="majorHAnsi" w:hAnsiTheme="majorHAnsi" w:cstheme="majorBidi"/>
          <w:i/>
          <w:iCs/>
        </w:rPr>
        <w:t xml:space="preserve">2.3 </w:t>
      </w:r>
      <w:r w:rsidR="00D23B70">
        <w:rPr>
          <w:rFonts w:asciiTheme="majorHAnsi" w:hAnsiTheme="majorHAnsi" w:cstheme="majorBidi"/>
          <w:i/>
          <w:iCs/>
        </w:rPr>
        <w:t>M</w:t>
      </w:r>
      <w:r w:rsidRPr="00D23B70">
        <w:rPr>
          <w:rFonts w:asciiTheme="majorHAnsi" w:hAnsiTheme="majorHAnsi" w:cstheme="majorBidi"/>
          <w:i/>
          <w:iCs/>
        </w:rPr>
        <w:t>edical services</w:t>
      </w:r>
      <w:r w:rsidRPr="74D63B69">
        <w:rPr>
          <w:rFonts w:asciiTheme="majorHAnsi" w:hAnsiTheme="majorHAnsi" w:cstheme="majorBidi"/>
        </w:rPr>
        <w:t xml:space="preserve">. The value for any given household can only be yes or no, 1 or 0. The target value derived from the comparator population, in contrast, would be a percentage on a scale, let’s assume 5% of the comparator population have access to medical services. Achieving a pass for any given household in comparison with the target value can only be achieved by achieving a “yes” in this indicator – despite the fact that access to medical services is extremely low in the comparator population. In effect, the value of the comparator population is irrelevant, because the condition for achieving a pass would not have changed if the comparator value had been, say, 1% or 90%.  In other words, the entire idea of a contextualized target/benchmark that underlies the IRIS approach is devalued for binary or categorical indicators. Unfortunately, such types of indicators appear the pragmatic and thematically most valid choice of metric under the vast majority of sub-criteria. </w:t>
      </w:r>
    </w:p>
    <w:p w14:paraId="2444D7C4" w14:textId="77777777" w:rsidR="003F5F56" w:rsidRDefault="003F5F56" w:rsidP="003F5F56">
      <w:pPr>
        <w:spacing w:after="160"/>
        <w:jc w:val="both"/>
        <w:rPr>
          <w:rFonts w:asciiTheme="majorHAnsi" w:eastAsiaTheme="minorHAnsi" w:hAnsiTheme="majorHAnsi" w:cstheme="majorHAnsi"/>
        </w:rPr>
      </w:pPr>
      <w:r>
        <w:rPr>
          <w:rFonts w:asciiTheme="majorHAnsi" w:eastAsiaTheme="minorHAnsi" w:hAnsiTheme="majorHAnsi" w:cstheme="majorHAnsi"/>
        </w:rPr>
        <w:t xml:space="preserve">A third methodological challenge not yet addressed by IRIS arises if the </w:t>
      </w:r>
      <w:r w:rsidRPr="00442FD4">
        <w:rPr>
          <w:rFonts w:asciiTheme="majorHAnsi" w:eastAsiaTheme="minorHAnsi" w:hAnsiTheme="majorHAnsi" w:cstheme="majorHAnsi"/>
          <w:b/>
          <w:bCs/>
        </w:rPr>
        <w:t>comparator value comes with a level of statistical uncertainty</w:t>
      </w:r>
      <w:r>
        <w:rPr>
          <w:rFonts w:asciiTheme="majorHAnsi" w:eastAsiaTheme="minorHAnsi" w:hAnsiTheme="majorHAnsi" w:cstheme="majorHAnsi"/>
        </w:rPr>
        <w:t xml:space="preserve">. Assume the benchmark value for the national/host population was produced using a sample survey – it would thereby come with a confidence interval around the comparator point estimate. Would a displaced household comparing against benchmark need to compare favorably against the point estimate itself or against the lower bound of the confidence interval? </w:t>
      </w:r>
    </w:p>
    <w:p w14:paraId="00164CEE" w14:textId="5147D3B4" w:rsidR="003F5F56" w:rsidRDefault="003F5F56" w:rsidP="003F5F56">
      <w:pPr>
        <w:spacing w:after="160"/>
        <w:jc w:val="both"/>
        <w:rPr>
          <w:rFonts w:asciiTheme="majorHAnsi" w:eastAsiaTheme="minorHAnsi" w:hAnsiTheme="majorHAnsi" w:cstheme="majorHAnsi"/>
        </w:rPr>
      </w:pPr>
      <w:r>
        <w:rPr>
          <w:rFonts w:asciiTheme="majorHAnsi" w:eastAsiaTheme="minorHAnsi" w:hAnsiTheme="majorHAnsi" w:cstheme="majorHAnsi"/>
        </w:rPr>
        <w:lastRenderedPageBreak/>
        <w:t xml:space="preserve">Even if a set of statistical indicators can be agreed on to operationalize the 10 sub-criteria, it is unlikely that data will be available for all selected indicators in all situations. The IRIS specifies that if data is missing an assessment of whether displacement has been overcome cannot be made. Further empirical work provides an opportunity to assess and further explore the feasibility of this </w:t>
      </w:r>
      <w:r w:rsidR="0095506A">
        <w:rPr>
          <w:rFonts w:asciiTheme="majorHAnsi" w:eastAsiaTheme="minorHAnsi" w:hAnsiTheme="majorHAnsi" w:cstheme="majorHAnsi"/>
        </w:rPr>
        <w:t>approach and</w:t>
      </w:r>
      <w:r>
        <w:rPr>
          <w:rFonts w:asciiTheme="majorHAnsi" w:eastAsiaTheme="minorHAnsi" w:hAnsiTheme="majorHAnsi" w:cstheme="majorHAnsi"/>
        </w:rPr>
        <w:t xml:space="preserve"> gain greater insight on the aggregate </w:t>
      </w:r>
      <w:r w:rsidRPr="00D718B1">
        <w:rPr>
          <w:rFonts w:asciiTheme="majorHAnsi" w:eastAsiaTheme="minorHAnsi" w:hAnsiTheme="majorHAnsi" w:cstheme="majorHAnsi"/>
          <w:b/>
          <w:bCs/>
        </w:rPr>
        <w:t>effect</w:t>
      </w:r>
      <w:r>
        <w:rPr>
          <w:rFonts w:asciiTheme="majorHAnsi" w:eastAsiaTheme="minorHAnsi" w:hAnsiTheme="majorHAnsi" w:cstheme="majorHAnsi"/>
          <w:b/>
          <w:bCs/>
        </w:rPr>
        <w:t>s</w:t>
      </w:r>
      <w:r w:rsidRPr="00D718B1">
        <w:rPr>
          <w:rFonts w:asciiTheme="majorHAnsi" w:eastAsiaTheme="minorHAnsi" w:hAnsiTheme="majorHAnsi" w:cstheme="majorHAnsi"/>
          <w:b/>
          <w:bCs/>
        </w:rPr>
        <w:t xml:space="preserve"> of missing data points</w:t>
      </w:r>
      <w:r>
        <w:rPr>
          <w:rFonts w:asciiTheme="majorHAnsi" w:eastAsiaTheme="minorHAnsi" w:hAnsiTheme="majorHAnsi" w:cstheme="majorHAnsi"/>
        </w:rPr>
        <w:t xml:space="preserve"> (and potentially of imputation-based methods for dealing with them).   </w:t>
      </w:r>
    </w:p>
    <w:p w14:paraId="6375C233" w14:textId="0A2A3BCB" w:rsidR="00886FAC" w:rsidRDefault="003F5F56" w:rsidP="003F5F56">
      <w:pPr>
        <w:spacing w:after="160"/>
        <w:jc w:val="both"/>
        <w:rPr>
          <w:rFonts w:asciiTheme="majorHAnsi" w:eastAsiaTheme="minorHAnsi" w:hAnsiTheme="majorHAnsi" w:cstheme="majorHAnsi"/>
        </w:rPr>
      </w:pPr>
      <w:r>
        <w:rPr>
          <w:rFonts w:asciiTheme="majorHAnsi" w:eastAsiaTheme="minorHAnsi" w:hAnsiTheme="majorHAnsi" w:cstheme="majorHAnsi"/>
        </w:rPr>
        <w:t xml:space="preserve">A fifth area left open by IRIS is the </w:t>
      </w:r>
      <w:r w:rsidRPr="0054248C">
        <w:rPr>
          <w:rFonts w:asciiTheme="majorHAnsi" w:eastAsiaTheme="minorHAnsi" w:hAnsiTheme="majorHAnsi" w:cstheme="majorHAnsi"/>
          <w:b/>
          <w:bCs/>
        </w:rPr>
        <w:t>definition of the comparator population</w:t>
      </w:r>
      <w:r>
        <w:rPr>
          <w:rFonts w:asciiTheme="majorHAnsi" w:eastAsiaTheme="minorHAnsi" w:hAnsiTheme="majorHAnsi" w:cstheme="majorHAnsi"/>
        </w:rPr>
        <w:t xml:space="preserve"> itself – national or “host”. If a host community is to be used as comparator, a clear definition of the term will need to be developed. While it may be preferable for IRIS to </w:t>
      </w:r>
      <w:r w:rsidRPr="00442FD4">
        <w:rPr>
          <w:rFonts w:asciiTheme="majorHAnsi" w:eastAsiaTheme="minorHAnsi" w:hAnsiTheme="majorHAnsi" w:cstheme="majorHAnsi"/>
          <w:u w:val="single"/>
        </w:rPr>
        <w:t>not</w:t>
      </w:r>
      <w:r>
        <w:rPr>
          <w:rFonts w:asciiTheme="majorHAnsi" w:eastAsiaTheme="minorHAnsi" w:hAnsiTheme="majorHAnsi" w:cstheme="majorHAnsi"/>
        </w:rPr>
        <w:t xml:space="preserve"> provide a standardized recommendation on this and leave flexibility to data producers, further empirical work is recommended to at least assess how the choice of the comparator population affects the aggregate results across different context, and facilitate an evidence-informed decision. </w:t>
      </w:r>
    </w:p>
    <w:p w14:paraId="11448010" w14:textId="77597AA7" w:rsidR="004E1BC7" w:rsidRDefault="004E1BC7" w:rsidP="003F5F56">
      <w:pPr>
        <w:spacing w:after="160"/>
        <w:jc w:val="both"/>
        <w:rPr>
          <w:rFonts w:asciiTheme="majorHAnsi" w:eastAsiaTheme="minorHAnsi" w:hAnsiTheme="majorHAnsi" w:cstheme="majorHAnsi"/>
        </w:rPr>
      </w:pPr>
      <w:r>
        <w:rPr>
          <w:rFonts w:asciiTheme="majorHAnsi" w:eastAsiaTheme="minorHAnsi" w:hAnsiTheme="majorHAnsi" w:cstheme="majorHAnsi"/>
        </w:rPr>
        <w:t>Related to the definition of a comparator population is the question how to deal with</w:t>
      </w:r>
      <w:r w:rsidR="00024CD4">
        <w:rPr>
          <w:rFonts w:asciiTheme="majorHAnsi" w:eastAsiaTheme="minorHAnsi" w:hAnsiTheme="majorHAnsi" w:cstheme="majorHAnsi"/>
        </w:rPr>
        <w:t xml:space="preserve"> </w:t>
      </w:r>
      <w:r w:rsidR="00024CD4" w:rsidRPr="009C0870">
        <w:rPr>
          <w:rFonts w:asciiTheme="majorHAnsi" w:eastAsiaTheme="minorHAnsi" w:hAnsiTheme="majorHAnsi" w:cstheme="majorHAnsi"/>
          <w:b/>
          <w:bCs/>
        </w:rPr>
        <w:t>changing benchmark values</w:t>
      </w:r>
      <w:r w:rsidR="009B0BC1">
        <w:rPr>
          <w:rFonts w:asciiTheme="majorHAnsi" w:eastAsiaTheme="minorHAnsi" w:hAnsiTheme="majorHAnsi" w:cstheme="majorHAnsi"/>
          <w:b/>
          <w:bCs/>
        </w:rPr>
        <w:t xml:space="preserve"> over time</w:t>
      </w:r>
      <w:r w:rsidR="0014405A">
        <w:rPr>
          <w:rFonts w:asciiTheme="majorHAnsi" w:eastAsiaTheme="minorHAnsi" w:hAnsiTheme="majorHAnsi" w:cstheme="majorHAnsi"/>
          <w:b/>
          <w:bCs/>
        </w:rPr>
        <w:t>.</w:t>
      </w:r>
      <w:r w:rsidR="00024CD4">
        <w:rPr>
          <w:rFonts w:asciiTheme="majorHAnsi" w:eastAsiaTheme="minorHAnsi" w:hAnsiTheme="majorHAnsi" w:cstheme="majorHAnsi"/>
        </w:rPr>
        <w:t xml:space="preserve"> </w:t>
      </w:r>
      <w:r w:rsidR="009C0870">
        <w:rPr>
          <w:rFonts w:asciiTheme="majorHAnsi" w:eastAsiaTheme="minorHAnsi" w:hAnsiTheme="majorHAnsi" w:cstheme="majorHAnsi"/>
        </w:rPr>
        <w:t xml:space="preserve">If </w:t>
      </w:r>
      <w:r w:rsidR="004C5DE0">
        <w:rPr>
          <w:rFonts w:asciiTheme="majorHAnsi" w:eastAsiaTheme="minorHAnsi" w:hAnsiTheme="majorHAnsi" w:cstheme="majorHAnsi"/>
        </w:rPr>
        <w:t>for example unemployment in the host community/ national population drops</w:t>
      </w:r>
      <w:r w:rsidR="008A757B">
        <w:rPr>
          <w:rFonts w:asciiTheme="majorHAnsi" w:eastAsiaTheme="minorHAnsi" w:hAnsiTheme="majorHAnsi" w:cstheme="majorHAnsi"/>
        </w:rPr>
        <w:t xml:space="preserve"> from one stock assessment to the next</w:t>
      </w:r>
      <w:r w:rsidR="004C5DE0">
        <w:rPr>
          <w:rFonts w:asciiTheme="majorHAnsi" w:eastAsiaTheme="minorHAnsi" w:hAnsiTheme="majorHAnsi" w:cstheme="majorHAnsi"/>
        </w:rPr>
        <w:t xml:space="preserve"> due to </w:t>
      </w:r>
      <w:r w:rsidR="008A757B">
        <w:rPr>
          <w:rFonts w:asciiTheme="majorHAnsi" w:eastAsiaTheme="minorHAnsi" w:hAnsiTheme="majorHAnsi" w:cstheme="majorHAnsi"/>
        </w:rPr>
        <w:t>improving economic conditions in a country</w:t>
      </w:r>
      <w:r w:rsidR="004C5DE0">
        <w:rPr>
          <w:rFonts w:asciiTheme="majorHAnsi" w:eastAsiaTheme="minorHAnsi" w:hAnsiTheme="majorHAnsi" w:cstheme="majorHAnsi"/>
        </w:rPr>
        <w:t xml:space="preserve">, this </w:t>
      </w:r>
      <w:r w:rsidR="008A757B">
        <w:rPr>
          <w:rFonts w:asciiTheme="majorHAnsi" w:eastAsiaTheme="minorHAnsi" w:hAnsiTheme="majorHAnsi" w:cstheme="majorHAnsi"/>
        </w:rPr>
        <w:t xml:space="preserve">increases the benchmark </w:t>
      </w:r>
      <w:r w:rsidR="00EB740E">
        <w:rPr>
          <w:rFonts w:asciiTheme="majorHAnsi" w:eastAsiaTheme="minorHAnsi" w:hAnsiTheme="majorHAnsi" w:cstheme="majorHAnsi"/>
        </w:rPr>
        <w:t xml:space="preserve">value, and IDPs that have previously been taken out of the stock as having </w:t>
      </w:r>
      <w:r w:rsidR="00EC237B">
        <w:rPr>
          <w:rFonts w:asciiTheme="majorHAnsi" w:eastAsiaTheme="minorHAnsi" w:hAnsiTheme="majorHAnsi" w:cstheme="majorHAnsi"/>
        </w:rPr>
        <w:t>overcome their vulnerabilities may fall under the comparator benchmark</w:t>
      </w:r>
      <w:r w:rsidR="00D067AB">
        <w:rPr>
          <w:rFonts w:asciiTheme="majorHAnsi" w:eastAsiaTheme="minorHAnsi" w:hAnsiTheme="majorHAnsi" w:cstheme="majorHAnsi"/>
        </w:rPr>
        <w:t xml:space="preserve"> again</w:t>
      </w:r>
      <w:r w:rsidR="00EC237B">
        <w:rPr>
          <w:rFonts w:asciiTheme="majorHAnsi" w:eastAsiaTheme="minorHAnsi" w:hAnsiTheme="majorHAnsi" w:cstheme="majorHAnsi"/>
        </w:rPr>
        <w:t xml:space="preserve">, </w:t>
      </w:r>
      <w:r w:rsidR="00E909DE" w:rsidRPr="00E909DE">
        <w:rPr>
          <w:rFonts w:asciiTheme="majorHAnsi" w:eastAsiaTheme="minorHAnsi" w:hAnsiTheme="majorHAnsi" w:cstheme="majorHAnsi"/>
        </w:rPr>
        <w:t>re-</w:t>
      </w:r>
      <w:r w:rsidR="00EC237B" w:rsidRPr="00E909DE">
        <w:rPr>
          <w:rFonts w:asciiTheme="majorHAnsi" w:eastAsiaTheme="minorHAnsi" w:hAnsiTheme="majorHAnsi" w:cstheme="majorHAnsi"/>
        </w:rPr>
        <w:t xml:space="preserve">entering </w:t>
      </w:r>
      <w:r w:rsidR="004E6F0D">
        <w:rPr>
          <w:rFonts w:asciiTheme="majorHAnsi" w:eastAsiaTheme="minorHAnsi" w:hAnsiTheme="majorHAnsi" w:cstheme="majorHAnsi"/>
        </w:rPr>
        <w:t xml:space="preserve">and thereby enlarging </w:t>
      </w:r>
      <w:r w:rsidR="00EC237B" w:rsidRPr="00E909DE">
        <w:rPr>
          <w:rFonts w:asciiTheme="majorHAnsi" w:eastAsiaTheme="minorHAnsi" w:hAnsiTheme="majorHAnsi" w:cstheme="majorHAnsi"/>
        </w:rPr>
        <w:t>the stock without the occurrence of new displacement-causing events</w:t>
      </w:r>
      <w:r w:rsidR="00EC237B">
        <w:rPr>
          <w:rFonts w:asciiTheme="majorHAnsi" w:eastAsiaTheme="minorHAnsi" w:hAnsiTheme="majorHAnsi" w:cstheme="majorHAnsi"/>
        </w:rPr>
        <w:t xml:space="preserve">. </w:t>
      </w:r>
    </w:p>
    <w:p w14:paraId="0B8F85C9" w14:textId="44DE7D82" w:rsidR="00091FC8" w:rsidRDefault="00091FC8" w:rsidP="003F5F56">
      <w:pPr>
        <w:spacing w:after="160"/>
        <w:jc w:val="both"/>
        <w:rPr>
          <w:rFonts w:asciiTheme="majorHAnsi" w:eastAsiaTheme="minorHAnsi" w:hAnsiTheme="majorHAnsi" w:cstheme="majorHAnsi"/>
        </w:rPr>
      </w:pPr>
      <w:r>
        <w:rPr>
          <w:rFonts w:asciiTheme="majorHAnsi" w:eastAsiaTheme="minorHAnsi" w:hAnsiTheme="majorHAnsi" w:cstheme="majorHAnsi"/>
        </w:rPr>
        <w:t xml:space="preserve">Finally, </w:t>
      </w:r>
      <w:r w:rsidR="00955C25">
        <w:rPr>
          <w:rFonts w:asciiTheme="majorHAnsi" w:eastAsiaTheme="minorHAnsi" w:hAnsiTheme="majorHAnsi" w:cstheme="majorHAnsi"/>
        </w:rPr>
        <w:t xml:space="preserve">the IRIS solution measure should address to what extent </w:t>
      </w:r>
      <w:r w:rsidR="00955C25" w:rsidRPr="00A5592D">
        <w:rPr>
          <w:rFonts w:asciiTheme="majorHAnsi" w:eastAsiaTheme="minorHAnsi" w:hAnsiTheme="majorHAnsi" w:cstheme="majorHAnsi"/>
          <w:b/>
          <w:bCs/>
        </w:rPr>
        <w:t xml:space="preserve">assistance received </w:t>
      </w:r>
      <w:r w:rsidR="001E71D6">
        <w:rPr>
          <w:rFonts w:asciiTheme="majorHAnsi" w:eastAsiaTheme="minorHAnsi" w:hAnsiTheme="majorHAnsi" w:cstheme="majorHAnsi"/>
          <w:b/>
          <w:bCs/>
        </w:rPr>
        <w:t>should be “</w:t>
      </w:r>
      <w:r w:rsidR="00DB673F">
        <w:rPr>
          <w:rFonts w:asciiTheme="majorHAnsi" w:eastAsiaTheme="minorHAnsi" w:hAnsiTheme="majorHAnsi" w:cstheme="majorHAnsi"/>
          <w:b/>
          <w:bCs/>
        </w:rPr>
        <w:t xml:space="preserve">factored out / </w:t>
      </w:r>
      <w:r w:rsidR="001E71D6">
        <w:rPr>
          <w:rFonts w:asciiTheme="majorHAnsi" w:eastAsiaTheme="minorHAnsi" w:hAnsiTheme="majorHAnsi" w:cstheme="majorHAnsi"/>
          <w:b/>
          <w:bCs/>
        </w:rPr>
        <w:t xml:space="preserve">imputed out” before an </w:t>
      </w:r>
      <w:r w:rsidR="0065367C" w:rsidRPr="00A5592D">
        <w:rPr>
          <w:rFonts w:asciiTheme="majorHAnsi" w:eastAsiaTheme="minorHAnsi" w:hAnsiTheme="majorHAnsi" w:cstheme="majorHAnsi"/>
          <w:b/>
          <w:bCs/>
        </w:rPr>
        <w:t>assessment</w:t>
      </w:r>
      <w:r w:rsidR="001E71D6">
        <w:rPr>
          <w:rFonts w:asciiTheme="majorHAnsi" w:eastAsiaTheme="minorHAnsi" w:hAnsiTheme="majorHAnsi" w:cstheme="majorHAnsi"/>
          <w:b/>
          <w:bCs/>
        </w:rPr>
        <w:t xml:space="preserve"> is made</w:t>
      </w:r>
      <w:r w:rsidR="0065367C" w:rsidRPr="00A5592D">
        <w:rPr>
          <w:rFonts w:asciiTheme="majorHAnsi" w:eastAsiaTheme="minorHAnsi" w:hAnsiTheme="majorHAnsi" w:cstheme="majorHAnsi"/>
          <w:b/>
          <w:bCs/>
        </w:rPr>
        <w:t xml:space="preserve"> </w:t>
      </w:r>
      <w:r w:rsidR="0065367C">
        <w:rPr>
          <w:rFonts w:asciiTheme="majorHAnsi" w:eastAsiaTheme="minorHAnsi" w:hAnsiTheme="majorHAnsi" w:cstheme="majorHAnsi"/>
        </w:rPr>
        <w:t xml:space="preserve">of how many IDPs exit the stock. </w:t>
      </w:r>
      <w:r w:rsidR="00132363">
        <w:rPr>
          <w:rFonts w:asciiTheme="majorHAnsi" w:eastAsiaTheme="minorHAnsi" w:hAnsiTheme="majorHAnsi" w:cstheme="majorHAnsi"/>
        </w:rPr>
        <w:t>For example, i</w:t>
      </w:r>
      <w:r w:rsidR="0065367C">
        <w:rPr>
          <w:rFonts w:asciiTheme="majorHAnsi" w:eastAsiaTheme="minorHAnsi" w:hAnsiTheme="majorHAnsi" w:cstheme="majorHAnsi"/>
        </w:rPr>
        <w:t>f IDPs overcome ke</w:t>
      </w:r>
      <w:r w:rsidR="004365F1">
        <w:rPr>
          <w:rFonts w:asciiTheme="majorHAnsi" w:eastAsiaTheme="minorHAnsi" w:hAnsiTheme="majorHAnsi" w:cstheme="majorHAnsi"/>
        </w:rPr>
        <w:t>y</w:t>
      </w:r>
      <w:r w:rsidR="0065367C">
        <w:rPr>
          <w:rFonts w:asciiTheme="majorHAnsi" w:eastAsiaTheme="minorHAnsi" w:hAnsiTheme="majorHAnsi" w:cstheme="majorHAnsi"/>
        </w:rPr>
        <w:t>-displacement related vulnerabilities because thei</w:t>
      </w:r>
      <w:r w:rsidR="004365F1">
        <w:rPr>
          <w:rFonts w:asciiTheme="majorHAnsi" w:eastAsiaTheme="minorHAnsi" w:hAnsiTheme="majorHAnsi" w:cstheme="majorHAnsi"/>
        </w:rPr>
        <w:t>r shelter and housing is provided through humanitarian assistance, they may exit the stock without</w:t>
      </w:r>
      <w:r w:rsidR="00D659DC">
        <w:rPr>
          <w:rFonts w:asciiTheme="majorHAnsi" w:eastAsiaTheme="minorHAnsi" w:hAnsiTheme="majorHAnsi" w:cstheme="majorHAnsi"/>
        </w:rPr>
        <w:t xml:space="preserve"> actually</w:t>
      </w:r>
      <w:r w:rsidR="004365F1">
        <w:rPr>
          <w:rFonts w:asciiTheme="majorHAnsi" w:eastAsiaTheme="minorHAnsi" w:hAnsiTheme="majorHAnsi" w:cstheme="majorHAnsi"/>
        </w:rPr>
        <w:t xml:space="preserve"> </w:t>
      </w:r>
      <w:r w:rsidR="004F66FE">
        <w:rPr>
          <w:rFonts w:asciiTheme="majorHAnsi" w:eastAsiaTheme="minorHAnsi" w:hAnsiTheme="majorHAnsi" w:cstheme="majorHAnsi"/>
        </w:rPr>
        <w:t xml:space="preserve">having </w:t>
      </w:r>
      <w:r w:rsidR="00CD27BC">
        <w:rPr>
          <w:rFonts w:asciiTheme="majorHAnsi" w:eastAsiaTheme="minorHAnsi" w:hAnsiTheme="majorHAnsi" w:cstheme="majorHAnsi"/>
        </w:rPr>
        <w:t xml:space="preserve">overcome </w:t>
      </w:r>
      <w:r w:rsidR="00D659DC">
        <w:rPr>
          <w:rFonts w:asciiTheme="majorHAnsi" w:eastAsiaTheme="minorHAnsi" w:hAnsiTheme="majorHAnsi" w:cstheme="majorHAnsi"/>
        </w:rPr>
        <w:t>their housing</w:t>
      </w:r>
      <w:r w:rsidR="00CD27BC">
        <w:rPr>
          <w:rFonts w:asciiTheme="majorHAnsi" w:eastAsiaTheme="minorHAnsi" w:hAnsiTheme="majorHAnsi" w:cstheme="majorHAnsi"/>
        </w:rPr>
        <w:t>-related vulnerabilities</w:t>
      </w:r>
      <w:r w:rsidR="00D659DC">
        <w:rPr>
          <w:rFonts w:asciiTheme="majorHAnsi" w:eastAsiaTheme="minorHAnsi" w:hAnsiTheme="majorHAnsi" w:cstheme="majorHAnsi"/>
        </w:rPr>
        <w:t xml:space="preserve">. While the solutions measure only </w:t>
      </w:r>
      <w:r w:rsidR="007F5AA0">
        <w:rPr>
          <w:rFonts w:asciiTheme="majorHAnsi" w:eastAsiaTheme="minorHAnsi" w:hAnsiTheme="majorHAnsi" w:cstheme="majorHAnsi"/>
        </w:rPr>
        <w:t>produces an aggregate number</w:t>
      </w:r>
      <w:r w:rsidR="00D659DC">
        <w:rPr>
          <w:rFonts w:asciiTheme="majorHAnsi" w:eastAsiaTheme="minorHAnsi" w:hAnsiTheme="majorHAnsi" w:cstheme="majorHAnsi"/>
        </w:rPr>
        <w:t>,</w:t>
      </w:r>
      <w:r w:rsidR="007F5AA0">
        <w:rPr>
          <w:rFonts w:asciiTheme="majorHAnsi" w:eastAsiaTheme="minorHAnsi" w:hAnsiTheme="majorHAnsi" w:cstheme="majorHAnsi"/>
        </w:rPr>
        <w:t xml:space="preserve"> the measure should ensure that the overall exit from the </w:t>
      </w:r>
      <w:r w:rsidR="001732E5">
        <w:rPr>
          <w:rFonts w:asciiTheme="majorHAnsi" w:eastAsiaTheme="minorHAnsi" w:hAnsiTheme="majorHAnsi" w:cstheme="majorHAnsi"/>
        </w:rPr>
        <w:t xml:space="preserve">IDP </w:t>
      </w:r>
      <w:r w:rsidR="007F5AA0">
        <w:rPr>
          <w:rFonts w:asciiTheme="majorHAnsi" w:eastAsiaTheme="minorHAnsi" w:hAnsiTheme="majorHAnsi" w:cstheme="majorHAnsi"/>
        </w:rPr>
        <w:t xml:space="preserve">stock is not based on </w:t>
      </w:r>
      <w:r w:rsidR="001732E5">
        <w:rPr>
          <w:rFonts w:asciiTheme="majorHAnsi" w:eastAsiaTheme="minorHAnsi" w:hAnsiTheme="majorHAnsi" w:cstheme="majorHAnsi"/>
        </w:rPr>
        <w:t>the overcoming of vulnerabilities through humanitarian assistance</w:t>
      </w:r>
      <w:r w:rsidR="00D659DC">
        <w:rPr>
          <w:rFonts w:asciiTheme="majorHAnsi" w:eastAsiaTheme="minorHAnsi" w:hAnsiTheme="majorHAnsi" w:cstheme="majorHAnsi"/>
        </w:rPr>
        <w:t xml:space="preserve"> </w:t>
      </w:r>
      <w:r w:rsidR="00826DE4">
        <w:rPr>
          <w:rFonts w:asciiTheme="majorHAnsi" w:eastAsiaTheme="minorHAnsi" w:hAnsiTheme="majorHAnsi" w:cstheme="majorHAnsi"/>
        </w:rPr>
        <w:t xml:space="preserve">but </w:t>
      </w:r>
      <w:r w:rsidR="00826DE4" w:rsidRPr="00CD27BC">
        <w:rPr>
          <w:rFonts w:asciiTheme="majorHAnsi" w:eastAsiaTheme="minorHAnsi" w:hAnsiTheme="majorHAnsi" w:cstheme="majorHAnsi"/>
        </w:rPr>
        <w:t>through</w:t>
      </w:r>
      <w:r w:rsidR="004F66FE" w:rsidRPr="00CD27BC">
        <w:rPr>
          <w:rFonts w:asciiTheme="majorHAnsi" w:eastAsiaTheme="minorHAnsi" w:hAnsiTheme="majorHAnsi" w:cstheme="majorHAnsi"/>
        </w:rPr>
        <w:t xml:space="preserve"> </w:t>
      </w:r>
      <w:r w:rsidR="00826DE4" w:rsidRPr="00CD27BC">
        <w:rPr>
          <w:rFonts w:asciiTheme="majorHAnsi" w:eastAsiaTheme="minorHAnsi" w:hAnsiTheme="majorHAnsi" w:cstheme="majorHAnsi"/>
        </w:rPr>
        <w:t xml:space="preserve">sustainable </w:t>
      </w:r>
      <w:r w:rsidR="0068067B" w:rsidRPr="00CD27BC">
        <w:rPr>
          <w:rFonts w:asciiTheme="majorHAnsi" w:eastAsiaTheme="minorHAnsi" w:hAnsiTheme="majorHAnsi" w:cstheme="majorHAnsi"/>
        </w:rPr>
        <w:t>solutions</w:t>
      </w:r>
      <w:r w:rsidR="001732E5">
        <w:rPr>
          <w:rFonts w:asciiTheme="majorHAnsi" w:eastAsiaTheme="minorHAnsi" w:hAnsiTheme="majorHAnsi" w:cstheme="majorHAnsi"/>
        </w:rPr>
        <w:t xml:space="preserve">. </w:t>
      </w:r>
      <w:r w:rsidR="004F66FE">
        <w:rPr>
          <w:rFonts w:asciiTheme="majorHAnsi" w:eastAsiaTheme="minorHAnsi" w:hAnsiTheme="majorHAnsi" w:cstheme="majorHAnsi"/>
        </w:rPr>
        <w:t xml:space="preserve"> </w:t>
      </w:r>
      <w:r w:rsidR="004365F1">
        <w:rPr>
          <w:rFonts w:asciiTheme="majorHAnsi" w:eastAsiaTheme="minorHAnsi" w:hAnsiTheme="majorHAnsi" w:cstheme="majorHAnsi"/>
        </w:rPr>
        <w:t xml:space="preserve"> </w:t>
      </w:r>
    </w:p>
    <w:p w14:paraId="4EB097BD" w14:textId="1B36147C" w:rsidR="00E4608D" w:rsidRDefault="00EC5E60" w:rsidP="003F5F56">
      <w:pPr>
        <w:spacing w:after="160"/>
        <w:jc w:val="both"/>
        <w:rPr>
          <w:rFonts w:asciiTheme="majorHAnsi" w:eastAsiaTheme="minorHAnsi" w:hAnsiTheme="majorHAnsi" w:cstheme="majorHAnsi"/>
        </w:rPr>
      </w:pPr>
      <w:r>
        <w:rPr>
          <w:rFonts w:asciiTheme="majorHAnsi" w:eastAsiaTheme="minorHAnsi" w:hAnsiTheme="majorHAnsi" w:cstheme="majorHAnsi"/>
        </w:rPr>
        <w:t>Box 1 summarizes the</w:t>
      </w:r>
      <w:r w:rsidR="00276AE5">
        <w:rPr>
          <w:rFonts w:asciiTheme="majorHAnsi" w:eastAsiaTheme="minorHAnsi" w:hAnsiTheme="majorHAnsi" w:cstheme="majorHAnsi"/>
        </w:rPr>
        <w:t xml:space="preserve"> </w:t>
      </w:r>
      <w:r w:rsidR="003E58C2">
        <w:rPr>
          <w:rFonts w:asciiTheme="majorHAnsi" w:eastAsiaTheme="minorHAnsi" w:hAnsiTheme="majorHAnsi" w:cstheme="majorHAnsi"/>
        </w:rPr>
        <w:t xml:space="preserve">methodological challenges that need to be </w:t>
      </w:r>
      <w:r w:rsidR="00393942">
        <w:rPr>
          <w:rFonts w:asciiTheme="majorHAnsi" w:eastAsiaTheme="minorHAnsi" w:hAnsiTheme="majorHAnsi" w:cstheme="majorHAnsi"/>
        </w:rPr>
        <w:t>addressed</w:t>
      </w:r>
      <w:r w:rsidR="003E58C2">
        <w:rPr>
          <w:rFonts w:asciiTheme="majorHAnsi" w:eastAsiaTheme="minorHAnsi" w:hAnsiTheme="majorHAnsi" w:cstheme="majorHAnsi"/>
        </w:rPr>
        <w:t xml:space="preserve"> to establish a workable solutions metrics. </w:t>
      </w:r>
      <w:r w:rsidR="00393942">
        <w:rPr>
          <w:rFonts w:asciiTheme="majorHAnsi" w:eastAsiaTheme="minorHAnsi" w:hAnsiTheme="majorHAnsi" w:cstheme="majorHAnsi"/>
        </w:rPr>
        <w:t xml:space="preserve">The following sections of this note </w:t>
      </w:r>
      <w:r w:rsidR="0004109C">
        <w:rPr>
          <w:rFonts w:asciiTheme="majorHAnsi" w:eastAsiaTheme="minorHAnsi" w:hAnsiTheme="majorHAnsi" w:cstheme="majorHAnsi"/>
        </w:rPr>
        <w:t>respond to challenge 1 and 2.</w:t>
      </w:r>
      <w:r w:rsidR="00393942">
        <w:rPr>
          <w:rFonts w:asciiTheme="majorHAnsi" w:eastAsiaTheme="minorHAnsi" w:hAnsiTheme="majorHAnsi" w:cstheme="majorHAnsi"/>
        </w:rPr>
        <w:t xml:space="preserve"> </w:t>
      </w:r>
    </w:p>
    <w:p w14:paraId="04BCA21B" w14:textId="155FCDD1" w:rsidR="00206853" w:rsidRPr="00206853" w:rsidRDefault="00206853" w:rsidP="00206853">
      <w:pPr>
        <w:pStyle w:val="TabFigSW"/>
      </w:pPr>
      <w:r>
        <w:t xml:space="preserve">Box </w:t>
      </w:r>
      <w:r>
        <w:fldChar w:fldCharType="begin"/>
      </w:r>
      <w:r>
        <w:instrText>SEQ Box \* ARABIC</w:instrText>
      </w:r>
      <w:r>
        <w:fldChar w:fldCharType="separate"/>
      </w:r>
      <w:r>
        <w:rPr>
          <w:noProof/>
        </w:rPr>
        <w:t>1</w:t>
      </w:r>
      <w:r>
        <w:fldChar w:fldCharType="end"/>
      </w:r>
      <w:r>
        <w:t>: Remaining Challenges for a Workable Solutions Metrics</w:t>
      </w:r>
    </w:p>
    <w:tbl>
      <w:tblPr>
        <w:tblStyle w:val="TableGrid"/>
        <w:tblW w:w="0" w:type="auto"/>
        <w:tblBorders>
          <w:top w:val="single" w:sz="18" w:space="0" w:color="95CCFF" w:themeColor="text2" w:themeTint="40"/>
          <w:left w:val="single" w:sz="18" w:space="0" w:color="95CCFF" w:themeColor="text2" w:themeTint="40"/>
          <w:bottom w:val="single" w:sz="18" w:space="0" w:color="95CCFF" w:themeColor="text2" w:themeTint="40"/>
          <w:right w:val="single" w:sz="18" w:space="0" w:color="95CCFF" w:themeColor="text2" w:themeTint="40"/>
          <w:insideH w:val="none" w:sz="0" w:space="0" w:color="auto"/>
          <w:insideV w:val="none" w:sz="0" w:space="0" w:color="auto"/>
        </w:tblBorders>
        <w:shd w:val="clear" w:color="auto" w:fill="EBF5FF"/>
        <w:tblLook w:val="04A0" w:firstRow="1" w:lastRow="0" w:firstColumn="1" w:lastColumn="0" w:noHBand="0" w:noVBand="1"/>
      </w:tblPr>
      <w:tblGrid>
        <w:gridCol w:w="8980"/>
      </w:tblGrid>
      <w:tr w:rsidR="00886FAC" w14:paraId="5717EE50" w14:textId="77777777" w:rsidTr="0068067B">
        <w:tc>
          <w:tcPr>
            <w:tcW w:w="8980" w:type="dxa"/>
            <w:shd w:val="clear" w:color="auto" w:fill="EBF5FF"/>
          </w:tcPr>
          <w:p w14:paraId="4C1E69D3" w14:textId="77777777" w:rsidR="00886FAC" w:rsidRPr="00496257" w:rsidRDefault="00886FAC" w:rsidP="00886FAC">
            <w:pPr>
              <w:pStyle w:val="NoSpacing"/>
              <w:spacing w:line="276" w:lineRule="auto"/>
            </w:pPr>
            <w:r w:rsidRPr="2D8076D7">
              <w:rPr>
                <w:b/>
                <w:bCs/>
                <w:color w:val="0072BC" w:themeColor="accent1"/>
              </w:rPr>
              <w:t>Challenge 1</w:t>
            </w:r>
            <w:r>
              <w:t>: Specifying one or several statistical indicators for each of the 10 sub-criteria</w:t>
            </w:r>
          </w:p>
          <w:p w14:paraId="45CE99AC" w14:textId="77777777" w:rsidR="00886FAC" w:rsidRDefault="00886FAC" w:rsidP="00886FAC">
            <w:pPr>
              <w:pStyle w:val="NoSpacing"/>
              <w:spacing w:line="276" w:lineRule="auto"/>
            </w:pPr>
            <w:r w:rsidRPr="00496257">
              <w:rPr>
                <w:b/>
                <w:bCs/>
                <w:color w:val="0072BC" w:themeColor="accent1"/>
              </w:rPr>
              <w:t>Challenge 2</w:t>
            </w:r>
            <w:r w:rsidRPr="00496257">
              <w:t xml:space="preserve">: Find a way to make the “contextualized” approach (comparing against </w:t>
            </w:r>
          </w:p>
          <w:p w14:paraId="21EA230B" w14:textId="77777777" w:rsidR="00886FAC" w:rsidRPr="00496257" w:rsidRDefault="00886FAC" w:rsidP="00886FAC">
            <w:pPr>
              <w:pStyle w:val="NoSpacing"/>
              <w:spacing w:line="276" w:lineRule="auto"/>
              <w:ind w:left="720"/>
            </w:pPr>
            <w:r>
              <w:t xml:space="preserve">          </w:t>
            </w:r>
            <w:r w:rsidRPr="00496257">
              <w:t xml:space="preserve">target/benchmark population) statistically applicable </w:t>
            </w:r>
          </w:p>
          <w:p w14:paraId="2E4F2262" w14:textId="77777777" w:rsidR="00886FAC" w:rsidRPr="00496257" w:rsidRDefault="00886FAC" w:rsidP="00886FAC">
            <w:pPr>
              <w:pStyle w:val="NoSpacing"/>
              <w:spacing w:line="276" w:lineRule="auto"/>
            </w:pPr>
            <w:r w:rsidRPr="22C5AE80">
              <w:rPr>
                <w:b/>
                <w:bCs/>
                <w:color w:val="0071BC"/>
              </w:rPr>
              <w:t>Challenge 3</w:t>
            </w:r>
            <w:r>
              <w:t xml:space="preserve">: Address how to deal with statistical uncertainty in the target/benchmark       </w:t>
            </w:r>
          </w:p>
          <w:p w14:paraId="2CE6C4B9" w14:textId="77777777" w:rsidR="00886FAC" w:rsidRPr="00496257" w:rsidRDefault="00886FAC" w:rsidP="00886FAC">
            <w:pPr>
              <w:pStyle w:val="NoSpacing"/>
              <w:spacing w:line="276" w:lineRule="auto"/>
            </w:pPr>
            <w:r>
              <w:t xml:space="preserve">                      values</w:t>
            </w:r>
          </w:p>
          <w:p w14:paraId="2C15ACBF" w14:textId="77777777" w:rsidR="00886FAC" w:rsidRPr="00496257" w:rsidRDefault="00886FAC" w:rsidP="00886FAC">
            <w:pPr>
              <w:pStyle w:val="NoSpacing"/>
              <w:spacing w:line="276" w:lineRule="auto"/>
            </w:pPr>
            <w:r w:rsidRPr="00496257">
              <w:rPr>
                <w:b/>
                <w:bCs/>
                <w:color w:val="0072BC" w:themeColor="accent1"/>
              </w:rPr>
              <w:t>Challenge 4</w:t>
            </w:r>
            <w:r w:rsidRPr="00496257">
              <w:t>: Specify how missing data points should be dealt with</w:t>
            </w:r>
          </w:p>
          <w:p w14:paraId="6F6FA651" w14:textId="77777777" w:rsidR="00886FAC" w:rsidRDefault="00886FAC" w:rsidP="00886FAC">
            <w:pPr>
              <w:pStyle w:val="NoSpacing"/>
              <w:keepNext/>
              <w:spacing w:line="276" w:lineRule="auto"/>
            </w:pPr>
            <w:r w:rsidRPr="00496257">
              <w:rPr>
                <w:b/>
                <w:bCs/>
                <w:color w:val="0072BC" w:themeColor="accent1"/>
              </w:rPr>
              <w:t>Challe</w:t>
            </w:r>
            <w:r w:rsidR="00575020">
              <w:rPr>
                <w:b/>
                <w:bCs/>
                <w:color w:val="0072BC" w:themeColor="accent1"/>
              </w:rPr>
              <w:t>n</w:t>
            </w:r>
            <w:r w:rsidRPr="00496257">
              <w:rPr>
                <w:b/>
                <w:bCs/>
                <w:color w:val="0072BC" w:themeColor="accent1"/>
              </w:rPr>
              <w:t>ge 5</w:t>
            </w:r>
            <w:r w:rsidRPr="00496257">
              <w:t>: Define the comparator population</w:t>
            </w:r>
          </w:p>
          <w:p w14:paraId="0237BF5E" w14:textId="77777777" w:rsidR="00CF7641" w:rsidRDefault="000E1D74" w:rsidP="00CF7641">
            <w:pPr>
              <w:pStyle w:val="NoSpacing"/>
              <w:keepNext/>
              <w:spacing w:line="276" w:lineRule="auto"/>
            </w:pPr>
            <w:r w:rsidRPr="0057388F">
              <w:rPr>
                <w:b/>
                <w:bCs/>
                <w:color w:val="0072BC" w:themeColor="accent1"/>
              </w:rPr>
              <w:t>Challenge 6:</w:t>
            </w:r>
            <w:r w:rsidRPr="0057388F">
              <w:rPr>
                <w:color w:val="0072BC" w:themeColor="accent1"/>
              </w:rPr>
              <w:t xml:space="preserve"> </w:t>
            </w:r>
            <w:r w:rsidR="0057388F">
              <w:t>Address changing benchmark values</w:t>
            </w:r>
            <w:r w:rsidR="009B0BC1">
              <w:t xml:space="preserve"> over time</w:t>
            </w:r>
          </w:p>
          <w:p w14:paraId="3EB8EAE3" w14:textId="4B010C0A" w:rsidR="0057388F" w:rsidRPr="00886FAC" w:rsidRDefault="0057388F" w:rsidP="00CF7641">
            <w:pPr>
              <w:pStyle w:val="NoSpacing"/>
              <w:keepNext/>
              <w:spacing w:line="276" w:lineRule="auto"/>
            </w:pPr>
            <w:r w:rsidRPr="005010A6">
              <w:rPr>
                <w:b/>
                <w:bCs/>
                <w:color w:val="0072BC" w:themeColor="accent1"/>
              </w:rPr>
              <w:t>Challenge 7</w:t>
            </w:r>
            <w:r w:rsidRPr="0068067B">
              <w:rPr>
                <w:color w:val="0072BC" w:themeColor="accent1"/>
              </w:rPr>
              <w:t xml:space="preserve">: </w:t>
            </w:r>
            <w:r w:rsidR="0068067B">
              <w:t>Specify how assistance is factored into the solutions measure</w:t>
            </w:r>
          </w:p>
        </w:tc>
      </w:tr>
    </w:tbl>
    <w:p w14:paraId="655A2E70" w14:textId="4FB4645E" w:rsidR="00AF217D" w:rsidRDefault="00AF217D" w:rsidP="00AF217D">
      <w:bookmarkStart w:id="4" w:name="_Toc63432131"/>
    </w:p>
    <w:p w14:paraId="567B3EAB" w14:textId="0B237B49" w:rsidR="00AF217D" w:rsidRDefault="00AF217D" w:rsidP="00AF217D">
      <w:r>
        <w:t>This note aims to advance the debate on the above-listed challenges 1 and 2.</w:t>
      </w:r>
    </w:p>
    <w:p w14:paraId="757AD4B4" w14:textId="004154AD" w:rsidR="00F73F0D" w:rsidRDefault="00FB1F24" w:rsidP="0071117C">
      <w:pPr>
        <w:pStyle w:val="Heading2"/>
      </w:pPr>
      <w:r>
        <w:t xml:space="preserve">Ways forward </w:t>
      </w:r>
      <w:r w:rsidR="00EB5983">
        <w:t>for</w:t>
      </w:r>
      <w:r>
        <w:t xml:space="preserve"> </w:t>
      </w:r>
      <w:r w:rsidR="00EB5983">
        <w:t>indicator and</w:t>
      </w:r>
      <w:r>
        <w:t xml:space="preserve"> metric choice</w:t>
      </w:r>
      <w:bookmarkEnd w:id="4"/>
    </w:p>
    <w:p w14:paraId="0F773D96" w14:textId="40CACB75" w:rsidR="00411387" w:rsidRDefault="00065C5F" w:rsidP="00171551">
      <w:pPr>
        <w:jc w:val="both"/>
      </w:pPr>
      <w:r>
        <w:t>One</w:t>
      </w:r>
      <w:r w:rsidR="00EB5983">
        <w:t xml:space="preserve"> </w:t>
      </w:r>
      <w:r w:rsidR="00574FF9">
        <w:t xml:space="preserve">next step to advance the solutions measure is to identify the indicators that should be used to measure the </w:t>
      </w:r>
      <w:r w:rsidR="00D23B70">
        <w:t xml:space="preserve">10 </w:t>
      </w:r>
      <w:r w:rsidR="00574FF9">
        <w:t>sub-criteria for a durable solution</w:t>
      </w:r>
      <w:r w:rsidR="0087077A">
        <w:t xml:space="preserve"> (“challenge 1” above)</w:t>
      </w:r>
      <w:r w:rsidR="00574FF9">
        <w:t xml:space="preserve">. </w:t>
      </w:r>
      <w:r w:rsidR="0008357A">
        <w:t xml:space="preserve">The choice </w:t>
      </w:r>
      <w:r w:rsidR="0008357A">
        <w:lastRenderedPageBreak/>
        <w:t xml:space="preserve">of the right indicators </w:t>
      </w:r>
      <w:r w:rsidR="008D5EF6">
        <w:t>is</w:t>
      </w:r>
      <w:r w:rsidR="0008357A">
        <w:t xml:space="preserve"> complex. </w:t>
      </w:r>
      <w:r w:rsidR="00574FF9">
        <w:t>Political sensitivities, contextual differences between displacement situations, comparability across different contexts and comparator populations</w:t>
      </w:r>
      <w:r w:rsidR="006F6C77">
        <w:t xml:space="preserve"> as well as availability of data to measure the indicators may play a role in the final decision </w:t>
      </w:r>
      <w:r w:rsidR="0008357A">
        <w:t>to</w:t>
      </w:r>
      <w:r w:rsidR="006F6C77">
        <w:t xml:space="preserve"> operationaliz</w:t>
      </w:r>
      <w:r w:rsidR="0008357A">
        <w:t xml:space="preserve">e the 10 sub-criteria. </w:t>
      </w:r>
      <w:r w:rsidR="005B3894">
        <w:t>A</w:t>
      </w:r>
      <w:r w:rsidR="00CC157E">
        <w:t xml:space="preserve">ccording to IRIS, </w:t>
      </w:r>
      <w:r w:rsidR="008D5EF6">
        <w:t xml:space="preserve">possible indicators </w:t>
      </w:r>
      <w:r w:rsidR="00327B5A">
        <w:t xml:space="preserve">should be </w:t>
      </w:r>
      <w:r w:rsidR="00327B5A" w:rsidRPr="005B3894">
        <w:rPr>
          <w:b/>
          <w:bCs/>
        </w:rPr>
        <w:t>commonly used</w:t>
      </w:r>
      <w:r w:rsidR="00327B5A">
        <w:t xml:space="preserve"> </w:t>
      </w:r>
      <w:r w:rsidR="00984F0F">
        <w:t xml:space="preserve">(e.g. </w:t>
      </w:r>
      <w:r w:rsidR="005B3894">
        <w:t>the indicator is required for SDG reporting)</w:t>
      </w:r>
      <w:r w:rsidR="00F74BFB">
        <w:t xml:space="preserve">; </w:t>
      </w:r>
      <w:r w:rsidR="003F0CC4">
        <w:t>an</w:t>
      </w:r>
      <w:r w:rsidR="00F74BFB">
        <w:t xml:space="preserve"> indicator should be </w:t>
      </w:r>
      <w:r w:rsidR="00F74BFB" w:rsidRPr="00F74BFB">
        <w:rPr>
          <w:b/>
          <w:bCs/>
        </w:rPr>
        <w:t>tested and evaluated</w:t>
      </w:r>
      <w:r w:rsidR="00F74BFB">
        <w:t xml:space="preserve"> to </w:t>
      </w:r>
      <w:r w:rsidR="003F0CC4">
        <w:t xml:space="preserve">satisfy quality criteria and comply with international standards; and an indicator should </w:t>
      </w:r>
      <w:r w:rsidR="003F0CC4" w:rsidRPr="003F0CC4">
        <w:rPr>
          <w:b/>
          <w:bCs/>
        </w:rPr>
        <w:t>cover the population in question</w:t>
      </w:r>
      <w:r w:rsidR="003F0CC4">
        <w:t xml:space="preserve"> (i.e. </w:t>
      </w:r>
      <w:r w:rsidR="001A2A20">
        <w:t>school enrolment is widely recognized as a good indicator for measuring access to education, but it would not give any information on IDP households which do not have children</w:t>
      </w:r>
      <w:r w:rsidR="003F0CC4">
        <w:t xml:space="preserve">). </w:t>
      </w:r>
    </w:p>
    <w:p w14:paraId="7F669CD8" w14:textId="60251D41" w:rsidR="00E2653B" w:rsidRDefault="00A155AC" w:rsidP="00E2653B">
      <w:pPr>
        <w:jc w:val="both"/>
      </w:pPr>
      <w:r>
        <w:t>While recommending the ‘best’ indicators to measure the 10 sub-criteria is beyond the scope</w:t>
      </w:r>
      <w:r w:rsidR="00630C74">
        <w:t xml:space="preserve"> of this note</w:t>
      </w:r>
      <w:r>
        <w:t xml:space="preserve">, </w:t>
      </w:r>
      <w:r w:rsidR="001034A1">
        <w:t xml:space="preserve">this note takes </w:t>
      </w:r>
      <w:r w:rsidR="00A4232D">
        <w:t>an</w:t>
      </w:r>
      <w:r>
        <w:t xml:space="preserve"> empirical approach </w:t>
      </w:r>
      <w:r w:rsidR="001034A1">
        <w:t>to simulate</w:t>
      </w:r>
      <w:r w:rsidR="00C661D4">
        <w:t xml:space="preserve"> how the choice of indicators </w:t>
      </w:r>
      <w:r w:rsidR="009D1D49">
        <w:t>affects the outcome of the solutions measure</w:t>
      </w:r>
      <w:r w:rsidR="00DC5602">
        <w:t xml:space="preserve">, that is the number of IDPs that would leave a national stock </w:t>
      </w:r>
      <w:r w:rsidR="00FB717A">
        <w:t xml:space="preserve">in different </w:t>
      </w:r>
      <w:r w:rsidR="00A4232D">
        <w:t xml:space="preserve">displacement </w:t>
      </w:r>
      <w:r w:rsidR="00FB717A">
        <w:t>contexts</w:t>
      </w:r>
      <w:r w:rsidR="009D1D49">
        <w:t>.</w:t>
      </w:r>
      <w:r w:rsidR="001E0B2A">
        <w:t xml:space="preserve"> </w:t>
      </w:r>
      <w:r w:rsidR="00C342BC">
        <w:t>Importan</w:t>
      </w:r>
      <w:r w:rsidR="00F23B74">
        <w:t xml:space="preserve">tly, this is a </w:t>
      </w:r>
      <w:r w:rsidR="003E0B12">
        <w:t xml:space="preserve">technical assessment that </w:t>
      </w:r>
      <w:r w:rsidR="00241A83">
        <w:t>generates</w:t>
      </w:r>
      <w:r w:rsidR="00D41704">
        <w:t xml:space="preserve"> practical</w:t>
      </w:r>
      <w:r w:rsidR="003E0B12">
        <w:t xml:space="preserve"> information on 1)</w:t>
      </w:r>
      <w:r w:rsidR="00D41704">
        <w:t xml:space="preserve"> the extent to which t</w:t>
      </w:r>
      <w:r w:rsidR="003E0B12">
        <w:t>h</w:t>
      </w:r>
      <w:r w:rsidR="00240299">
        <w:t>e indicator choice for each sub-criterion matter</w:t>
      </w:r>
      <w:r w:rsidR="00D41704">
        <w:t>s</w:t>
      </w:r>
      <w:r w:rsidR="00240299">
        <w:t xml:space="preserve"> and 2) </w:t>
      </w:r>
      <w:r w:rsidR="00D41704">
        <w:t xml:space="preserve">the statistical </w:t>
      </w:r>
      <w:r w:rsidR="002F6FE0">
        <w:t xml:space="preserve">characteristics or quality </w:t>
      </w:r>
      <w:r w:rsidR="004E045A">
        <w:t xml:space="preserve">standards </w:t>
      </w:r>
      <w:r w:rsidR="00D41704">
        <w:t>that an indicator should</w:t>
      </w:r>
      <w:r w:rsidR="004E045A">
        <w:t xml:space="preserve"> fulfil to be suitable from a statistical perspective</w:t>
      </w:r>
      <w:r w:rsidR="00D41704">
        <w:t xml:space="preserve">.  </w:t>
      </w:r>
      <w:r w:rsidR="001034A1">
        <w:t>This can inform dialogue on higher political levels on the</w:t>
      </w:r>
      <w:r w:rsidR="00C53AF1">
        <w:t xml:space="preserve"> right</w:t>
      </w:r>
      <w:r w:rsidR="001034A1">
        <w:t xml:space="preserve"> </w:t>
      </w:r>
      <w:r w:rsidR="00E2653B">
        <w:t xml:space="preserve">indicator </w:t>
      </w:r>
      <w:r w:rsidR="00D23B70">
        <w:t>choice,</w:t>
      </w:r>
      <w:r w:rsidR="00420E11">
        <w:t xml:space="preserve"> but it does not lead to a final set of indicators that should be used</w:t>
      </w:r>
      <w:r w:rsidR="00E2653B">
        <w:t xml:space="preserve">. </w:t>
      </w:r>
    </w:p>
    <w:p w14:paraId="6DA9EDE5" w14:textId="03BA5348" w:rsidR="00A65FFE" w:rsidRDefault="00197D19" w:rsidP="00E21164">
      <w:pPr>
        <w:jc w:val="both"/>
      </w:pPr>
      <w:r>
        <w:t>Another necessary</w:t>
      </w:r>
      <w:r w:rsidR="00C53AF1">
        <w:t xml:space="preserve"> next</w:t>
      </w:r>
      <w:r w:rsidR="00EA3856">
        <w:t xml:space="preserve"> step towards a full metric </w:t>
      </w:r>
      <w:r w:rsidR="00093F96">
        <w:t xml:space="preserve">is </w:t>
      </w:r>
      <w:r w:rsidR="0078009D">
        <w:t>to</w:t>
      </w:r>
      <w:r w:rsidR="00EA3856">
        <w:t xml:space="preserve"> address how the </w:t>
      </w:r>
      <w:r w:rsidR="00093F96">
        <w:t xml:space="preserve">different indicators are combined and </w:t>
      </w:r>
      <w:r w:rsidR="0078009D">
        <w:t xml:space="preserve">then </w:t>
      </w:r>
      <w:r w:rsidR="00093F96">
        <w:t xml:space="preserve">compared to the national population or </w:t>
      </w:r>
      <w:r w:rsidR="0078009D">
        <w:t xml:space="preserve">the </w:t>
      </w:r>
      <w:r w:rsidR="00093F96">
        <w:t xml:space="preserve">host community </w:t>
      </w:r>
      <w:r w:rsidR="0078009D">
        <w:t>in a statistically applicable way</w:t>
      </w:r>
      <w:r w:rsidR="00630C74">
        <w:t xml:space="preserve"> (“challenge 2” in the above list)</w:t>
      </w:r>
      <w:r w:rsidR="0078009D">
        <w:t xml:space="preserve">. </w:t>
      </w:r>
      <w:r w:rsidR="00B340F5">
        <w:t>D</w:t>
      </w:r>
      <w:r w:rsidR="00E21164">
        <w:t xml:space="preserve">ifferent </w:t>
      </w:r>
      <w:r w:rsidR="00696818">
        <w:t>metrics</w:t>
      </w:r>
      <w:r w:rsidR="00E21164">
        <w:t>, or combinations of indicators and comparisons with a benchmark population</w:t>
      </w:r>
      <w:r w:rsidR="0047464C">
        <w:t>,</w:t>
      </w:r>
      <w:r w:rsidR="00B340F5">
        <w:t xml:space="preserve"> are possible </w:t>
      </w:r>
      <w:r w:rsidR="00301074">
        <w:t>to implement</w:t>
      </w:r>
      <w:r w:rsidR="00E835E7">
        <w:t xml:space="preserve"> the </w:t>
      </w:r>
      <w:r w:rsidR="00B340F5">
        <w:t xml:space="preserve">current </w:t>
      </w:r>
      <w:r w:rsidR="00041E90">
        <w:t>IRIS solution measure</w:t>
      </w:r>
      <w:r w:rsidR="00C63AC3">
        <w:t xml:space="preserve">. </w:t>
      </w:r>
      <w:r w:rsidR="006254BE">
        <w:t>The overall aim is to be able to compare an IDP household to a benchmark on all 10 sub-criteria to decide whether a household performs the same or even better than the national average or the host community</w:t>
      </w:r>
      <w:r w:rsidR="00BF5CE2">
        <w:t xml:space="preserve"> and should hence </w:t>
      </w:r>
      <w:r w:rsidR="00517C46">
        <w:t>no longer</w:t>
      </w:r>
      <w:r w:rsidR="00125522">
        <w:t xml:space="preserve"> </w:t>
      </w:r>
      <w:r w:rsidR="00BF5CE2">
        <w:t>be counted as IDP</w:t>
      </w:r>
      <w:r w:rsidR="00D23B70">
        <w:t xml:space="preserve"> household</w:t>
      </w:r>
      <w:r w:rsidR="00BF5CE2">
        <w:t xml:space="preserve"> in official statistics.  </w:t>
      </w:r>
      <w:r w:rsidR="008306D9">
        <w:t>As this comparability is currently not technically applicable in the IRIS solutions metric, different option</w:t>
      </w:r>
      <w:r w:rsidR="00041E90">
        <w:t>s</w:t>
      </w:r>
      <w:r w:rsidR="008306D9">
        <w:t xml:space="preserve"> are available to revise the </w:t>
      </w:r>
      <w:r w:rsidR="00CD632D">
        <w:t xml:space="preserve">proposed </w:t>
      </w:r>
      <w:r w:rsidR="00041E90">
        <w:t>measure</w:t>
      </w:r>
      <w:r w:rsidR="00CD632D">
        <w:t xml:space="preserve">: </w:t>
      </w:r>
    </w:p>
    <w:p w14:paraId="77D70F04" w14:textId="6AF0320E" w:rsidR="00C06C87" w:rsidRDefault="00851D5C" w:rsidP="00E21164">
      <w:pPr>
        <w:jc w:val="both"/>
        <w:rPr>
          <w:i/>
          <w:iCs/>
        </w:rPr>
      </w:pPr>
      <w:r>
        <w:rPr>
          <w:i/>
          <w:iCs/>
        </w:rPr>
        <w:t xml:space="preserve">Pass/fail measure: </w:t>
      </w:r>
      <w:r w:rsidR="008322AF">
        <w:rPr>
          <w:i/>
          <w:iCs/>
        </w:rPr>
        <w:t xml:space="preserve">Implementing the IRIS without a </w:t>
      </w:r>
      <w:r w:rsidR="00A65FFE">
        <w:rPr>
          <w:i/>
          <w:iCs/>
        </w:rPr>
        <w:t>comparator population</w:t>
      </w:r>
      <w:r w:rsidR="00661215">
        <w:rPr>
          <w:rStyle w:val="FootnoteReference"/>
          <w:i/>
          <w:iCs/>
        </w:rPr>
        <w:footnoteReference w:id="4"/>
      </w:r>
    </w:p>
    <w:p w14:paraId="3B3D61A9" w14:textId="495C2BD8" w:rsidR="009B2EEE" w:rsidRPr="00987049" w:rsidRDefault="00C63AC3" w:rsidP="00E21164">
      <w:pPr>
        <w:jc w:val="both"/>
      </w:pPr>
      <w:r>
        <w:t>The current</w:t>
      </w:r>
      <w:r w:rsidR="009148C7">
        <w:t xml:space="preserve"> </w:t>
      </w:r>
      <w:r>
        <w:t>measure described in IRIS</w:t>
      </w:r>
      <w:r w:rsidR="009148C7">
        <w:t xml:space="preserve"> does not allow for a meaningful comparison between IDPs and host communities/national averages</w:t>
      </w:r>
      <w:r w:rsidR="00AA5ED3">
        <w:t xml:space="preserve">. One could make the decision to </w:t>
      </w:r>
      <w:r w:rsidR="00FB1B08">
        <w:t xml:space="preserve">fully focus on a pass/fail decision on the </w:t>
      </w:r>
      <w:r w:rsidR="00B179C2">
        <w:t>sub-criterion level</w:t>
      </w:r>
      <w:r w:rsidR="00FB1B08">
        <w:t xml:space="preserve"> </w:t>
      </w:r>
      <w:r w:rsidR="009148C7">
        <w:t>(</w:t>
      </w:r>
      <w:r w:rsidR="00FB1B08">
        <w:t xml:space="preserve">as demonstrated in </w:t>
      </w:r>
      <w:r w:rsidR="009148C7">
        <w:t>table 2</w:t>
      </w:r>
      <w:r w:rsidR="00AA5ED3">
        <w:t xml:space="preserve"> above</w:t>
      </w:r>
      <w:r w:rsidR="009148C7">
        <w:t>)</w:t>
      </w:r>
      <w:r w:rsidR="007B285A">
        <w:t xml:space="preserve"> by only assessing whether a household </w:t>
      </w:r>
      <w:r w:rsidR="00DD4A89">
        <w:t>achieves the sub-criterion</w:t>
      </w:r>
      <w:r w:rsidR="00B179C2">
        <w:t xml:space="preserve">. </w:t>
      </w:r>
      <w:r w:rsidR="005740E0">
        <w:t>This is not a desirable option because no comparison takes place</w:t>
      </w:r>
      <w:r w:rsidR="002C62C7">
        <w:t>, and it thereby fails to comply with the fundamental logic set out in IRIS</w:t>
      </w:r>
      <w:r w:rsidR="00A50C10">
        <w:t xml:space="preserve"> for a solutions measure, which is that it should be </w:t>
      </w:r>
      <w:r w:rsidR="007303B2">
        <w:t xml:space="preserve">assessed </w:t>
      </w:r>
      <w:r w:rsidR="00A50C10">
        <w:t xml:space="preserve">relative to a </w:t>
      </w:r>
      <w:r w:rsidR="008F23B9">
        <w:t xml:space="preserve">host/national </w:t>
      </w:r>
      <w:r w:rsidR="00A50C10">
        <w:t>benchmark</w:t>
      </w:r>
      <w:r w:rsidR="005740E0">
        <w:t xml:space="preserve">. </w:t>
      </w:r>
      <w:r w:rsidR="00A50C10">
        <w:t xml:space="preserve">A consequence of a context-blind pass/fail approach is that </w:t>
      </w:r>
      <w:r w:rsidR="005740E0">
        <w:t xml:space="preserve">this option is likely to produce very low numbers of IDPs </w:t>
      </w:r>
      <w:r w:rsidR="00DD4A89">
        <w:t xml:space="preserve">overcoming their vulnerabilities </w:t>
      </w:r>
      <w:r w:rsidR="005740E0">
        <w:t xml:space="preserve">because </w:t>
      </w:r>
      <w:r w:rsidR="007B285A">
        <w:t xml:space="preserve">achieving </w:t>
      </w:r>
      <w:r w:rsidR="00DD4A89">
        <w:t xml:space="preserve">a ‘one’ for all 10 indicators is a hard threshold </w:t>
      </w:r>
      <w:r w:rsidR="0055725F">
        <w:t>in many displacement contexts</w:t>
      </w:r>
      <w:r w:rsidR="00661215">
        <w:t>.</w:t>
      </w:r>
      <w:r w:rsidR="00FA39EC">
        <w:t xml:space="preserve"> </w:t>
      </w:r>
      <w:r w:rsidR="007B285A">
        <w:t xml:space="preserve"> </w:t>
      </w:r>
    </w:p>
    <w:p w14:paraId="7284DB2B" w14:textId="4972268A" w:rsidR="00455E41" w:rsidRPr="00455E41" w:rsidRDefault="00455E41" w:rsidP="00E21164">
      <w:pPr>
        <w:jc w:val="both"/>
        <w:rPr>
          <w:i/>
          <w:iCs/>
        </w:rPr>
      </w:pPr>
      <w:r>
        <w:rPr>
          <w:i/>
          <w:iCs/>
        </w:rPr>
        <w:t>Option 1: An actual composite metric across all criteria</w:t>
      </w:r>
    </w:p>
    <w:p w14:paraId="56256952" w14:textId="4D9C3B96" w:rsidR="009B2EEE" w:rsidRDefault="003F5F56" w:rsidP="00455E41">
      <w:pPr>
        <w:jc w:val="both"/>
        <w:rPr>
          <w:rFonts w:cstheme="minorHAnsi"/>
        </w:rPr>
      </w:pPr>
      <w:r w:rsidRPr="00442FD4">
        <w:rPr>
          <w:rFonts w:cstheme="minorHAnsi"/>
        </w:rPr>
        <w:t>The</w:t>
      </w:r>
      <w:r>
        <w:rPr>
          <w:rFonts w:cstheme="minorHAnsi"/>
          <w:i/>
          <w:iCs/>
        </w:rPr>
        <w:t xml:space="preserve"> </w:t>
      </w:r>
      <w:r>
        <w:rPr>
          <w:rFonts w:cstheme="minorHAnsi"/>
        </w:rPr>
        <w:t>approach currently outlined in IRIS is described therein as a “composite” measure, which strictly speaking it is not, considering that a single indicator per sub-criterion is implicitly assumed and a pass needs to be achieved in each sub-criterion/indicator. One option to explore that aligns with the contextualized approach would be to r</w:t>
      </w:r>
      <w:r w:rsidRPr="00A25A75">
        <w:rPr>
          <w:rFonts w:cstheme="minorHAnsi"/>
        </w:rPr>
        <w:t>edefine the overall framework as a</w:t>
      </w:r>
      <w:r>
        <w:rPr>
          <w:rFonts w:cstheme="minorHAnsi"/>
        </w:rPr>
        <w:t>n actual</w:t>
      </w:r>
      <w:r w:rsidRPr="00A25A75">
        <w:rPr>
          <w:rFonts w:cstheme="minorHAnsi"/>
        </w:rPr>
        <w:t xml:space="preserve"> composite index</w:t>
      </w:r>
      <w:r>
        <w:rPr>
          <w:rFonts w:cstheme="minorHAnsi"/>
        </w:rPr>
        <w:t>.</w:t>
      </w:r>
      <w:r w:rsidRPr="00A25A75">
        <w:rPr>
          <w:rFonts w:cstheme="minorHAnsi"/>
        </w:rPr>
        <w:t xml:space="preserve"> A composite index groups together indicators </w:t>
      </w:r>
      <w:r>
        <w:rPr>
          <w:rFonts w:cstheme="minorHAnsi"/>
        </w:rPr>
        <w:t xml:space="preserve">across all criteria </w:t>
      </w:r>
      <w:r w:rsidRPr="00A25A75">
        <w:rPr>
          <w:rFonts w:cstheme="minorHAnsi"/>
        </w:rPr>
        <w:t xml:space="preserve">to one score. This household level index could then be more readily compared to </w:t>
      </w:r>
      <w:r w:rsidRPr="00A25A75">
        <w:rPr>
          <w:rFonts w:cstheme="minorHAnsi"/>
        </w:rPr>
        <w:lastRenderedPageBreak/>
        <w:t xml:space="preserve">the average </w:t>
      </w:r>
      <w:r>
        <w:rPr>
          <w:rFonts w:cstheme="minorHAnsi"/>
        </w:rPr>
        <w:t xml:space="preserve">value of the same </w:t>
      </w:r>
      <w:r w:rsidRPr="00A25A75">
        <w:rPr>
          <w:rFonts w:cstheme="minorHAnsi"/>
        </w:rPr>
        <w:t xml:space="preserve">composite index in the comparator population. </w:t>
      </w:r>
      <w:r>
        <w:rPr>
          <w:rFonts w:cstheme="minorHAnsi"/>
        </w:rPr>
        <w:t>T</w:t>
      </w:r>
      <w:r w:rsidRPr="00A25A75">
        <w:rPr>
          <w:rFonts w:cstheme="minorHAnsi"/>
        </w:rPr>
        <w:t>he</w:t>
      </w:r>
      <w:r>
        <w:rPr>
          <w:rFonts w:cstheme="minorHAnsi"/>
        </w:rPr>
        <w:t xml:space="preserve"> shortcoming of this approach is that a household may be taken </w:t>
      </w:r>
      <w:r w:rsidRPr="00A25A75">
        <w:rPr>
          <w:rFonts w:cstheme="minorHAnsi"/>
        </w:rPr>
        <w:t xml:space="preserve">out of the IDP stock despite </w:t>
      </w:r>
      <w:r>
        <w:rPr>
          <w:rFonts w:cstheme="minorHAnsi"/>
        </w:rPr>
        <w:t xml:space="preserve">underperformance on a specific </w:t>
      </w:r>
      <w:r w:rsidRPr="00A25A75">
        <w:rPr>
          <w:rFonts w:cstheme="minorHAnsi"/>
        </w:rPr>
        <w:t>key</w:t>
      </w:r>
      <w:r>
        <w:rPr>
          <w:rFonts w:cstheme="minorHAnsi"/>
        </w:rPr>
        <w:t xml:space="preserve"> criterion or sub-criterion (which is a deviation from the IRIS requirement that a pass needs to be achieved </w:t>
      </w:r>
      <w:r w:rsidRPr="00FF07C8">
        <w:rPr>
          <w:rFonts w:cstheme="minorHAnsi"/>
        </w:rPr>
        <w:t>at the sub-criterion level</w:t>
      </w:r>
      <w:r>
        <w:rPr>
          <w:rFonts w:cstheme="minorHAnsi"/>
        </w:rPr>
        <w:t>)</w:t>
      </w:r>
      <w:r w:rsidRPr="00A25A75">
        <w:rPr>
          <w:rFonts w:cstheme="minorHAnsi"/>
        </w:rPr>
        <w:t xml:space="preserve">. </w:t>
      </w:r>
    </w:p>
    <w:p w14:paraId="02B17945" w14:textId="77777777" w:rsidR="00977B70" w:rsidRPr="00F44DF0" w:rsidRDefault="00977B70" w:rsidP="006D6FCC">
      <w:pPr>
        <w:pStyle w:val="TabFigSW"/>
      </w:pPr>
      <w:r w:rsidRPr="00F44DF0">
        <w:t>Option 1: A full composite metric for all sub-criteria</w:t>
      </w:r>
    </w:p>
    <w:tbl>
      <w:tblPr>
        <w:tblStyle w:val="PlainTable2"/>
        <w:tblW w:w="9026" w:type="dxa"/>
        <w:tblLook w:val="04A0" w:firstRow="1" w:lastRow="0" w:firstColumn="1" w:lastColumn="0" w:noHBand="0" w:noVBand="1"/>
      </w:tblPr>
      <w:tblGrid>
        <w:gridCol w:w="1424"/>
        <w:gridCol w:w="2829"/>
        <w:gridCol w:w="1559"/>
        <w:gridCol w:w="3214"/>
      </w:tblGrid>
      <w:tr w:rsidR="00977B70" w:rsidRPr="00CE1C14" w14:paraId="0705B7EB"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000000"/>
            </w:tcBorders>
          </w:tcPr>
          <w:p w14:paraId="6D85F74C" w14:textId="77777777" w:rsidR="00977B70" w:rsidRPr="00CE1C14" w:rsidRDefault="00977B70" w:rsidP="00271CB3">
            <w:pPr>
              <w:pStyle w:val="NoSpacing"/>
              <w:rPr>
                <w:rFonts w:eastAsiaTheme="minorHAnsi"/>
                <w:sz w:val="18"/>
                <w:szCs w:val="18"/>
              </w:rPr>
            </w:pPr>
          </w:p>
        </w:tc>
        <w:tc>
          <w:tcPr>
            <w:tcW w:w="2829" w:type="dxa"/>
            <w:tcBorders>
              <w:bottom w:val="single" w:sz="12" w:space="0" w:color="000000"/>
            </w:tcBorders>
          </w:tcPr>
          <w:p w14:paraId="476D1765" w14:textId="77777777" w:rsidR="00977B70" w:rsidRPr="00CE1C14" w:rsidRDefault="00977B70"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CE1C14">
              <w:rPr>
                <w:rFonts w:eastAsiaTheme="minorHAnsi"/>
                <w:color w:val="002F59" w:themeColor="text2"/>
                <w:sz w:val="18"/>
                <w:szCs w:val="18"/>
              </w:rPr>
              <w:t>Sub-criterion</w:t>
            </w:r>
          </w:p>
        </w:tc>
        <w:tc>
          <w:tcPr>
            <w:tcW w:w="1559" w:type="dxa"/>
            <w:tcBorders>
              <w:bottom w:val="single" w:sz="12" w:space="0" w:color="000000"/>
            </w:tcBorders>
          </w:tcPr>
          <w:p w14:paraId="3F27671E" w14:textId="77777777" w:rsidR="00977B70" w:rsidRPr="00CE1C14" w:rsidRDefault="00977B70"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Indicator</w:t>
            </w:r>
          </w:p>
        </w:tc>
        <w:tc>
          <w:tcPr>
            <w:tcW w:w="3214" w:type="dxa"/>
            <w:tcBorders>
              <w:bottom w:val="single" w:sz="12" w:space="0" w:color="000000"/>
            </w:tcBorders>
          </w:tcPr>
          <w:p w14:paraId="65ABB32D" w14:textId="77777777" w:rsidR="00977B70" w:rsidRPr="00CE1C14" w:rsidRDefault="00977B70"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p>
        </w:tc>
      </w:tr>
      <w:tr w:rsidR="00977B70" w:rsidRPr="00CE1C14" w14:paraId="36A19FC8"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424" w:type="dxa"/>
            <w:vMerge w:val="restart"/>
            <w:tcBorders>
              <w:top w:val="single" w:sz="12" w:space="0" w:color="000000"/>
            </w:tcBorders>
          </w:tcPr>
          <w:p w14:paraId="016D5B70" w14:textId="77777777" w:rsidR="00977B70" w:rsidRPr="00CE1C14" w:rsidRDefault="00977B70" w:rsidP="00271CB3">
            <w:pPr>
              <w:pStyle w:val="NoSpacing"/>
              <w:rPr>
                <w:rFonts w:eastAsiaTheme="minorHAnsi"/>
                <w:sz w:val="18"/>
                <w:szCs w:val="18"/>
              </w:rPr>
            </w:pPr>
            <w:r w:rsidRPr="00CE1C14">
              <w:rPr>
                <w:rFonts w:eastAsiaTheme="minorHAnsi"/>
                <w:sz w:val="18"/>
                <w:szCs w:val="18"/>
              </w:rPr>
              <w:t>Household A</w:t>
            </w:r>
          </w:p>
        </w:tc>
        <w:tc>
          <w:tcPr>
            <w:tcW w:w="2829" w:type="dxa"/>
            <w:tcBorders>
              <w:top w:val="single" w:sz="12" w:space="0" w:color="000000"/>
            </w:tcBorders>
          </w:tcPr>
          <w:p w14:paraId="5B59797B"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Avenir"/>
                <w:sz w:val="18"/>
                <w:szCs w:val="18"/>
              </w:rPr>
              <w:t>1.1 Victims of violence</w:t>
            </w:r>
          </w:p>
        </w:tc>
        <w:tc>
          <w:tcPr>
            <w:tcW w:w="1559" w:type="dxa"/>
            <w:tcBorders>
              <w:top w:val="single" w:sz="12" w:space="0" w:color="000000"/>
            </w:tcBorders>
          </w:tcPr>
          <w:p w14:paraId="12963A74"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1.1.a </w:t>
            </w:r>
          </w:p>
        </w:tc>
        <w:tc>
          <w:tcPr>
            <w:tcW w:w="3214" w:type="dxa"/>
            <w:tcBorders>
              <w:top w:val="single" w:sz="12" w:space="0" w:color="000000"/>
            </w:tcBorders>
          </w:tcPr>
          <w:p w14:paraId="284D401F"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6E6A2312" w14:textId="77777777" w:rsidTr="00271CB3">
        <w:trPr>
          <w:trHeight w:val="107"/>
        </w:trPr>
        <w:tc>
          <w:tcPr>
            <w:cnfStyle w:val="001000000000" w:firstRow="0" w:lastRow="0" w:firstColumn="1" w:lastColumn="0" w:oddVBand="0" w:evenVBand="0" w:oddHBand="0" w:evenHBand="0" w:firstRowFirstColumn="0" w:firstRowLastColumn="0" w:lastRowFirstColumn="0" w:lastRowLastColumn="0"/>
            <w:tcW w:w="1424" w:type="dxa"/>
            <w:vMerge/>
          </w:tcPr>
          <w:p w14:paraId="717B902C" w14:textId="77777777" w:rsidR="00977B70" w:rsidRPr="00CE1C14" w:rsidRDefault="00977B70" w:rsidP="00271CB3">
            <w:pPr>
              <w:pStyle w:val="NoSpacing"/>
              <w:rPr>
                <w:rFonts w:eastAsiaTheme="minorHAnsi"/>
                <w:sz w:val="18"/>
                <w:szCs w:val="18"/>
              </w:rPr>
            </w:pPr>
          </w:p>
        </w:tc>
        <w:tc>
          <w:tcPr>
            <w:tcW w:w="2829" w:type="dxa"/>
          </w:tcPr>
          <w:p w14:paraId="2C56E3F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1.2 Freedom of movement</w:t>
            </w:r>
          </w:p>
        </w:tc>
        <w:tc>
          <w:tcPr>
            <w:tcW w:w="1559" w:type="dxa"/>
          </w:tcPr>
          <w:p w14:paraId="1C75526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1.2.a </w:t>
            </w:r>
          </w:p>
        </w:tc>
        <w:tc>
          <w:tcPr>
            <w:tcW w:w="3214" w:type="dxa"/>
          </w:tcPr>
          <w:p w14:paraId="5BE8008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1251FC9F"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24" w:type="dxa"/>
            <w:vMerge/>
          </w:tcPr>
          <w:p w14:paraId="78D0616C" w14:textId="77777777" w:rsidR="00977B70" w:rsidRPr="00CE1C14" w:rsidRDefault="00977B70" w:rsidP="00271CB3">
            <w:pPr>
              <w:pStyle w:val="NoSpacing"/>
              <w:rPr>
                <w:rFonts w:eastAsiaTheme="minorHAnsi"/>
                <w:sz w:val="18"/>
                <w:szCs w:val="18"/>
              </w:rPr>
            </w:pPr>
          </w:p>
        </w:tc>
        <w:tc>
          <w:tcPr>
            <w:tcW w:w="2829" w:type="dxa"/>
          </w:tcPr>
          <w:p w14:paraId="6D365E0C"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2.1 Food security</w:t>
            </w:r>
          </w:p>
        </w:tc>
        <w:tc>
          <w:tcPr>
            <w:tcW w:w="1559" w:type="dxa"/>
          </w:tcPr>
          <w:p w14:paraId="59C2EF43"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2.1.a </w:t>
            </w:r>
          </w:p>
        </w:tc>
        <w:tc>
          <w:tcPr>
            <w:tcW w:w="3214" w:type="dxa"/>
          </w:tcPr>
          <w:p w14:paraId="2661D5C0"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4C2B8AC1" w14:textId="77777777" w:rsidTr="00271CB3">
        <w:trPr>
          <w:trHeight w:val="260"/>
        </w:trPr>
        <w:tc>
          <w:tcPr>
            <w:cnfStyle w:val="001000000000" w:firstRow="0" w:lastRow="0" w:firstColumn="1" w:lastColumn="0" w:oddVBand="0" w:evenVBand="0" w:oddHBand="0" w:evenHBand="0" w:firstRowFirstColumn="0" w:firstRowLastColumn="0" w:lastRowFirstColumn="0" w:lastRowLastColumn="0"/>
            <w:tcW w:w="1424" w:type="dxa"/>
            <w:vMerge/>
          </w:tcPr>
          <w:p w14:paraId="6E551961" w14:textId="77777777" w:rsidR="00977B70" w:rsidRPr="00CE1C14" w:rsidRDefault="00977B70" w:rsidP="00271CB3">
            <w:pPr>
              <w:pStyle w:val="NoSpacing"/>
              <w:rPr>
                <w:rFonts w:eastAsiaTheme="minorHAnsi"/>
                <w:sz w:val="18"/>
                <w:szCs w:val="18"/>
              </w:rPr>
            </w:pPr>
          </w:p>
        </w:tc>
        <w:tc>
          <w:tcPr>
            <w:tcW w:w="2829" w:type="dxa"/>
          </w:tcPr>
          <w:p w14:paraId="51BB923A"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2.2 Shelter and housing</w:t>
            </w:r>
          </w:p>
        </w:tc>
        <w:tc>
          <w:tcPr>
            <w:tcW w:w="1559" w:type="dxa"/>
          </w:tcPr>
          <w:p w14:paraId="23E59BC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2.2.a</w:t>
            </w:r>
          </w:p>
        </w:tc>
        <w:tc>
          <w:tcPr>
            <w:tcW w:w="3214" w:type="dxa"/>
          </w:tcPr>
          <w:p w14:paraId="3A96F46B"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63DB7071" w14:textId="77777777" w:rsidTr="00271CB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424" w:type="dxa"/>
            <w:vMerge/>
          </w:tcPr>
          <w:p w14:paraId="3D76FECE" w14:textId="77777777" w:rsidR="00977B70" w:rsidRPr="00CE1C14" w:rsidRDefault="00977B70" w:rsidP="00271CB3">
            <w:pPr>
              <w:pStyle w:val="NoSpacing"/>
              <w:rPr>
                <w:rFonts w:eastAsiaTheme="minorHAnsi"/>
                <w:sz w:val="18"/>
                <w:szCs w:val="18"/>
              </w:rPr>
            </w:pPr>
          </w:p>
        </w:tc>
        <w:tc>
          <w:tcPr>
            <w:tcW w:w="2829" w:type="dxa"/>
          </w:tcPr>
          <w:p w14:paraId="191A05DF"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2.3 Medical services</w:t>
            </w:r>
          </w:p>
        </w:tc>
        <w:tc>
          <w:tcPr>
            <w:tcW w:w="1559" w:type="dxa"/>
          </w:tcPr>
          <w:p w14:paraId="165FF81B"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2.3.a</w:t>
            </w:r>
          </w:p>
        </w:tc>
        <w:tc>
          <w:tcPr>
            <w:tcW w:w="3214" w:type="dxa"/>
          </w:tcPr>
          <w:p w14:paraId="7ABDF135"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22CDE79A"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1424" w:type="dxa"/>
            <w:vMerge/>
          </w:tcPr>
          <w:p w14:paraId="7475985B" w14:textId="77777777" w:rsidR="00977B70" w:rsidRPr="00CE1C14" w:rsidRDefault="00977B70" w:rsidP="00271CB3">
            <w:pPr>
              <w:pStyle w:val="NoSpacing"/>
              <w:rPr>
                <w:rFonts w:eastAsiaTheme="minorHAnsi"/>
                <w:sz w:val="18"/>
                <w:szCs w:val="18"/>
              </w:rPr>
            </w:pPr>
          </w:p>
        </w:tc>
        <w:tc>
          <w:tcPr>
            <w:tcW w:w="2829" w:type="dxa"/>
          </w:tcPr>
          <w:p w14:paraId="5E62DE2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2.4 Education</w:t>
            </w:r>
          </w:p>
        </w:tc>
        <w:tc>
          <w:tcPr>
            <w:tcW w:w="1559" w:type="dxa"/>
          </w:tcPr>
          <w:p w14:paraId="11F2861F"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2.4.a</w:t>
            </w:r>
          </w:p>
        </w:tc>
        <w:tc>
          <w:tcPr>
            <w:tcW w:w="3214" w:type="dxa"/>
          </w:tcPr>
          <w:p w14:paraId="20100CF5"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r>
      <w:tr w:rsidR="00977B70" w:rsidRPr="00CE1C14" w14:paraId="56CE4D43"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24" w:type="dxa"/>
            <w:vMerge/>
          </w:tcPr>
          <w:p w14:paraId="503AB531" w14:textId="77777777" w:rsidR="00977B70" w:rsidRPr="00CE1C14" w:rsidRDefault="00977B70" w:rsidP="00271CB3">
            <w:pPr>
              <w:pStyle w:val="NoSpacing"/>
              <w:rPr>
                <w:rFonts w:eastAsiaTheme="minorHAnsi"/>
                <w:sz w:val="18"/>
                <w:szCs w:val="18"/>
              </w:rPr>
            </w:pPr>
          </w:p>
        </w:tc>
        <w:tc>
          <w:tcPr>
            <w:tcW w:w="2829" w:type="dxa"/>
          </w:tcPr>
          <w:p w14:paraId="7746061E"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3.1 Employment &amp; livelihoods</w:t>
            </w:r>
          </w:p>
        </w:tc>
        <w:tc>
          <w:tcPr>
            <w:tcW w:w="1559" w:type="dxa"/>
          </w:tcPr>
          <w:p w14:paraId="5465ADA0"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3.1.a</w:t>
            </w:r>
          </w:p>
        </w:tc>
        <w:tc>
          <w:tcPr>
            <w:tcW w:w="3214" w:type="dxa"/>
          </w:tcPr>
          <w:p w14:paraId="5BC2AF5C"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r>
      <w:tr w:rsidR="00977B70" w:rsidRPr="00CE1C14" w14:paraId="6149A175"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1424" w:type="dxa"/>
            <w:vMerge/>
          </w:tcPr>
          <w:p w14:paraId="4376F24F" w14:textId="77777777" w:rsidR="00977B70" w:rsidRPr="00CE1C14" w:rsidRDefault="00977B70" w:rsidP="00271CB3">
            <w:pPr>
              <w:pStyle w:val="NoSpacing"/>
              <w:rPr>
                <w:rFonts w:eastAsiaTheme="minorHAnsi"/>
                <w:sz w:val="18"/>
                <w:szCs w:val="18"/>
              </w:rPr>
            </w:pPr>
          </w:p>
        </w:tc>
        <w:tc>
          <w:tcPr>
            <w:tcW w:w="2829" w:type="dxa"/>
          </w:tcPr>
          <w:p w14:paraId="453A9AEA"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3.2 Economic security</w:t>
            </w:r>
          </w:p>
        </w:tc>
        <w:tc>
          <w:tcPr>
            <w:tcW w:w="1559" w:type="dxa"/>
          </w:tcPr>
          <w:p w14:paraId="7455D128"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3.2.a</w:t>
            </w:r>
          </w:p>
        </w:tc>
        <w:tc>
          <w:tcPr>
            <w:tcW w:w="3214" w:type="dxa"/>
          </w:tcPr>
          <w:p w14:paraId="1B45D6AE"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r>
      <w:tr w:rsidR="00977B70" w:rsidRPr="00CE1C14" w14:paraId="64E16803"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24" w:type="dxa"/>
            <w:vMerge/>
          </w:tcPr>
          <w:p w14:paraId="60C3F3F2" w14:textId="77777777" w:rsidR="00977B70" w:rsidRPr="00CE1C14" w:rsidRDefault="00977B70" w:rsidP="00271CB3">
            <w:pPr>
              <w:pStyle w:val="NoSpacing"/>
              <w:rPr>
                <w:rFonts w:eastAsiaTheme="minorHAnsi"/>
                <w:sz w:val="18"/>
                <w:szCs w:val="18"/>
              </w:rPr>
            </w:pPr>
          </w:p>
        </w:tc>
        <w:tc>
          <w:tcPr>
            <w:tcW w:w="2829" w:type="dxa"/>
          </w:tcPr>
          <w:p w14:paraId="58728113"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4.1 Property restitution &amp; compensation</w:t>
            </w:r>
          </w:p>
        </w:tc>
        <w:tc>
          <w:tcPr>
            <w:tcW w:w="1559" w:type="dxa"/>
          </w:tcPr>
          <w:p w14:paraId="3BCEA0E7"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4.1.a</w:t>
            </w:r>
          </w:p>
        </w:tc>
        <w:tc>
          <w:tcPr>
            <w:tcW w:w="3214" w:type="dxa"/>
          </w:tcPr>
          <w:p w14:paraId="00FF8015"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6ADF3867" w14:textId="77777777" w:rsidTr="00271CB3">
        <w:trPr>
          <w:trHeight w:val="323"/>
        </w:trPr>
        <w:tc>
          <w:tcPr>
            <w:cnfStyle w:val="001000000000" w:firstRow="0" w:lastRow="0" w:firstColumn="1" w:lastColumn="0" w:oddVBand="0" w:evenVBand="0" w:oddHBand="0" w:evenHBand="0" w:firstRowFirstColumn="0" w:firstRowLastColumn="0" w:lastRowFirstColumn="0" w:lastRowLastColumn="0"/>
            <w:tcW w:w="1424" w:type="dxa"/>
            <w:vMerge/>
            <w:tcBorders>
              <w:bottom w:val="single" w:sz="12" w:space="0" w:color="000000"/>
            </w:tcBorders>
          </w:tcPr>
          <w:p w14:paraId="366038BF" w14:textId="77777777" w:rsidR="00977B70" w:rsidRPr="00CE1C14" w:rsidRDefault="00977B70" w:rsidP="00271CB3">
            <w:pPr>
              <w:pStyle w:val="NoSpacing"/>
              <w:rPr>
                <w:rFonts w:eastAsiaTheme="minorHAnsi"/>
                <w:sz w:val="18"/>
                <w:szCs w:val="18"/>
              </w:rPr>
            </w:pPr>
          </w:p>
        </w:tc>
        <w:tc>
          <w:tcPr>
            <w:tcW w:w="2829" w:type="dxa"/>
            <w:tcBorders>
              <w:bottom w:val="single" w:sz="12" w:space="0" w:color="000000"/>
            </w:tcBorders>
          </w:tcPr>
          <w:p w14:paraId="246DCDC8"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5.1 Documentation</w:t>
            </w:r>
          </w:p>
        </w:tc>
        <w:tc>
          <w:tcPr>
            <w:tcW w:w="1559" w:type="dxa"/>
            <w:tcBorders>
              <w:bottom w:val="single" w:sz="12" w:space="0" w:color="000000"/>
            </w:tcBorders>
          </w:tcPr>
          <w:p w14:paraId="237C35B1"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5.1.a</w:t>
            </w:r>
          </w:p>
        </w:tc>
        <w:tc>
          <w:tcPr>
            <w:tcW w:w="3214" w:type="dxa"/>
            <w:tcBorders>
              <w:bottom w:val="single" w:sz="12" w:space="0" w:color="000000"/>
            </w:tcBorders>
          </w:tcPr>
          <w:p w14:paraId="6F249E71"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r>
      <w:tr w:rsidR="00977B70" w:rsidRPr="00CE1C14" w14:paraId="19913500" w14:textId="77777777" w:rsidTr="00271CB3">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424" w:type="dxa"/>
            <w:vMerge w:val="restart"/>
            <w:tcBorders>
              <w:top w:val="single" w:sz="12" w:space="0" w:color="000000"/>
            </w:tcBorders>
          </w:tcPr>
          <w:p w14:paraId="1083C23B" w14:textId="77777777" w:rsidR="00977B70" w:rsidRPr="00CE1C14" w:rsidRDefault="00977B70" w:rsidP="00271CB3">
            <w:pPr>
              <w:pStyle w:val="NoSpacing"/>
              <w:rPr>
                <w:rFonts w:eastAsiaTheme="minorHAnsi"/>
                <w:sz w:val="18"/>
                <w:szCs w:val="18"/>
              </w:rPr>
            </w:pPr>
          </w:p>
        </w:tc>
        <w:tc>
          <w:tcPr>
            <w:tcW w:w="4388" w:type="dxa"/>
            <w:gridSpan w:val="2"/>
            <w:tcBorders>
              <w:top w:val="single" w:sz="12" w:space="0" w:color="000000"/>
            </w:tcBorders>
          </w:tcPr>
          <w:p w14:paraId="29BEF9D2"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Avenir"/>
                <w:sz w:val="18"/>
                <w:szCs w:val="18"/>
              </w:rPr>
              <w:t>Total composite index</w:t>
            </w:r>
            <w:r>
              <w:rPr>
                <w:rFonts w:eastAsia="Avenir"/>
                <w:sz w:val="18"/>
                <w:szCs w:val="18"/>
              </w:rPr>
              <w:t xml:space="preserve"> for the household</w:t>
            </w:r>
          </w:p>
        </w:tc>
        <w:tc>
          <w:tcPr>
            <w:tcW w:w="3214" w:type="dxa"/>
            <w:tcBorders>
              <w:top w:val="single" w:sz="12" w:space="0" w:color="000000"/>
              <w:bottom w:val="single" w:sz="4" w:space="0" w:color="000000"/>
            </w:tcBorders>
          </w:tcPr>
          <w:p w14:paraId="1E82C375"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7 / 10 </w:t>
            </w:r>
          </w:p>
        </w:tc>
      </w:tr>
      <w:tr w:rsidR="00977B70" w:rsidRPr="00CE1C14" w14:paraId="07D5ECF2" w14:textId="77777777" w:rsidTr="00271CB3">
        <w:trPr>
          <w:trHeight w:val="177"/>
        </w:trPr>
        <w:tc>
          <w:tcPr>
            <w:cnfStyle w:val="001000000000" w:firstRow="0" w:lastRow="0" w:firstColumn="1" w:lastColumn="0" w:oddVBand="0" w:evenVBand="0" w:oddHBand="0" w:evenHBand="0" w:firstRowFirstColumn="0" w:firstRowLastColumn="0" w:lastRowFirstColumn="0" w:lastRowLastColumn="0"/>
            <w:tcW w:w="1424" w:type="dxa"/>
            <w:vMerge/>
          </w:tcPr>
          <w:p w14:paraId="72AAFE24" w14:textId="77777777" w:rsidR="00977B70" w:rsidRPr="00CE1C14" w:rsidRDefault="00977B70" w:rsidP="00271CB3">
            <w:pPr>
              <w:pStyle w:val="NoSpacing"/>
              <w:rPr>
                <w:rFonts w:eastAsiaTheme="minorHAnsi"/>
                <w:sz w:val="18"/>
                <w:szCs w:val="18"/>
              </w:rPr>
            </w:pPr>
          </w:p>
        </w:tc>
        <w:tc>
          <w:tcPr>
            <w:tcW w:w="2829" w:type="dxa"/>
          </w:tcPr>
          <w:p w14:paraId="24E48D50"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Benchmark value</w:t>
            </w:r>
          </w:p>
        </w:tc>
        <w:tc>
          <w:tcPr>
            <w:tcW w:w="1559" w:type="dxa"/>
          </w:tcPr>
          <w:p w14:paraId="6F0DEEA1"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3214" w:type="dxa"/>
            <w:tcBorders>
              <w:top w:val="single" w:sz="4" w:space="0" w:color="000000"/>
            </w:tcBorders>
          </w:tcPr>
          <w:p w14:paraId="04889C04" w14:textId="77777777" w:rsidR="00977B70" w:rsidRPr="00CE1C14" w:rsidRDefault="00977B70"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8.6 / 10</w:t>
            </w:r>
          </w:p>
        </w:tc>
      </w:tr>
      <w:tr w:rsidR="00977B70" w:rsidRPr="00CE1C14" w14:paraId="211C6063"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424" w:type="dxa"/>
            <w:vMerge/>
          </w:tcPr>
          <w:p w14:paraId="34EFA8D3" w14:textId="77777777" w:rsidR="00977B70" w:rsidRPr="00CE1C14" w:rsidRDefault="00977B70" w:rsidP="00271CB3">
            <w:pPr>
              <w:pStyle w:val="NoSpacing"/>
              <w:rPr>
                <w:rFonts w:eastAsiaTheme="minorHAnsi"/>
                <w:sz w:val="18"/>
                <w:szCs w:val="18"/>
              </w:rPr>
            </w:pPr>
          </w:p>
        </w:tc>
        <w:tc>
          <w:tcPr>
            <w:tcW w:w="2829" w:type="dxa"/>
          </w:tcPr>
          <w:p w14:paraId="692C873C"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Decision</w:t>
            </w:r>
          </w:p>
        </w:tc>
        <w:tc>
          <w:tcPr>
            <w:tcW w:w="1559" w:type="dxa"/>
          </w:tcPr>
          <w:p w14:paraId="6C4CE7CE"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3214" w:type="dxa"/>
          </w:tcPr>
          <w:p w14:paraId="5D65AFF6" w14:textId="77777777" w:rsidR="00977B70" w:rsidRPr="00CE1C14" w:rsidRDefault="00977B70"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The household has not overcome displacement as the composite index is below the benchmark average. </w:t>
            </w:r>
          </w:p>
        </w:tc>
      </w:tr>
    </w:tbl>
    <w:p w14:paraId="37BEC213" w14:textId="77777777" w:rsidR="00977B70" w:rsidRPr="00987049" w:rsidRDefault="00977B70" w:rsidP="00455E41">
      <w:pPr>
        <w:jc w:val="both"/>
        <w:rPr>
          <w:rFonts w:cstheme="minorHAnsi"/>
        </w:rPr>
      </w:pPr>
    </w:p>
    <w:p w14:paraId="21EBAEE8" w14:textId="3CD86EF4" w:rsidR="00EC394D" w:rsidRPr="00EC394D" w:rsidRDefault="00EC394D" w:rsidP="00455E41">
      <w:pPr>
        <w:jc w:val="both"/>
        <w:rPr>
          <w:rFonts w:cstheme="minorHAnsi"/>
          <w:i/>
          <w:iCs/>
        </w:rPr>
      </w:pPr>
      <w:r>
        <w:rPr>
          <w:rFonts w:cstheme="minorHAnsi"/>
          <w:i/>
          <w:iCs/>
        </w:rPr>
        <w:t>Option 2: A set of composite indices at the criterion level</w:t>
      </w:r>
    </w:p>
    <w:p w14:paraId="6C9273D2" w14:textId="1BA3349F" w:rsidR="009B2EEE" w:rsidRDefault="00EC394D" w:rsidP="00EC394D">
      <w:pPr>
        <w:jc w:val="both"/>
      </w:pPr>
      <w:r>
        <w:rPr>
          <w:rFonts w:cstheme="minorHAnsi"/>
        </w:rPr>
        <w:t xml:space="preserve">Rather </w:t>
      </w:r>
      <w:r w:rsidR="003F5F56" w:rsidRPr="00EC394D">
        <w:rPr>
          <w:rFonts w:cstheme="minorHAnsi"/>
        </w:rPr>
        <w:t xml:space="preserve">than construct a single index across all criteria, one could define composite indices for each criterion. For example, the composite index for the criterion </w:t>
      </w:r>
      <w:r w:rsidR="003F5F56" w:rsidRPr="00D23B70">
        <w:rPr>
          <w:rFonts w:cstheme="minorHAnsi"/>
          <w:i/>
          <w:iCs/>
        </w:rPr>
        <w:t xml:space="preserve">on </w:t>
      </w:r>
      <w:r w:rsidR="00D23B70" w:rsidRPr="00D23B70">
        <w:rPr>
          <w:rFonts w:cstheme="minorHAnsi"/>
          <w:i/>
          <w:iCs/>
        </w:rPr>
        <w:t>2. A</w:t>
      </w:r>
      <w:r w:rsidR="003F5F56" w:rsidRPr="00D23B70">
        <w:rPr>
          <w:rFonts w:cstheme="minorHAnsi"/>
          <w:i/>
          <w:iCs/>
        </w:rPr>
        <w:t>dequate standard of living</w:t>
      </w:r>
      <w:r w:rsidR="003F5F56" w:rsidRPr="00EC394D">
        <w:rPr>
          <w:rFonts w:cstheme="minorHAnsi"/>
        </w:rPr>
        <w:t xml:space="preserve"> could consist of four or more </w:t>
      </w:r>
      <w:r w:rsidR="001D4315" w:rsidRPr="00EC394D">
        <w:rPr>
          <w:rFonts w:cstheme="minorHAnsi"/>
        </w:rPr>
        <w:t>equally weighted</w:t>
      </w:r>
      <w:r w:rsidR="003F5F56" w:rsidRPr="00EC394D">
        <w:rPr>
          <w:rFonts w:cstheme="minorHAnsi"/>
        </w:rPr>
        <w:t xml:space="preserve"> indicators corresponding to the four related sub-criteria (</w:t>
      </w:r>
      <w:r w:rsidR="00D23B70" w:rsidRPr="00D23B70">
        <w:rPr>
          <w:rFonts w:cstheme="minorHAnsi"/>
          <w:i/>
          <w:iCs/>
        </w:rPr>
        <w:t>2.1. F</w:t>
      </w:r>
      <w:r w:rsidR="003F5F56" w:rsidRPr="00D23B70">
        <w:rPr>
          <w:rFonts w:cstheme="minorHAnsi"/>
          <w:i/>
          <w:iCs/>
        </w:rPr>
        <w:t xml:space="preserve">ood security, </w:t>
      </w:r>
      <w:r w:rsidR="00D23B70" w:rsidRPr="00D23B70">
        <w:rPr>
          <w:rFonts w:cstheme="minorHAnsi"/>
          <w:i/>
          <w:iCs/>
        </w:rPr>
        <w:t>2.2 S</w:t>
      </w:r>
      <w:r w:rsidR="003F5F56" w:rsidRPr="00D23B70">
        <w:rPr>
          <w:rFonts w:cstheme="minorHAnsi"/>
          <w:i/>
          <w:iCs/>
        </w:rPr>
        <w:t xml:space="preserve">helter and housing, </w:t>
      </w:r>
      <w:r w:rsidR="00D23B70" w:rsidRPr="00D23B70">
        <w:rPr>
          <w:rFonts w:cstheme="minorHAnsi"/>
          <w:i/>
          <w:iCs/>
        </w:rPr>
        <w:t>2.3 M</w:t>
      </w:r>
      <w:r w:rsidR="003F5F56" w:rsidRPr="00D23B70">
        <w:rPr>
          <w:rFonts w:cstheme="minorHAnsi"/>
          <w:i/>
          <w:iCs/>
        </w:rPr>
        <w:t>edical services,</w:t>
      </w:r>
      <w:r w:rsidR="00D23B70" w:rsidRPr="00D23B70">
        <w:rPr>
          <w:rFonts w:cstheme="minorHAnsi"/>
          <w:i/>
          <w:iCs/>
        </w:rPr>
        <w:t xml:space="preserve"> 2. 4 E</w:t>
      </w:r>
      <w:r w:rsidR="003F5F56" w:rsidRPr="00D23B70">
        <w:rPr>
          <w:rFonts w:cstheme="minorHAnsi"/>
          <w:i/>
          <w:iCs/>
        </w:rPr>
        <w:t>ducation</w:t>
      </w:r>
      <w:r w:rsidR="003F5F56" w:rsidRPr="00EC394D">
        <w:rPr>
          <w:rFonts w:cstheme="minorHAnsi"/>
        </w:rPr>
        <w:t>). A household could then score values of 0-4 on this sub-criterion index (or 0%, 25%, 50%, 75%, 100%). This score can be compared with a distribution average in the comparator population for the same composite index</w:t>
      </w:r>
      <w:r w:rsidR="003F5F56">
        <w:t xml:space="preserve">. As with option 1 above, this would constitute a deviation from IRIS, which explicitly states that a pass needs to be achieved at the sub-criterion level; under this option </w:t>
      </w:r>
      <w:r w:rsidR="003F5F56" w:rsidRPr="00EC394D">
        <w:rPr>
          <w:rFonts w:cstheme="minorHAnsi"/>
        </w:rPr>
        <w:t>a household may be taken out of the IDP stock despite underperformance on a specific sub-criterion</w:t>
      </w:r>
      <w:r w:rsidR="003F5F56">
        <w:t>. In order to construct an index in each criterion, at least 2 binary indicators per criterion would be required, but more would be recommended. A small number of indicators per criterion would result in a cruder measure, thereby barely overcoming challenge 2 (</w:t>
      </w:r>
      <w:r w:rsidR="003F5F56" w:rsidRPr="00EC394D">
        <w:rPr>
          <w:rFonts w:cstheme="minorHAnsi"/>
        </w:rPr>
        <w:t>as we will still be comparing discrete values – e.g. 0;1;2 in the case of 2 indicators for a given criterion - with a continuous distribution average; so for a given household to perform on par or better than the benchmark, it would be irrelevant whether the benchmark valuer was, say, 0.1 or 0.9 – in either case the household in question would need to score a 1 to achieve a pass on this criterion)</w:t>
      </w:r>
      <w:r w:rsidR="003F5F56">
        <w:t>. Assuming at least 3 indicators per each of the 5 criteria (and 4 indicators in the case of criterion 2, in alignment with its 4 sub-criteria), this would result in an overall computation based on at least 16 indicators.</w:t>
      </w:r>
    </w:p>
    <w:p w14:paraId="603A7157" w14:textId="77777777" w:rsidR="006D6FCC" w:rsidRPr="00F44DF0" w:rsidRDefault="006D6FCC" w:rsidP="006D6FCC">
      <w:pPr>
        <w:pStyle w:val="TabFigSW"/>
      </w:pPr>
      <w:r w:rsidRPr="00F44DF0">
        <w:t>Option 2: A composite metric at the criterion level</w:t>
      </w:r>
    </w:p>
    <w:tbl>
      <w:tblPr>
        <w:tblStyle w:val="PlainTable2"/>
        <w:tblW w:w="9026" w:type="dxa"/>
        <w:tblLook w:val="04A0" w:firstRow="1" w:lastRow="0" w:firstColumn="1" w:lastColumn="0" w:noHBand="0" w:noVBand="1"/>
      </w:tblPr>
      <w:tblGrid>
        <w:gridCol w:w="894"/>
        <w:gridCol w:w="1536"/>
        <w:gridCol w:w="2430"/>
        <w:gridCol w:w="1360"/>
        <w:gridCol w:w="1259"/>
        <w:gridCol w:w="886"/>
        <w:gridCol w:w="661"/>
      </w:tblGrid>
      <w:tr w:rsidR="006D6FCC" w:rsidRPr="00CE1C14" w14:paraId="6CB0EA67"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94" w:type="dxa"/>
            <w:tcBorders>
              <w:bottom w:val="single" w:sz="12" w:space="0" w:color="000000"/>
            </w:tcBorders>
          </w:tcPr>
          <w:p w14:paraId="3D1AF3D1" w14:textId="77777777" w:rsidR="006D6FCC" w:rsidRPr="00CE1C14" w:rsidRDefault="006D6FCC" w:rsidP="00271CB3">
            <w:pPr>
              <w:pStyle w:val="NoSpacing"/>
              <w:rPr>
                <w:rFonts w:eastAsiaTheme="minorHAnsi"/>
                <w:sz w:val="18"/>
                <w:szCs w:val="18"/>
              </w:rPr>
            </w:pPr>
          </w:p>
        </w:tc>
        <w:tc>
          <w:tcPr>
            <w:tcW w:w="1536" w:type="dxa"/>
            <w:tcBorders>
              <w:bottom w:val="single" w:sz="12" w:space="0" w:color="000000"/>
            </w:tcBorders>
          </w:tcPr>
          <w:p w14:paraId="4E087144"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Criterion</w:t>
            </w:r>
          </w:p>
        </w:tc>
        <w:tc>
          <w:tcPr>
            <w:tcW w:w="2430" w:type="dxa"/>
            <w:tcBorders>
              <w:bottom w:val="single" w:sz="12" w:space="0" w:color="000000"/>
            </w:tcBorders>
          </w:tcPr>
          <w:p w14:paraId="34EE1D76"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CE1C14">
              <w:rPr>
                <w:rFonts w:eastAsiaTheme="minorHAnsi"/>
                <w:color w:val="002F59" w:themeColor="text2"/>
                <w:sz w:val="18"/>
                <w:szCs w:val="18"/>
              </w:rPr>
              <w:t>Sub-criterion</w:t>
            </w:r>
          </w:p>
        </w:tc>
        <w:tc>
          <w:tcPr>
            <w:tcW w:w="1360" w:type="dxa"/>
            <w:tcBorders>
              <w:bottom w:val="single" w:sz="12" w:space="0" w:color="000000"/>
            </w:tcBorders>
          </w:tcPr>
          <w:p w14:paraId="2DED16F4"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Indicator</w:t>
            </w:r>
          </w:p>
        </w:tc>
        <w:tc>
          <w:tcPr>
            <w:tcW w:w="1259" w:type="dxa"/>
            <w:tcBorders>
              <w:bottom w:val="single" w:sz="12" w:space="0" w:color="000000"/>
            </w:tcBorders>
          </w:tcPr>
          <w:p w14:paraId="7B96555F"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Composite</w:t>
            </w:r>
          </w:p>
        </w:tc>
        <w:tc>
          <w:tcPr>
            <w:tcW w:w="1547" w:type="dxa"/>
            <w:gridSpan w:val="2"/>
            <w:tcBorders>
              <w:bottom w:val="single" w:sz="12" w:space="0" w:color="000000"/>
            </w:tcBorders>
          </w:tcPr>
          <w:p w14:paraId="51560955"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Comparison to benchmark</w:t>
            </w:r>
          </w:p>
        </w:tc>
      </w:tr>
      <w:tr w:rsidR="006D6FCC" w:rsidRPr="00CE1C14" w14:paraId="4AE9A3D3"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894" w:type="dxa"/>
            <w:vMerge w:val="restart"/>
            <w:tcBorders>
              <w:top w:val="single" w:sz="12" w:space="0" w:color="000000"/>
            </w:tcBorders>
          </w:tcPr>
          <w:p w14:paraId="5A1D5A2B" w14:textId="77777777" w:rsidR="006D6FCC" w:rsidRPr="00CE1C14" w:rsidRDefault="006D6FCC" w:rsidP="00271CB3">
            <w:pPr>
              <w:pStyle w:val="NoSpacing"/>
              <w:rPr>
                <w:rFonts w:eastAsiaTheme="minorHAnsi"/>
                <w:sz w:val="18"/>
                <w:szCs w:val="18"/>
              </w:rPr>
            </w:pPr>
            <w:r w:rsidRPr="00CE1C14">
              <w:rPr>
                <w:rFonts w:eastAsiaTheme="minorHAnsi"/>
                <w:sz w:val="18"/>
                <w:szCs w:val="18"/>
              </w:rPr>
              <w:t>House-hold A</w:t>
            </w:r>
          </w:p>
        </w:tc>
        <w:tc>
          <w:tcPr>
            <w:tcW w:w="1536" w:type="dxa"/>
            <w:vMerge w:val="restart"/>
            <w:tcBorders>
              <w:top w:val="single" w:sz="12" w:space="0" w:color="000000"/>
            </w:tcBorders>
          </w:tcPr>
          <w:p w14:paraId="3318FB1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1. Safety and security</w:t>
            </w:r>
          </w:p>
        </w:tc>
        <w:tc>
          <w:tcPr>
            <w:tcW w:w="2430" w:type="dxa"/>
            <w:tcBorders>
              <w:top w:val="single" w:sz="12" w:space="0" w:color="000000"/>
              <w:bottom w:val="nil"/>
            </w:tcBorders>
          </w:tcPr>
          <w:p w14:paraId="60646DAD"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Avenir"/>
                <w:sz w:val="18"/>
                <w:szCs w:val="18"/>
              </w:rPr>
              <w:t>1.1 Victims of violence</w:t>
            </w:r>
          </w:p>
        </w:tc>
        <w:tc>
          <w:tcPr>
            <w:tcW w:w="1360" w:type="dxa"/>
            <w:tcBorders>
              <w:top w:val="single" w:sz="12" w:space="0" w:color="000000"/>
              <w:bottom w:val="nil"/>
            </w:tcBorders>
          </w:tcPr>
          <w:p w14:paraId="07D0700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1.1.a </w:t>
            </w:r>
          </w:p>
        </w:tc>
        <w:tc>
          <w:tcPr>
            <w:tcW w:w="1259" w:type="dxa"/>
            <w:vMerge w:val="restart"/>
            <w:tcBorders>
              <w:top w:val="single" w:sz="12" w:space="0" w:color="000000"/>
            </w:tcBorders>
          </w:tcPr>
          <w:p w14:paraId="6266586A"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2/3</w:t>
            </w:r>
          </w:p>
        </w:tc>
        <w:tc>
          <w:tcPr>
            <w:tcW w:w="886" w:type="dxa"/>
            <w:vMerge w:val="restart"/>
            <w:tcBorders>
              <w:top w:val="single" w:sz="12" w:space="0" w:color="000000"/>
            </w:tcBorders>
          </w:tcPr>
          <w:p w14:paraId="0B5ACA3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1.9</w:t>
            </w:r>
          </w:p>
        </w:tc>
        <w:tc>
          <w:tcPr>
            <w:tcW w:w="661" w:type="dxa"/>
            <w:vMerge w:val="restart"/>
            <w:tcBorders>
              <w:top w:val="single" w:sz="12" w:space="0" w:color="000000"/>
            </w:tcBorders>
          </w:tcPr>
          <w:p w14:paraId="350CE63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Pass</w:t>
            </w:r>
          </w:p>
        </w:tc>
      </w:tr>
      <w:tr w:rsidR="006D6FCC" w:rsidRPr="00CE1C14" w14:paraId="28C44DA1" w14:textId="77777777" w:rsidTr="00271CB3">
        <w:trPr>
          <w:trHeight w:val="125"/>
        </w:trPr>
        <w:tc>
          <w:tcPr>
            <w:cnfStyle w:val="001000000000" w:firstRow="0" w:lastRow="0" w:firstColumn="1" w:lastColumn="0" w:oddVBand="0" w:evenVBand="0" w:oddHBand="0" w:evenHBand="0" w:firstRowFirstColumn="0" w:firstRowLastColumn="0" w:lastRowFirstColumn="0" w:lastRowLastColumn="0"/>
            <w:tcW w:w="894" w:type="dxa"/>
            <w:vMerge/>
            <w:tcBorders>
              <w:top w:val="single" w:sz="12" w:space="0" w:color="000000"/>
            </w:tcBorders>
          </w:tcPr>
          <w:p w14:paraId="003EC48D" w14:textId="77777777" w:rsidR="006D6FCC" w:rsidRPr="00CE1C14" w:rsidRDefault="006D6FCC" w:rsidP="00271CB3">
            <w:pPr>
              <w:pStyle w:val="NoSpacing"/>
              <w:rPr>
                <w:rFonts w:eastAsiaTheme="minorHAnsi"/>
                <w:sz w:val="18"/>
                <w:szCs w:val="18"/>
              </w:rPr>
            </w:pPr>
          </w:p>
        </w:tc>
        <w:tc>
          <w:tcPr>
            <w:tcW w:w="1536" w:type="dxa"/>
            <w:vMerge/>
            <w:tcBorders>
              <w:top w:val="single" w:sz="12" w:space="0" w:color="000000"/>
            </w:tcBorders>
          </w:tcPr>
          <w:p w14:paraId="0307021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color w:val="002F59" w:themeColor="text2"/>
                <w:sz w:val="18"/>
                <w:szCs w:val="18"/>
              </w:rPr>
            </w:pPr>
          </w:p>
        </w:tc>
        <w:tc>
          <w:tcPr>
            <w:tcW w:w="2430" w:type="dxa"/>
            <w:tcBorders>
              <w:top w:val="nil"/>
              <w:bottom w:val="single" w:sz="4" w:space="0" w:color="7F7F7F" w:themeColor="text1" w:themeTint="80"/>
            </w:tcBorders>
          </w:tcPr>
          <w:p w14:paraId="3EE8981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p>
        </w:tc>
        <w:tc>
          <w:tcPr>
            <w:tcW w:w="1360" w:type="dxa"/>
            <w:tcBorders>
              <w:top w:val="nil"/>
              <w:bottom w:val="single" w:sz="4" w:space="0" w:color="7F7F7F" w:themeColor="text1" w:themeTint="80"/>
            </w:tcBorders>
          </w:tcPr>
          <w:p w14:paraId="7C1F306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Indicator 1.1.b</w:t>
            </w:r>
          </w:p>
        </w:tc>
        <w:tc>
          <w:tcPr>
            <w:tcW w:w="1259" w:type="dxa"/>
            <w:vMerge/>
            <w:tcBorders>
              <w:top w:val="single" w:sz="12" w:space="0" w:color="000000"/>
            </w:tcBorders>
          </w:tcPr>
          <w:p w14:paraId="53912168"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886" w:type="dxa"/>
            <w:vMerge/>
            <w:tcBorders>
              <w:top w:val="single" w:sz="12" w:space="0" w:color="000000"/>
            </w:tcBorders>
          </w:tcPr>
          <w:p w14:paraId="01BB76F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661" w:type="dxa"/>
            <w:vMerge/>
            <w:tcBorders>
              <w:top w:val="single" w:sz="12" w:space="0" w:color="000000"/>
            </w:tcBorders>
          </w:tcPr>
          <w:p w14:paraId="0FCF8F9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r>
      <w:tr w:rsidR="006D6FCC" w:rsidRPr="00CE1C14" w14:paraId="47801F4B" w14:textId="77777777" w:rsidTr="00271CB3">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4" w:type="dxa"/>
            <w:vMerge/>
          </w:tcPr>
          <w:p w14:paraId="0DE2E5B2" w14:textId="77777777" w:rsidR="006D6FCC" w:rsidRPr="00CE1C14" w:rsidRDefault="006D6FCC" w:rsidP="00271CB3">
            <w:pPr>
              <w:pStyle w:val="NoSpacing"/>
              <w:rPr>
                <w:rFonts w:eastAsiaTheme="minorHAnsi"/>
                <w:sz w:val="18"/>
                <w:szCs w:val="18"/>
              </w:rPr>
            </w:pPr>
          </w:p>
        </w:tc>
        <w:tc>
          <w:tcPr>
            <w:tcW w:w="1536" w:type="dxa"/>
            <w:vMerge/>
          </w:tcPr>
          <w:p w14:paraId="549286B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2430" w:type="dxa"/>
          </w:tcPr>
          <w:p w14:paraId="144755B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1.2 Freedom of movement</w:t>
            </w:r>
          </w:p>
        </w:tc>
        <w:tc>
          <w:tcPr>
            <w:tcW w:w="1360" w:type="dxa"/>
          </w:tcPr>
          <w:p w14:paraId="0FB0975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1.2.a </w:t>
            </w:r>
          </w:p>
        </w:tc>
        <w:tc>
          <w:tcPr>
            <w:tcW w:w="1259" w:type="dxa"/>
            <w:vMerge/>
          </w:tcPr>
          <w:p w14:paraId="04AAA51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218D58CD"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46946F5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0579A0CC"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894" w:type="dxa"/>
            <w:vMerge/>
          </w:tcPr>
          <w:p w14:paraId="193D4D0D" w14:textId="77777777" w:rsidR="006D6FCC" w:rsidRPr="00CE1C14" w:rsidRDefault="006D6FCC" w:rsidP="00271CB3">
            <w:pPr>
              <w:pStyle w:val="NoSpacing"/>
              <w:rPr>
                <w:rFonts w:eastAsiaTheme="minorHAnsi"/>
                <w:sz w:val="18"/>
                <w:szCs w:val="18"/>
              </w:rPr>
            </w:pPr>
          </w:p>
        </w:tc>
        <w:tc>
          <w:tcPr>
            <w:tcW w:w="1536" w:type="dxa"/>
            <w:vMerge w:val="restart"/>
          </w:tcPr>
          <w:p w14:paraId="5FC1A62A"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2. Adequate standard of living</w:t>
            </w:r>
          </w:p>
        </w:tc>
        <w:tc>
          <w:tcPr>
            <w:tcW w:w="2430" w:type="dxa"/>
          </w:tcPr>
          <w:p w14:paraId="23108D2D"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2.1 Food security</w:t>
            </w:r>
          </w:p>
        </w:tc>
        <w:tc>
          <w:tcPr>
            <w:tcW w:w="1360" w:type="dxa"/>
          </w:tcPr>
          <w:p w14:paraId="4D04AABF"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2.1.a </w:t>
            </w:r>
          </w:p>
        </w:tc>
        <w:tc>
          <w:tcPr>
            <w:tcW w:w="1259" w:type="dxa"/>
            <w:vMerge w:val="restart"/>
          </w:tcPr>
          <w:p w14:paraId="4717527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3/4</w:t>
            </w:r>
          </w:p>
          <w:p w14:paraId="64C309A6"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w:t>
            </w:r>
          </w:p>
          <w:p w14:paraId="2956198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w:t>
            </w:r>
          </w:p>
          <w:p w14:paraId="671DD29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w:t>
            </w:r>
          </w:p>
        </w:tc>
        <w:tc>
          <w:tcPr>
            <w:tcW w:w="886" w:type="dxa"/>
            <w:vMerge w:val="restart"/>
          </w:tcPr>
          <w:p w14:paraId="7E24CB6F"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3.5</w:t>
            </w:r>
          </w:p>
        </w:tc>
        <w:tc>
          <w:tcPr>
            <w:tcW w:w="661" w:type="dxa"/>
            <w:vMerge w:val="restart"/>
          </w:tcPr>
          <w:p w14:paraId="649D66B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No pass</w:t>
            </w:r>
          </w:p>
        </w:tc>
      </w:tr>
      <w:tr w:rsidR="006D6FCC" w:rsidRPr="00CE1C14" w14:paraId="53768899" w14:textId="77777777" w:rsidTr="00271CB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94" w:type="dxa"/>
            <w:vMerge/>
          </w:tcPr>
          <w:p w14:paraId="261A5554" w14:textId="77777777" w:rsidR="006D6FCC" w:rsidRPr="00CE1C14" w:rsidRDefault="006D6FCC" w:rsidP="00271CB3">
            <w:pPr>
              <w:pStyle w:val="NoSpacing"/>
              <w:rPr>
                <w:rFonts w:eastAsiaTheme="minorHAnsi"/>
                <w:sz w:val="18"/>
                <w:szCs w:val="18"/>
              </w:rPr>
            </w:pPr>
          </w:p>
        </w:tc>
        <w:tc>
          <w:tcPr>
            <w:tcW w:w="1536" w:type="dxa"/>
            <w:vMerge/>
          </w:tcPr>
          <w:p w14:paraId="5B48393A"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2430" w:type="dxa"/>
          </w:tcPr>
          <w:p w14:paraId="7CC84B5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2.2 Shelter and housing</w:t>
            </w:r>
          </w:p>
        </w:tc>
        <w:tc>
          <w:tcPr>
            <w:tcW w:w="1360" w:type="dxa"/>
          </w:tcPr>
          <w:p w14:paraId="2B006B88"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2.2.a</w:t>
            </w:r>
          </w:p>
        </w:tc>
        <w:tc>
          <w:tcPr>
            <w:tcW w:w="1259" w:type="dxa"/>
            <w:vMerge/>
          </w:tcPr>
          <w:p w14:paraId="4A2A092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49AE520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3F8E5C45"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5A57EF1E" w14:textId="77777777" w:rsidTr="00271CB3">
        <w:trPr>
          <w:trHeight w:val="152"/>
        </w:trPr>
        <w:tc>
          <w:tcPr>
            <w:cnfStyle w:val="001000000000" w:firstRow="0" w:lastRow="0" w:firstColumn="1" w:lastColumn="0" w:oddVBand="0" w:evenVBand="0" w:oddHBand="0" w:evenHBand="0" w:firstRowFirstColumn="0" w:firstRowLastColumn="0" w:lastRowFirstColumn="0" w:lastRowLastColumn="0"/>
            <w:tcW w:w="894" w:type="dxa"/>
            <w:vMerge/>
          </w:tcPr>
          <w:p w14:paraId="05634501" w14:textId="77777777" w:rsidR="006D6FCC" w:rsidRPr="00CE1C14" w:rsidRDefault="006D6FCC" w:rsidP="00271CB3">
            <w:pPr>
              <w:pStyle w:val="NoSpacing"/>
              <w:rPr>
                <w:rFonts w:eastAsiaTheme="minorHAnsi"/>
                <w:sz w:val="18"/>
                <w:szCs w:val="18"/>
              </w:rPr>
            </w:pPr>
          </w:p>
        </w:tc>
        <w:tc>
          <w:tcPr>
            <w:tcW w:w="1536" w:type="dxa"/>
            <w:vMerge/>
          </w:tcPr>
          <w:p w14:paraId="4C5AEEA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p>
        </w:tc>
        <w:tc>
          <w:tcPr>
            <w:tcW w:w="2430" w:type="dxa"/>
          </w:tcPr>
          <w:p w14:paraId="5782A52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2.3 Medical services</w:t>
            </w:r>
          </w:p>
        </w:tc>
        <w:tc>
          <w:tcPr>
            <w:tcW w:w="1360" w:type="dxa"/>
          </w:tcPr>
          <w:p w14:paraId="4A07C31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2.3.a</w:t>
            </w:r>
          </w:p>
        </w:tc>
        <w:tc>
          <w:tcPr>
            <w:tcW w:w="1259" w:type="dxa"/>
            <w:vMerge/>
          </w:tcPr>
          <w:p w14:paraId="26D4C42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886" w:type="dxa"/>
            <w:vMerge/>
          </w:tcPr>
          <w:p w14:paraId="4B75710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661" w:type="dxa"/>
            <w:vMerge/>
          </w:tcPr>
          <w:p w14:paraId="737E9646"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r>
      <w:tr w:rsidR="006D6FCC" w:rsidRPr="00CE1C14" w14:paraId="413552E2"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94" w:type="dxa"/>
            <w:vMerge/>
          </w:tcPr>
          <w:p w14:paraId="7A7D3D1E" w14:textId="77777777" w:rsidR="006D6FCC" w:rsidRPr="00CE1C14" w:rsidRDefault="006D6FCC" w:rsidP="00271CB3">
            <w:pPr>
              <w:pStyle w:val="NoSpacing"/>
              <w:rPr>
                <w:rFonts w:eastAsiaTheme="minorHAnsi"/>
                <w:sz w:val="18"/>
                <w:szCs w:val="18"/>
              </w:rPr>
            </w:pPr>
          </w:p>
        </w:tc>
        <w:tc>
          <w:tcPr>
            <w:tcW w:w="1536" w:type="dxa"/>
            <w:vMerge/>
          </w:tcPr>
          <w:p w14:paraId="319EA554"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2430" w:type="dxa"/>
          </w:tcPr>
          <w:p w14:paraId="2E39640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2.4 Education</w:t>
            </w:r>
          </w:p>
        </w:tc>
        <w:tc>
          <w:tcPr>
            <w:tcW w:w="1360" w:type="dxa"/>
          </w:tcPr>
          <w:p w14:paraId="6AC02D13"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2.4.a</w:t>
            </w:r>
          </w:p>
        </w:tc>
        <w:tc>
          <w:tcPr>
            <w:tcW w:w="1259" w:type="dxa"/>
            <w:vMerge/>
          </w:tcPr>
          <w:p w14:paraId="698E1062"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0A1781A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42D6B04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3E3EE70E"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894" w:type="dxa"/>
            <w:vMerge/>
          </w:tcPr>
          <w:p w14:paraId="35B97FB2" w14:textId="77777777" w:rsidR="006D6FCC" w:rsidRPr="00CE1C14" w:rsidRDefault="006D6FCC" w:rsidP="00271CB3">
            <w:pPr>
              <w:pStyle w:val="NoSpacing"/>
              <w:rPr>
                <w:rFonts w:eastAsiaTheme="minorHAnsi"/>
                <w:sz w:val="18"/>
                <w:szCs w:val="18"/>
              </w:rPr>
            </w:pPr>
          </w:p>
        </w:tc>
        <w:tc>
          <w:tcPr>
            <w:tcW w:w="1536" w:type="dxa"/>
            <w:vMerge w:val="restart"/>
          </w:tcPr>
          <w:p w14:paraId="2864901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3. Access to livelihoods</w:t>
            </w:r>
          </w:p>
        </w:tc>
        <w:tc>
          <w:tcPr>
            <w:tcW w:w="2430" w:type="dxa"/>
            <w:vMerge w:val="restart"/>
            <w:tcBorders>
              <w:top w:val="single" w:sz="4" w:space="0" w:color="7F7F7F" w:themeColor="text1" w:themeTint="80"/>
            </w:tcBorders>
          </w:tcPr>
          <w:p w14:paraId="34F9176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3.1 Employment &amp; livelihoods</w:t>
            </w:r>
          </w:p>
        </w:tc>
        <w:tc>
          <w:tcPr>
            <w:tcW w:w="1360" w:type="dxa"/>
            <w:tcBorders>
              <w:top w:val="single" w:sz="4" w:space="0" w:color="7F7F7F" w:themeColor="text1" w:themeTint="80"/>
              <w:bottom w:val="nil"/>
            </w:tcBorders>
          </w:tcPr>
          <w:p w14:paraId="5302A73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3.1.a</w:t>
            </w:r>
          </w:p>
        </w:tc>
        <w:tc>
          <w:tcPr>
            <w:tcW w:w="1259" w:type="dxa"/>
            <w:vMerge w:val="restart"/>
          </w:tcPr>
          <w:p w14:paraId="27D61E6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2/3</w:t>
            </w:r>
          </w:p>
          <w:p w14:paraId="5C5865E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w:t>
            </w:r>
          </w:p>
        </w:tc>
        <w:tc>
          <w:tcPr>
            <w:tcW w:w="886" w:type="dxa"/>
            <w:vMerge w:val="restart"/>
          </w:tcPr>
          <w:p w14:paraId="464B0426"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1.9</w:t>
            </w:r>
          </w:p>
        </w:tc>
        <w:tc>
          <w:tcPr>
            <w:tcW w:w="661" w:type="dxa"/>
            <w:vMerge w:val="restart"/>
          </w:tcPr>
          <w:p w14:paraId="46EAF17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Pass</w:t>
            </w:r>
          </w:p>
        </w:tc>
      </w:tr>
      <w:tr w:rsidR="006D6FCC" w:rsidRPr="00CE1C14" w14:paraId="55847A97"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94" w:type="dxa"/>
            <w:vMerge/>
          </w:tcPr>
          <w:p w14:paraId="0E32E918" w14:textId="77777777" w:rsidR="006D6FCC" w:rsidRPr="00CE1C14" w:rsidRDefault="006D6FCC" w:rsidP="00271CB3">
            <w:pPr>
              <w:pStyle w:val="NoSpacing"/>
              <w:rPr>
                <w:rFonts w:eastAsiaTheme="minorHAnsi"/>
                <w:sz w:val="18"/>
                <w:szCs w:val="18"/>
              </w:rPr>
            </w:pPr>
          </w:p>
        </w:tc>
        <w:tc>
          <w:tcPr>
            <w:tcW w:w="1536" w:type="dxa"/>
            <w:vMerge/>
          </w:tcPr>
          <w:p w14:paraId="5224EB8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color w:val="002F59" w:themeColor="text2"/>
                <w:sz w:val="18"/>
                <w:szCs w:val="18"/>
              </w:rPr>
            </w:pPr>
          </w:p>
        </w:tc>
        <w:tc>
          <w:tcPr>
            <w:tcW w:w="2430" w:type="dxa"/>
            <w:vMerge/>
          </w:tcPr>
          <w:p w14:paraId="6D6B66AA"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1360" w:type="dxa"/>
            <w:tcBorders>
              <w:top w:val="nil"/>
            </w:tcBorders>
          </w:tcPr>
          <w:p w14:paraId="4C4E6771"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3.1.b</w:t>
            </w:r>
          </w:p>
        </w:tc>
        <w:tc>
          <w:tcPr>
            <w:tcW w:w="1259" w:type="dxa"/>
            <w:vMerge/>
          </w:tcPr>
          <w:p w14:paraId="76E3323D"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050B465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1C96854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5008E28C"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894" w:type="dxa"/>
            <w:vMerge/>
          </w:tcPr>
          <w:p w14:paraId="565FE5B8" w14:textId="77777777" w:rsidR="006D6FCC" w:rsidRPr="00CE1C14" w:rsidRDefault="006D6FCC" w:rsidP="00271CB3">
            <w:pPr>
              <w:pStyle w:val="NoSpacing"/>
              <w:rPr>
                <w:rFonts w:eastAsiaTheme="minorHAnsi"/>
                <w:sz w:val="18"/>
                <w:szCs w:val="18"/>
              </w:rPr>
            </w:pPr>
          </w:p>
        </w:tc>
        <w:tc>
          <w:tcPr>
            <w:tcW w:w="1536" w:type="dxa"/>
            <w:vMerge/>
            <w:tcBorders>
              <w:bottom w:val="single" w:sz="4" w:space="0" w:color="7F7F7F" w:themeColor="text1" w:themeTint="80"/>
            </w:tcBorders>
          </w:tcPr>
          <w:p w14:paraId="37FCAF2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p>
        </w:tc>
        <w:tc>
          <w:tcPr>
            <w:tcW w:w="2430" w:type="dxa"/>
            <w:tcBorders>
              <w:bottom w:val="single" w:sz="4" w:space="0" w:color="7F7F7F" w:themeColor="text1" w:themeTint="80"/>
            </w:tcBorders>
          </w:tcPr>
          <w:p w14:paraId="73D7D61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3.2 Economic security</w:t>
            </w:r>
          </w:p>
        </w:tc>
        <w:tc>
          <w:tcPr>
            <w:tcW w:w="1360" w:type="dxa"/>
            <w:tcBorders>
              <w:bottom w:val="single" w:sz="4" w:space="0" w:color="7F7F7F" w:themeColor="text1" w:themeTint="80"/>
            </w:tcBorders>
          </w:tcPr>
          <w:p w14:paraId="3A3DEECD"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3.2.a</w:t>
            </w:r>
          </w:p>
        </w:tc>
        <w:tc>
          <w:tcPr>
            <w:tcW w:w="1259" w:type="dxa"/>
            <w:vMerge/>
            <w:tcBorders>
              <w:bottom w:val="single" w:sz="4" w:space="0" w:color="7F7F7F" w:themeColor="text1" w:themeTint="80"/>
            </w:tcBorders>
          </w:tcPr>
          <w:p w14:paraId="74FF076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886" w:type="dxa"/>
            <w:vMerge/>
            <w:tcBorders>
              <w:bottom w:val="single" w:sz="4" w:space="0" w:color="7F7F7F" w:themeColor="text1" w:themeTint="80"/>
            </w:tcBorders>
          </w:tcPr>
          <w:p w14:paraId="76CC3849"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661" w:type="dxa"/>
            <w:vMerge/>
            <w:tcBorders>
              <w:bottom w:val="single" w:sz="4" w:space="0" w:color="7F7F7F" w:themeColor="text1" w:themeTint="80"/>
            </w:tcBorders>
          </w:tcPr>
          <w:p w14:paraId="13982D2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r>
      <w:tr w:rsidR="006D6FCC" w:rsidRPr="00CE1C14" w14:paraId="2F5D3633" w14:textId="77777777" w:rsidTr="00271CB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894" w:type="dxa"/>
            <w:vMerge/>
          </w:tcPr>
          <w:p w14:paraId="7FE7E33B" w14:textId="77777777" w:rsidR="006D6FCC" w:rsidRPr="00CE1C14" w:rsidRDefault="006D6FCC" w:rsidP="00271CB3">
            <w:pPr>
              <w:pStyle w:val="NoSpacing"/>
              <w:rPr>
                <w:rFonts w:eastAsiaTheme="minorHAnsi"/>
                <w:sz w:val="18"/>
                <w:szCs w:val="18"/>
              </w:rPr>
            </w:pPr>
          </w:p>
        </w:tc>
        <w:tc>
          <w:tcPr>
            <w:tcW w:w="1536" w:type="dxa"/>
          </w:tcPr>
          <w:p w14:paraId="7E054E7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4. Restoration of housing, land and property</w:t>
            </w:r>
          </w:p>
        </w:tc>
        <w:tc>
          <w:tcPr>
            <w:tcW w:w="2430" w:type="dxa"/>
          </w:tcPr>
          <w:p w14:paraId="2CA0D53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4.1 Property restitution &amp; compensation</w:t>
            </w:r>
          </w:p>
        </w:tc>
        <w:tc>
          <w:tcPr>
            <w:tcW w:w="1360" w:type="dxa"/>
          </w:tcPr>
          <w:p w14:paraId="3120AE05"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4.1.a</w:t>
            </w:r>
          </w:p>
          <w:p w14:paraId="4DC0C624"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4.1.b</w:t>
            </w:r>
          </w:p>
          <w:p w14:paraId="777E222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4.1.c</w:t>
            </w:r>
          </w:p>
        </w:tc>
        <w:tc>
          <w:tcPr>
            <w:tcW w:w="1259" w:type="dxa"/>
          </w:tcPr>
          <w:p w14:paraId="3CF017A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1/3</w:t>
            </w:r>
          </w:p>
        </w:tc>
        <w:tc>
          <w:tcPr>
            <w:tcW w:w="886" w:type="dxa"/>
          </w:tcPr>
          <w:p w14:paraId="61C8C04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0.9</w:t>
            </w:r>
          </w:p>
        </w:tc>
        <w:tc>
          <w:tcPr>
            <w:tcW w:w="661" w:type="dxa"/>
          </w:tcPr>
          <w:p w14:paraId="6D8556B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Pass</w:t>
            </w:r>
          </w:p>
        </w:tc>
      </w:tr>
      <w:tr w:rsidR="006D6FCC" w:rsidRPr="00CE1C14" w14:paraId="04B31D6B" w14:textId="77777777" w:rsidTr="00271CB3">
        <w:trPr>
          <w:trHeight w:val="282"/>
        </w:trPr>
        <w:tc>
          <w:tcPr>
            <w:cnfStyle w:val="001000000000" w:firstRow="0" w:lastRow="0" w:firstColumn="1" w:lastColumn="0" w:oddVBand="0" w:evenVBand="0" w:oddHBand="0" w:evenHBand="0" w:firstRowFirstColumn="0" w:firstRowLastColumn="0" w:lastRowFirstColumn="0" w:lastRowLastColumn="0"/>
            <w:tcW w:w="894" w:type="dxa"/>
            <w:vMerge/>
            <w:tcBorders>
              <w:bottom w:val="nil"/>
            </w:tcBorders>
          </w:tcPr>
          <w:p w14:paraId="25F51C85" w14:textId="77777777" w:rsidR="006D6FCC" w:rsidRPr="00CE1C14" w:rsidRDefault="006D6FCC" w:rsidP="00271CB3">
            <w:pPr>
              <w:pStyle w:val="NoSpacing"/>
              <w:rPr>
                <w:rFonts w:eastAsiaTheme="minorHAnsi"/>
                <w:sz w:val="18"/>
                <w:szCs w:val="18"/>
              </w:rPr>
            </w:pPr>
          </w:p>
        </w:tc>
        <w:tc>
          <w:tcPr>
            <w:tcW w:w="1536" w:type="dxa"/>
            <w:vMerge w:val="restart"/>
            <w:tcBorders>
              <w:top w:val="single" w:sz="4" w:space="0" w:color="7F7F7F" w:themeColor="text1" w:themeTint="80"/>
            </w:tcBorders>
          </w:tcPr>
          <w:p w14:paraId="4753D390"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asciiTheme="majorHAnsi" w:eastAsia="Avenir" w:hAnsiTheme="majorHAnsi" w:cstheme="majorHAnsi"/>
                <w:color w:val="002F59" w:themeColor="text2"/>
                <w:sz w:val="18"/>
                <w:szCs w:val="18"/>
              </w:rPr>
              <w:t>5. Access to documentation</w:t>
            </w:r>
          </w:p>
        </w:tc>
        <w:tc>
          <w:tcPr>
            <w:tcW w:w="2430" w:type="dxa"/>
            <w:tcBorders>
              <w:top w:val="single" w:sz="4" w:space="0" w:color="7F7F7F" w:themeColor="text1" w:themeTint="80"/>
              <w:bottom w:val="nil"/>
            </w:tcBorders>
          </w:tcPr>
          <w:p w14:paraId="75E80C7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5.1 Documentation</w:t>
            </w:r>
          </w:p>
        </w:tc>
        <w:tc>
          <w:tcPr>
            <w:tcW w:w="1360" w:type="dxa"/>
            <w:vMerge w:val="restart"/>
            <w:tcBorders>
              <w:top w:val="single" w:sz="4" w:space="0" w:color="7F7F7F" w:themeColor="text1" w:themeTint="80"/>
            </w:tcBorders>
          </w:tcPr>
          <w:p w14:paraId="6232D9D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5.1.a</w:t>
            </w:r>
          </w:p>
          <w:p w14:paraId="53DBF85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w:t>
            </w:r>
            <w:r>
              <w:rPr>
                <w:rFonts w:eastAsiaTheme="minorHAnsi"/>
                <w:sz w:val="18"/>
                <w:szCs w:val="18"/>
              </w:rPr>
              <w:t>b</w:t>
            </w:r>
          </w:p>
          <w:p w14:paraId="38D2859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w:t>
            </w:r>
            <w:r>
              <w:rPr>
                <w:rFonts w:eastAsiaTheme="minorHAnsi"/>
                <w:sz w:val="18"/>
                <w:szCs w:val="18"/>
              </w:rPr>
              <w:t>c</w:t>
            </w:r>
          </w:p>
        </w:tc>
        <w:tc>
          <w:tcPr>
            <w:tcW w:w="1259" w:type="dxa"/>
            <w:vMerge w:val="restart"/>
            <w:tcBorders>
              <w:top w:val="single" w:sz="4" w:space="0" w:color="7F7F7F" w:themeColor="text1" w:themeTint="80"/>
            </w:tcBorders>
          </w:tcPr>
          <w:p w14:paraId="7F5B8183"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r>
              <w:rPr>
                <w:rFonts w:eastAsiaTheme="minorHAnsi"/>
                <w:sz w:val="18"/>
                <w:szCs w:val="18"/>
              </w:rPr>
              <w:t>3</w:t>
            </w:r>
          </w:p>
        </w:tc>
        <w:tc>
          <w:tcPr>
            <w:tcW w:w="886" w:type="dxa"/>
            <w:vMerge w:val="restart"/>
            <w:tcBorders>
              <w:top w:val="single" w:sz="4" w:space="0" w:color="7F7F7F" w:themeColor="text1" w:themeTint="80"/>
            </w:tcBorders>
          </w:tcPr>
          <w:p w14:paraId="74847D5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0.9</w:t>
            </w:r>
          </w:p>
        </w:tc>
        <w:tc>
          <w:tcPr>
            <w:tcW w:w="661" w:type="dxa"/>
            <w:vMerge w:val="restart"/>
            <w:tcBorders>
              <w:top w:val="single" w:sz="4" w:space="0" w:color="7F7F7F" w:themeColor="text1" w:themeTint="80"/>
            </w:tcBorders>
          </w:tcPr>
          <w:p w14:paraId="19CA65E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No pass</w:t>
            </w:r>
          </w:p>
        </w:tc>
      </w:tr>
      <w:tr w:rsidR="006D6FCC" w:rsidRPr="00CE1C14" w14:paraId="006B47C9" w14:textId="77777777" w:rsidTr="00271CB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894" w:type="dxa"/>
            <w:tcBorders>
              <w:top w:val="nil"/>
              <w:bottom w:val="nil"/>
            </w:tcBorders>
          </w:tcPr>
          <w:p w14:paraId="667C3995" w14:textId="77777777" w:rsidR="006D6FCC" w:rsidRPr="00CE1C14" w:rsidRDefault="006D6FCC" w:rsidP="00271CB3">
            <w:pPr>
              <w:pStyle w:val="NoSpacing"/>
              <w:rPr>
                <w:rFonts w:eastAsiaTheme="minorHAnsi"/>
                <w:sz w:val="18"/>
                <w:szCs w:val="18"/>
              </w:rPr>
            </w:pPr>
          </w:p>
        </w:tc>
        <w:tc>
          <w:tcPr>
            <w:tcW w:w="1536" w:type="dxa"/>
            <w:vMerge/>
          </w:tcPr>
          <w:p w14:paraId="46B9ED4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asciiTheme="majorHAnsi" w:eastAsia="Avenir" w:hAnsiTheme="majorHAnsi" w:cstheme="majorHAnsi"/>
                <w:color w:val="002F59" w:themeColor="text2"/>
                <w:sz w:val="18"/>
                <w:szCs w:val="18"/>
              </w:rPr>
            </w:pPr>
          </w:p>
        </w:tc>
        <w:tc>
          <w:tcPr>
            <w:tcW w:w="2430" w:type="dxa"/>
            <w:tcBorders>
              <w:top w:val="nil"/>
              <w:bottom w:val="nil"/>
            </w:tcBorders>
          </w:tcPr>
          <w:p w14:paraId="65D1C3E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1360" w:type="dxa"/>
            <w:vMerge/>
          </w:tcPr>
          <w:p w14:paraId="3B55EE81"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1259" w:type="dxa"/>
            <w:vMerge/>
          </w:tcPr>
          <w:p w14:paraId="6AABA66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886" w:type="dxa"/>
            <w:vMerge/>
          </w:tcPr>
          <w:p w14:paraId="561C7C1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661" w:type="dxa"/>
            <w:vMerge/>
          </w:tcPr>
          <w:p w14:paraId="1DD145B1"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r>
      <w:tr w:rsidR="006D6FCC" w:rsidRPr="00CE1C14" w14:paraId="568EE802" w14:textId="77777777" w:rsidTr="00271CB3">
        <w:trPr>
          <w:trHeight w:val="113"/>
        </w:trPr>
        <w:tc>
          <w:tcPr>
            <w:cnfStyle w:val="001000000000" w:firstRow="0" w:lastRow="0" w:firstColumn="1" w:lastColumn="0" w:oddVBand="0" w:evenVBand="0" w:oddHBand="0" w:evenHBand="0" w:firstRowFirstColumn="0" w:firstRowLastColumn="0" w:lastRowFirstColumn="0" w:lastRowLastColumn="0"/>
            <w:tcW w:w="894" w:type="dxa"/>
            <w:tcBorders>
              <w:top w:val="nil"/>
              <w:bottom w:val="single" w:sz="12" w:space="0" w:color="000000"/>
            </w:tcBorders>
          </w:tcPr>
          <w:p w14:paraId="2EAD8B24" w14:textId="77777777" w:rsidR="006D6FCC" w:rsidRPr="00CE1C14" w:rsidRDefault="006D6FCC" w:rsidP="00271CB3">
            <w:pPr>
              <w:pStyle w:val="NoSpacing"/>
              <w:rPr>
                <w:rFonts w:eastAsiaTheme="minorHAnsi"/>
                <w:sz w:val="18"/>
                <w:szCs w:val="18"/>
              </w:rPr>
            </w:pPr>
          </w:p>
        </w:tc>
        <w:tc>
          <w:tcPr>
            <w:tcW w:w="1536" w:type="dxa"/>
            <w:vMerge/>
            <w:tcBorders>
              <w:bottom w:val="single" w:sz="12" w:space="0" w:color="000000"/>
            </w:tcBorders>
          </w:tcPr>
          <w:p w14:paraId="52BFA27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asciiTheme="majorHAnsi" w:eastAsia="Avenir" w:hAnsiTheme="majorHAnsi" w:cstheme="majorHAnsi"/>
                <w:color w:val="002F59" w:themeColor="text2"/>
                <w:sz w:val="18"/>
                <w:szCs w:val="18"/>
              </w:rPr>
            </w:pPr>
          </w:p>
        </w:tc>
        <w:tc>
          <w:tcPr>
            <w:tcW w:w="2430" w:type="dxa"/>
            <w:tcBorders>
              <w:top w:val="nil"/>
              <w:bottom w:val="single" w:sz="12" w:space="0" w:color="000000"/>
            </w:tcBorders>
          </w:tcPr>
          <w:p w14:paraId="1CC9ACE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p>
        </w:tc>
        <w:tc>
          <w:tcPr>
            <w:tcW w:w="1360" w:type="dxa"/>
            <w:vMerge/>
            <w:tcBorders>
              <w:bottom w:val="single" w:sz="12" w:space="0" w:color="000000"/>
            </w:tcBorders>
          </w:tcPr>
          <w:p w14:paraId="7FFA0183"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1259" w:type="dxa"/>
            <w:vMerge/>
            <w:tcBorders>
              <w:bottom w:val="single" w:sz="12" w:space="0" w:color="000000"/>
            </w:tcBorders>
          </w:tcPr>
          <w:p w14:paraId="3518ED43"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886" w:type="dxa"/>
            <w:vMerge/>
            <w:tcBorders>
              <w:bottom w:val="single" w:sz="12" w:space="0" w:color="000000"/>
            </w:tcBorders>
          </w:tcPr>
          <w:p w14:paraId="1852E1C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661" w:type="dxa"/>
            <w:vMerge/>
            <w:tcBorders>
              <w:bottom w:val="single" w:sz="12" w:space="0" w:color="000000"/>
            </w:tcBorders>
          </w:tcPr>
          <w:p w14:paraId="3EAB8EB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r>
      <w:tr w:rsidR="006D6FCC" w:rsidRPr="00CE1C14" w14:paraId="1976EA53"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894" w:type="dxa"/>
            <w:tcBorders>
              <w:top w:val="single" w:sz="12" w:space="0" w:color="000000"/>
            </w:tcBorders>
          </w:tcPr>
          <w:p w14:paraId="43677349" w14:textId="77777777" w:rsidR="006D6FCC" w:rsidRPr="00CE1C14" w:rsidRDefault="006D6FCC" w:rsidP="00271CB3">
            <w:pPr>
              <w:pStyle w:val="NoSpacing"/>
              <w:rPr>
                <w:rFonts w:eastAsiaTheme="minorHAnsi"/>
                <w:sz w:val="18"/>
                <w:szCs w:val="18"/>
              </w:rPr>
            </w:pPr>
          </w:p>
        </w:tc>
        <w:tc>
          <w:tcPr>
            <w:tcW w:w="1536" w:type="dxa"/>
            <w:tcBorders>
              <w:top w:val="single" w:sz="12" w:space="0" w:color="000000"/>
            </w:tcBorders>
          </w:tcPr>
          <w:p w14:paraId="72BE9A33"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p>
        </w:tc>
        <w:tc>
          <w:tcPr>
            <w:tcW w:w="2430" w:type="dxa"/>
            <w:tcBorders>
              <w:top w:val="single" w:sz="12" w:space="0" w:color="000000"/>
            </w:tcBorders>
          </w:tcPr>
          <w:p w14:paraId="152E78D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Decision</w:t>
            </w:r>
          </w:p>
        </w:tc>
        <w:tc>
          <w:tcPr>
            <w:tcW w:w="4166" w:type="dxa"/>
            <w:gridSpan w:val="4"/>
            <w:tcBorders>
              <w:top w:val="single" w:sz="12" w:space="0" w:color="000000"/>
            </w:tcBorders>
          </w:tcPr>
          <w:p w14:paraId="32DE6935"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The household has not overcome displacement as the composite index for some criteria is lower than the benchmark</w:t>
            </w:r>
          </w:p>
        </w:tc>
      </w:tr>
    </w:tbl>
    <w:p w14:paraId="5F266D42" w14:textId="77777777" w:rsidR="006D6FCC" w:rsidRDefault="006D6FCC" w:rsidP="00EC394D">
      <w:pPr>
        <w:jc w:val="both"/>
      </w:pPr>
    </w:p>
    <w:p w14:paraId="7D1D0E61" w14:textId="20941911" w:rsidR="001D4315" w:rsidRPr="001D4315" w:rsidRDefault="001D4315" w:rsidP="00EC394D">
      <w:pPr>
        <w:jc w:val="both"/>
        <w:rPr>
          <w:rFonts w:cstheme="minorHAnsi"/>
          <w:i/>
          <w:iCs/>
        </w:rPr>
      </w:pPr>
      <w:r w:rsidRPr="001D4315">
        <w:rPr>
          <w:i/>
          <w:iCs/>
        </w:rPr>
        <w:t>Option 3: A set of composite sub-indices at the sub-criterion level</w:t>
      </w:r>
    </w:p>
    <w:p w14:paraId="5B17D83C" w14:textId="246A43D4" w:rsidR="006D6FCC" w:rsidRPr="006D6FCC" w:rsidRDefault="003F5F56" w:rsidP="006D6FCC">
      <w:pPr>
        <w:jc w:val="both"/>
        <w:rPr>
          <w:rFonts w:cstheme="minorHAnsi"/>
        </w:rPr>
      </w:pPr>
      <w:r w:rsidRPr="001D4315">
        <w:rPr>
          <w:rFonts w:cstheme="minorHAnsi"/>
        </w:rPr>
        <w:t xml:space="preserve">Very similar to the second approach, one could define composite indices within each sub-criterion. For example, the composite index for sub-criterion </w:t>
      </w:r>
      <w:r w:rsidR="00D23B70" w:rsidRPr="00D23B70">
        <w:rPr>
          <w:rFonts w:cstheme="minorHAnsi"/>
          <w:i/>
          <w:iCs/>
        </w:rPr>
        <w:t>2.1 F</w:t>
      </w:r>
      <w:r w:rsidRPr="00D23B70">
        <w:rPr>
          <w:rFonts w:cstheme="minorHAnsi"/>
          <w:i/>
          <w:iCs/>
        </w:rPr>
        <w:t>ood security</w:t>
      </w:r>
      <w:r w:rsidRPr="001D4315">
        <w:rPr>
          <w:rFonts w:cstheme="minorHAnsi"/>
        </w:rPr>
        <w:t xml:space="preserve"> could be associated with 3 equally weighted binary indicators. A household could then score values of 0-3 on this sub-criterion index (or 0%, 33%, 66%, 100%). This score can be compared with a distribution average in the comparator population for the same composite index</w:t>
      </w:r>
      <w:r>
        <w:t xml:space="preserve">. The major difference between this option and options 1&amp;2 above is that this option would not constitute a methodological deviation from IRIS, in that it would ensure that a pass is achieved at the sub-criterion level for </w:t>
      </w:r>
      <w:r w:rsidRPr="001D4315">
        <w:rPr>
          <w:rFonts w:cstheme="minorHAnsi"/>
        </w:rPr>
        <w:t xml:space="preserve">a household to be taken out of the IDP stock. However, there is a serious feasibility issue with this option. As with the preceding option, </w:t>
      </w:r>
      <w:r>
        <w:t>at least 2 binary indicators are required per sub-criterion to construct an index, but more would be recommended. A small number of indicators per sub-criterion would result in a cruder measure, thereby barely overcoming challenge 2 (</w:t>
      </w:r>
      <w:r w:rsidRPr="001D4315">
        <w:rPr>
          <w:rFonts w:cstheme="minorHAnsi"/>
        </w:rPr>
        <w:t>as we will still be comparing discrete values – e.g. 0;1;2 in the case of 2 indicators for a given sub-criterion - with a continuous distribution average; so for a given household to perform on par or better than the benchmark, it would be irrelevant whether the benchmark valuer was, say, 0.1 or 0.9 – in either case the household in question would need to score a 1 to achieve a pass on this criterion)</w:t>
      </w:r>
      <w:r>
        <w:t>. Assuming at least 3 indicators per each of the 10 sub-criteria, this would result in an overall computation based on at least 30 indicators – which appears overly burdensome for widespread application.</w:t>
      </w:r>
      <w:r w:rsidRPr="001D4315">
        <w:rPr>
          <w:rFonts w:cstheme="minorHAnsi"/>
        </w:rPr>
        <w:t xml:space="preserve"> </w:t>
      </w:r>
    </w:p>
    <w:p w14:paraId="3CCF64EB" w14:textId="77777777" w:rsidR="006D6FCC" w:rsidRPr="006D6FCC" w:rsidRDefault="006D6FCC" w:rsidP="006D6FCC">
      <w:pPr>
        <w:pStyle w:val="TabFigSW"/>
      </w:pPr>
      <w:r w:rsidRPr="006D6FCC">
        <w:t>Option 3: A composite metric at the sub-criterion level</w:t>
      </w:r>
    </w:p>
    <w:tbl>
      <w:tblPr>
        <w:tblStyle w:val="PlainTable2"/>
        <w:tblW w:w="9026" w:type="dxa"/>
        <w:tblLook w:val="04A0" w:firstRow="1" w:lastRow="0" w:firstColumn="1" w:lastColumn="0" w:noHBand="0" w:noVBand="1"/>
      </w:tblPr>
      <w:tblGrid>
        <w:gridCol w:w="1250"/>
        <w:gridCol w:w="1562"/>
        <w:gridCol w:w="1688"/>
        <w:gridCol w:w="503"/>
        <w:gridCol w:w="1250"/>
        <w:gridCol w:w="202"/>
        <w:gridCol w:w="1404"/>
        <w:gridCol w:w="1167"/>
      </w:tblGrid>
      <w:tr w:rsidR="006D6FCC" w:rsidRPr="0029108B" w14:paraId="0909B050"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50" w:type="dxa"/>
            <w:tcBorders>
              <w:bottom w:val="single" w:sz="12" w:space="0" w:color="000000"/>
            </w:tcBorders>
          </w:tcPr>
          <w:p w14:paraId="7B5F4D28" w14:textId="77777777" w:rsidR="006D6FCC" w:rsidRPr="0029108B" w:rsidRDefault="006D6FCC" w:rsidP="00271CB3">
            <w:pPr>
              <w:pStyle w:val="NoSpacing"/>
              <w:rPr>
                <w:rFonts w:eastAsiaTheme="minorHAnsi"/>
                <w:sz w:val="18"/>
                <w:szCs w:val="18"/>
              </w:rPr>
            </w:pPr>
          </w:p>
        </w:tc>
        <w:tc>
          <w:tcPr>
            <w:tcW w:w="1562" w:type="dxa"/>
            <w:tcBorders>
              <w:bottom w:val="single" w:sz="12" w:space="0" w:color="000000"/>
            </w:tcBorders>
          </w:tcPr>
          <w:p w14:paraId="121FE3CE"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29108B">
              <w:rPr>
                <w:rFonts w:eastAsiaTheme="minorHAnsi"/>
                <w:color w:val="002F59" w:themeColor="text2"/>
                <w:sz w:val="18"/>
                <w:szCs w:val="18"/>
              </w:rPr>
              <w:t>Sub-criterion</w:t>
            </w:r>
          </w:p>
        </w:tc>
        <w:tc>
          <w:tcPr>
            <w:tcW w:w="1688" w:type="dxa"/>
            <w:tcBorders>
              <w:bottom w:val="single" w:sz="12" w:space="0" w:color="000000"/>
            </w:tcBorders>
          </w:tcPr>
          <w:p w14:paraId="6C731B71"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29108B">
              <w:rPr>
                <w:rFonts w:eastAsiaTheme="minorHAnsi"/>
                <w:color w:val="002F59" w:themeColor="text2"/>
                <w:sz w:val="18"/>
                <w:szCs w:val="18"/>
              </w:rPr>
              <w:t>Indicators</w:t>
            </w:r>
          </w:p>
        </w:tc>
        <w:tc>
          <w:tcPr>
            <w:tcW w:w="503" w:type="dxa"/>
            <w:tcBorders>
              <w:bottom w:val="single" w:sz="12" w:space="0" w:color="000000"/>
            </w:tcBorders>
          </w:tcPr>
          <w:p w14:paraId="16F0B471"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p>
        </w:tc>
        <w:tc>
          <w:tcPr>
            <w:tcW w:w="1250" w:type="dxa"/>
            <w:tcBorders>
              <w:bottom w:val="single" w:sz="12" w:space="0" w:color="000000"/>
            </w:tcBorders>
          </w:tcPr>
          <w:p w14:paraId="2B47063A"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29108B">
              <w:rPr>
                <w:rFonts w:eastAsiaTheme="minorHAnsi"/>
                <w:color w:val="002F59" w:themeColor="text2"/>
                <w:sz w:val="18"/>
                <w:szCs w:val="18"/>
              </w:rPr>
              <w:t xml:space="preserve">Composite </w:t>
            </w:r>
          </w:p>
        </w:tc>
        <w:tc>
          <w:tcPr>
            <w:tcW w:w="2773" w:type="dxa"/>
            <w:gridSpan w:val="3"/>
            <w:tcBorders>
              <w:bottom w:val="single" w:sz="12" w:space="0" w:color="000000"/>
            </w:tcBorders>
          </w:tcPr>
          <w:p w14:paraId="5EC6BB3B" w14:textId="77777777" w:rsidR="006D6FCC" w:rsidRPr="0029108B"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29108B">
              <w:rPr>
                <w:rFonts w:eastAsiaTheme="minorHAnsi"/>
                <w:color w:val="002F59" w:themeColor="text2"/>
                <w:sz w:val="18"/>
                <w:szCs w:val="18"/>
              </w:rPr>
              <w:t>Comparison to benchmark</w:t>
            </w:r>
          </w:p>
        </w:tc>
      </w:tr>
      <w:tr w:rsidR="006D6FCC" w:rsidRPr="0029108B" w14:paraId="73452EA4"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250" w:type="dxa"/>
            <w:vMerge w:val="restart"/>
            <w:tcBorders>
              <w:top w:val="single" w:sz="12" w:space="0" w:color="000000"/>
            </w:tcBorders>
          </w:tcPr>
          <w:p w14:paraId="53BD936D" w14:textId="77777777" w:rsidR="006D6FCC" w:rsidRPr="0029108B" w:rsidRDefault="006D6FCC" w:rsidP="00271CB3">
            <w:pPr>
              <w:pStyle w:val="NoSpacing"/>
              <w:rPr>
                <w:rFonts w:eastAsiaTheme="minorHAnsi"/>
                <w:sz w:val="18"/>
                <w:szCs w:val="18"/>
              </w:rPr>
            </w:pPr>
            <w:r w:rsidRPr="0029108B">
              <w:rPr>
                <w:rFonts w:eastAsiaTheme="minorHAnsi"/>
                <w:sz w:val="18"/>
                <w:szCs w:val="18"/>
              </w:rPr>
              <w:t>Household A</w:t>
            </w:r>
          </w:p>
        </w:tc>
        <w:tc>
          <w:tcPr>
            <w:tcW w:w="1562" w:type="dxa"/>
            <w:tcBorders>
              <w:top w:val="single" w:sz="12" w:space="0" w:color="000000"/>
            </w:tcBorders>
          </w:tcPr>
          <w:p w14:paraId="2ACD9670"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Avenir"/>
                <w:sz w:val="18"/>
                <w:szCs w:val="18"/>
              </w:rPr>
              <w:t>1.1 Victims of violence</w:t>
            </w:r>
          </w:p>
        </w:tc>
        <w:tc>
          <w:tcPr>
            <w:tcW w:w="1688" w:type="dxa"/>
            <w:tcBorders>
              <w:top w:val="single" w:sz="12" w:space="0" w:color="000000"/>
            </w:tcBorders>
          </w:tcPr>
          <w:p w14:paraId="2C11185C"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1.1.a</w:t>
            </w:r>
          </w:p>
          <w:p w14:paraId="26E05AD0"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1.1.b</w:t>
            </w:r>
          </w:p>
          <w:p w14:paraId="0808ABCB"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1.1.c</w:t>
            </w:r>
          </w:p>
        </w:tc>
        <w:tc>
          <w:tcPr>
            <w:tcW w:w="503" w:type="dxa"/>
            <w:tcBorders>
              <w:top w:val="single" w:sz="12" w:space="0" w:color="000000"/>
            </w:tcBorders>
          </w:tcPr>
          <w:p w14:paraId="4FB3302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284A7AB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4C51B92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Borders>
              <w:top w:val="single" w:sz="12" w:space="0" w:color="000000"/>
            </w:tcBorders>
          </w:tcPr>
          <w:p w14:paraId="763A1497"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3</w:t>
            </w:r>
          </w:p>
        </w:tc>
        <w:tc>
          <w:tcPr>
            <w:tcW w:w="1404" w:type="dxa"/>
            <w:tcBorders>
              <w:top w:val="single" w:sz="12" w:space="0" w:color="000000"/>
            </w:tcBorders>
          </w:tcPr>
          <w:p w14:paraId="2D34E0DD"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2.8</w:t>
            </w:r>
          </w:p>
        </w:tc>
        <w:tc>
          <w:tcPr>
            <w:tcW w:w="1167" w:type="dxa"/>
            <w:tcBorders>
              <w:top w:val="single" w:sz="12" w:space="0" w:color="000000"/>
            </w:tcBorders>
          </w:tcPr>
          <w:p w14:paraId="60A34970"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3497AB3E" w14:textId="77777777" w:rsidTr="00271CB3">
        <w:trPr>
          <w:trHeight w:val="107"/>
        </w:trPr>
        <w:tc>
          <w:tcPr>
            <w:cnfStyle w:val="001000000000" w:firstRow="0" w:lastRow="0" w:firstColumn="1" w:lastColumn="0" w:oddVBand="0" w:evenVBand="0" w:oddHBand="0" w:evenHBand="0" w:firstRowFirstColumn="0" w:firstRowLastColumn="0" w:lastRowFirstColumn="0" w:lastRowLastColumn="0"/>
            <w:tcW w:w="1250" w:type="dxa"/>
            <w:vMerge/>
          </w:tcPr>
          <w:p w14:paraId="401B4B6E" w14:textId="77777777" w:rsidR="006D6FCC" w:rsidRPr="0029108B" w:rsidRDefault="006D6FCC" w:rsidP="00271CB3">
            <w:pPr>
              <w:pStyle w:val="NoSpacing"/>
              <w:rPr>
                <w:rFonts w:eastAsiaTheme="minorHAnsi"/>
                <w:sz w:val="18"/>
                <w:szCs w:val="18"/>
              </w:rPr>
            </w:pPr>
          </w:p>
        </w:tc>
        <w:tc>
          <w:tcPr>
            <w:tcW w:w="1562" w:type="dxa"/>
          </w:tcPr>
          <w:p w14:paraId="72298C8E"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1.2 Freedom of movement</w:t>
            </w:r>
          </w:p>
        </w:tc>
        <w:tc>
          <w:tcPr>
            <w:tcW w:w="1688" w:type="dxa"/>
          </w:tcPr>
          <w:p w14:paraId="3F021C5F"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1.2.a</w:t>
            </w:r>
          </w:p>
          <w:p w14:paraId="4F073ADB"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1.2.b</w:t>
            </w:r>
          </w:p>
          <w:p w14:paraId="6369D54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1.2.c</w:t>
            </w:r>
          </w:p>
        </w:tc>
        <w:tc>
          <w:tcPr>
            <w:tcW w:w="503" w:type="dxa"/>
          </w:tcPr>
          <w:p w14:paraId="6E28BA7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2B868315"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625F8F46"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070857AF"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3</w:t>
            </w:r>
          </w:p>
        </w:tc>
        <w:tc>
          <w:tcPr>
            <w:tcW w:w="1404" w:type="dxa"/>
          </w:tcPr>
          <w:p w14:paraId="66189396"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2.5</w:t>
            </w:r>
          </w:p>
        </w:tc>
        <w:tc>
          <w:tcPr>
            <w:tcW w:w="1167" w:type="dxa"/>
          </w:tcPr>
          <w:p w14:paraId="57E2D87A"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4A5F6EAC"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50" w:type="dxa"/>
            <w:vMerge/>
          </w:tcPr>
          <w:p w14:paraId="39914B15" w14:textId="77777777" w:rsidR="006D6FCC" w:rsidRPr="0029108B" w:rsidRDefault="006D6FCC" w:rsidP="00271CB3">
            <w:pPr>
              <w:pStyle w:val="NoSpacing"/>
              <w:rPr>
                <w:rFonts w:eastAsiaTheme="minorHAnsi"/>
                <w:sz w:val="18"/>
                <w:szCs w:val="18"/>
              </w:rPr>
            </w:pPr>
          </w:p>
        </w:tc>
        <w:tc>
          <w:tcPr>
            <w:tcW w:w="1562" w:type="dxa"/>
          </w:tcPr>
          <w:p w14:paraId="15FA2B24"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2.1 Food security</w:t>
            </w:r>
          </w:p>
        </w:tc>
        <w:tc>
          <w:tcPr>
            <w:tcW w:w="1688" w:type="dxa"/>
          </w:tcPr>
          <w:p w14:paraId="3955B4A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2.1.a</w:t>
            </w:r>
          </w:p>
          <w:p w14:paraId="27FF794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2.1.b</w:t>
            </w:r>
          </w:p>
          <w:p w14:paraId="0EDD5FA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2.1.c</w:t>
            </w:r>
          </w:p>
        </w:tc>
        <w:tc>
          <w:tcPr>
            <w:tcW w:w="503" w:type="dxa"/>
          </w:tcPr>
          <w:p w14:paraId="5DAA8977"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72687C3C"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2D72FA1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2EF20F2A"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2</w:t>
            </w:r>
          </w:p>
        </w:tc>
        <w:tc>
          <w:tcPr>
            <w:tcW w:w="1404" w:type="dxa"/>
          </w:tcPr>
          <w:p w14:paraId="173C95ED"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1.1</w:t>
            </w:r>
          </w:p>
        </w:tc>
        <w:tc>
          <w:tcPr>
            <w:tcW w:w="1167" w:type="dxa"/>
          </w:tcPr>
          <w:p w14:paraId="0A506C8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1CFF9537" w14:textId="77777777" w:rsidTr="00271CB3">
        <w:trPr>
          <w:trHeight w:val="260"/>
        </w:trPr>
        <w:tc>
          <w:tcPr>
            <w:cnfStyle w:val="001000000000" w:firstRow="0" w:lastRow="0" w:firstColumn="1" w:lastColumn="0" w:oddVBand="0" w:evenVBand="0" w:oddHBand="0" w:evenHBand="0" w:firstRowFirstColumn="0" w:firstRowLastColumn="0" w:lastRowFirstColumn="0" w:lastRowLastColumn="0"/>
            <w:tcW w:w="1250" w:type="dxa"/>
            <w:vMerge/>
          </w:tcPr>
          <w:p w14:paraId="4A25A635" w14:textId="77777777" w:rsidR="006D6FCC" w:rsidRPr="0029108B" w:rsidRDefault="006D6FCC" w:rsidP="00271CB3">
            <w:pPr>
              <w:pStyle w:val="NoSpacing"/>
              <w:rPr>
                <w:rFonts w:eastAsiaTheme="minorHAnsi"/>
                <w:sz w:val="18"/>
                <w:szCs w:val="18"/>
              </w:rPr>
            </w:pPr>
          </w:p>
        </w:tc>
        <w:tc>
          <w:tcPr>
            <w:tcW w:w="1562" w:type="dxa"/>
          </w:tcPr>
          <w:p w14:paraId="21662469"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2.2 Shelter and housing</w:t>
            </w:r>
          </w:p>
        </w:tc>
        <w:tc>
          <w:tcPr>
            <w:tcW w:w="1688" w:type="dxa"/>
          </w:tcPr>
          <w:p w14:paraId="668F8BD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2.2.a</w:t>
            </w:r>
          </w:p>
          <w:p w14:paraId="2BF56E36"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2.2.b</w:t>
            </w:r>
          </w:p>
          <w:p w14:paraId="0191C7B1"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2.2.c</w:t>
            </w:r>
          </w:p>
        </w:tc>
        <w:tc>
          <w:tcPr>
            <w:tcW w:w="503" w:type="dxa"/>
          </w:tcPr>
          <w:p w14:paraId="50A67C02"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1DF04719"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25E45E61"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45056FFA"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2</w:t>
            </w:r>
          </w:p>
        </w:tc>
        <w:tc>
          <w:tcPr>
            <w:tcW w:w="1404" w:type="dxa"/>
          </w:tcPr>
          <w:p w14:paraId="7CA5A142"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1.9</w:t>
            </w:r>
          </w:p>
        </w:tc>
        <w:tc>
          <w:tcPr>
            <w:tcW w:w="1167" w:type="dxa"/>
          </w:tcPr>
          <w:p w14:paraId="79286034"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4924D717" w14:textId="77777777" w:rsidTr="00271CB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50" w:type="dxa"/>
            <w:vMerge/>
          </w:tcPr>
          <w:p w14:paraId="140C2F3B" w14:textId="77777777" w:rsidR="006D6FCC" w:rsidRPr="0029108B" w:rsidRDefault="006D6FCC" w:rsidP="00271CB3">
            <w:pPr>
              <w:pStyle w:val="NoSpacing"/>
              <w:rPr>
                <w:rFonts w:eastAsiaTheme="minorHAnsi"/>
                <w:sz w:val="18"/>
                <w:szCs w:val="18"/>
              </w:rPr>
            </w:pPr>
          </w:p>
        </w:tc>
        <w:tc>
          <w:tcPr>
            <w:tcW w:w="1562" w:type="dxa"/>
          </w:tcPr>
          <w:p w14:paraId="327CB284"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2.3 Medical services</w:t>
            </w:r>
          </w:p>
        </w:tc>
        <w:tc>
          <w:tcPr>
            <w:tcW w:w="1688" w:type="dxa"/>
          </w:tcPr>
          <w:p w14:paraId="74D941C0"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2.3.a</w:t>
            </w:r>
          </w:p>
          <w:p w14:paraId="4DBC4DB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2.3.b</w:t>
            </w:r>
          </w:p>
          <w:p w14:paraId="4BFF80E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2.3.c</w:t>
            </w:r>
          </w:p>
        </w:tc>
        <w:tc>
          <w:tcPr>
            <w:tcW w:w="503" w:type="dxa"/>
          </w:tcPr>
          <w:p w14:paraId="24015365"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61E920FB"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47A32E7A"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5A3ACA5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3</w:t>
            </w:r>
          </w:p>
        </w:tc>
        <w:tc>
          <w:tcPr>
            <w:tcW w:w="1404" w:type="dxa"/>
          </w:tcPr>
          <w:p w14:paraId="1C72865D"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3</w:t>
            </w:r>
          </w:p>
        </w:tc>
        <w:tc>
          <w:tcPr>
            <w:tcW w:w="1167" w:type="dxa"/>
          </w:tcPr>
          <w:p w14:paraId="70996E2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7730D1C9"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1250" w:type="dxa"/>
            <w:vMerge/>
          </w:tcPr>
          <w:p w14:paraId="255C7B47" w14:textId="77777777" w:rsidR="006D6FCC" w:rsidRPr="0029108B" w:rsidRDefault="006D6FCC" w:rsidP="00271CB3">
            <w:pPr>
              <w:pStyle w:val="NoSpacing"/>
              <w:rPr>
                <w:rFonts w:eastAsiaTheme="minorHAnsi"/>
                <w:sz w:val="18"/>
                <w:szCs w:val="18"/>
              </w:rPr>
            </w:pPr>
          </w:p>
        </w:tc>
        <w:tc>
          <w:tcPr>
            <w:tcW w:w="1562" w:type="dxa"/>
          </w:tcPr>
          <w:p w14:paraId="67F2182D"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2.4 Education</w:t>
            </w:r>
          </w:p>
        </w:tc>
        <w:tc>
          <w:tcPr>
            <w:tcW w:w="1688" w:type="dxa"/>
          </w:tcPr>
          <w:p w14:paraId="4D9657D4"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2.4.a</w:t>
            </w:r>
          </w:p>
          <w:p w14:paraId="1BB445E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2.4.b</w:t>
            </w:r>
          </w:p>
          <w:p w14:paraId="6DEB236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2.4.c</w:t>
            </w:r>
          </w:p>
        </w:tc>
        <w:tc>
          <w:tcPr>
            <w:tcW w:w="503" w:type="dxa"/>
          </w:tcPr>
          <w:p w14:paraId="70BA413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3464E5A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1DCBD9B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tc>
        <w:tc>
          <w:tcPr>
            <w:tcW w:w="1452" w:type="dxa"/>
            <w:gridSpan w:val="2"/>
          </w:tcPr>
          <w:p w14:paraId="306C2057"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1</w:t>
            </w:r>
          </w:p>
        </w:tc>
        <w:tc>
          <w:tcPr>
            <w:tcW w:w="1404" w:type="dxa"/>
          </w:tcPr>
          <w:p w14:paraId="3F2181CC"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3.5</w:t>
            </w:r>
          </w:p>
        </w:tc>
        <w:tc>
          <w:tcPr>
            <w:tcW w:w="1167" w:type="dxa"/>
          </w:tcPr>
          <w:p w14:paraId="037D40EF"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No pass</w:t>
            </w:r>
          </w:p>
        </w:tc>
      </w:tr>
      <w:tr w:rsidR="006D6FCC" w:rsidRPr="0029108B" w14:paraId="0F726341"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50" w:type="dxa"/>
            <w:vMerge/>
          </w:tcPr>
          <w:p w14:paraId="26ECF85E" w14:textId="77777777" w:rsidR="006D6FCC" w:rsidRPr="0029108B" w:rsidRDefault="006D6FCC" w:rsidP="00271CB3">
            <w:pPr>
              <w:pStyle w:val="NoSpacing"/>
              <w:rPr>
                <w:rFonts w:eastAsiaTheme="minorHAnsi"/>
                <w:sz w:val="18"/>
                <w:szCs w:val="18"/>
              </w:rPr>
            </w:pPr>
          </w:p>
        </w:tc>
        <w:tc>
          <w:tcPr>
            <w:tcW w:w="1562" w:type="dxa"/>
          </w:tcPr>
          <w:p w14:paraId="6C00FACC"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3.1 Employment &amp; livelihoods</w:t>
            </w:r>
          </w:p>
        </w:tc>
        <w:tc>
          <w:tcPr>
            <w:tcW w:w="1688" w:type="dxa"/>
          </w:tcPr>
          <w:p w14:paraId="7CA25D57"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3.1.a</w:t>
            </w:r>
          </w:p>
          <w:p w14:paraId="7BE3CEE8"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3.1.b</w:t>
            </w:r>
          </w:p>
          <w:p w14:paraId="6D85A7AB"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3.1.c</w:t>
            </w:r>
          </w:p>
        </w:tc>
        <w:tc>
          <w:tcPr>
            <w:tcW w:w="503" w:type="dxa"/>
          </w:tcPr>
          <w:p w14:paraId="3B7E4208"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75B810E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316E8D7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0</w:t>
            </w:r>
          </w:p>
        </w:tc>
        <w:tc>
          <w:tcPr>
            <w:tcW w:w="1452" w:type="dxa"/>
            <w:gridSpan w:val="2"/>
          </w:tcPr>
          <w:p w14:paraId="79361D1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0</w:t>
            </w:r>
          </w:p>
        </w:tc>
        <w:tc>
          <w:tcPr>
            <w:tcW w:w="1404" w:type="dxa"/>
          </w:tcPr>
          <w:p w14:paraId="2C07F0A6"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1.5</w:t>
            </w:r>
          </w:p>
        </w:tc>
        <w:tc>
          <w:tcPr>
            <w:tcW w:w="1167" w:type="dxa"/>
          </w:tcPr>
          <w:p w14:paraId="47A7E7B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No pass</w:t>
            </w:r>
          </w:p>
        </w:tc>
      </w:tr>
      <w:tr w:rsidR="006D6FCC" w:rsidRPr="0029108B" w14:paraId="6B6ADBF5"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1250" w:type="dxa"/>
            <w:vMerge/>
          </w:tcPr>
          <w:p w14:paraId="3256786D" w14:textId="77777777" w:rsidR="006D6FCC" w:rsidRPr="0029108B" w:rsidRDefault="006D6FCC" w:rsidP="00271CB3">
            <w:pPr>
              <w:pStyle w:val="NoSpacing"/>
              <w:rPr>
                <w:rFonts w:eastAsiaTheme="minorHAnsi"/>
                <w:sz w:val="18"/>
                <w:szCs w:val="18"/>
              </w:rPr>
            </w:pPr>
          </w:p>
        </w:tc>
        <w:tc>
          <w:tcPr>
            <w:tcW w:w="1562" w:type="dxa"/>
          </w:tcPr>
          <w:p w14:paraId="3A56AFD6"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3.2 Economic security</w:t>
            </w:r>
          </w:p>
        </w:tc>
        <w:tc>
          <w:tcPr>
            <w:tcW w:w="1688" w:type="dxa"/>
          </w:tcPr>
          <w:p w14:paraId="2AA46E19"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3.2.a</w:t>
            </w:r>
          </w:p>
          <w:p w14:paraId="01208842"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3.2.b</w:t>
            </w:r>
          </w:p>
          <w:p w14:paraId="5817F0EA"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3.2.c</w:t>
            </w:r>
          </w:p>
        </w:tc>
        <w:tc>
          <w:tcPr>
            <w:tcW w:w="503" w:type="dxa"/>
          </w:tcPr>
          <w:p w14:paraId="29822FE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02748FA2"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4CB6DDBE"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1E659C1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1</w:t>
            </w:r>
          </w:p>
        </w:tc>
        <w:tc>
          <w:tcPr>
            <w:tcW w:w="1404" w:type="dxa"/>
          </w:tcPr>
          <w:p w14:paraId="3B21F593"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2.9</w:t>
            </w:r>
          </w:p>
        </w:tc>
        <w:tc>
          <w:tcPr>
            <w:tcW w:w="1167" w:type="dxa"/>
          </w:tcPr>
          <w:p w14:paraId="20D6CC5D"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No pass</w:t>
            </w:r>
          </w:p>
        </w:tc>
      </w:tr>
      <w:tr w:rsidR="006D6FCC" w:rsidRPr="0029108B" w14:paraId="189F9380"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50" w:type="dxa"/>
            <w:vMerge/>
          </w:tcPr>
          <w:p w14:paraId="7D852D7A" w14:textId="77777777" w:rsidR="006D6FCC" w:rsidRPr="0029108B" w:rsidRDefault="006D6FCC" w:rsidP="00271CB3">
            <w:pPr>
              <w:pStyle w:val="NoSpacing"/>
              <w:rPr>
                <w:rFonts w:eastAsiaTheme="minorHAnsi"/>
                <w:sz w:val="18"/>
                <w:szCs w:val="18"/>
              </w:rPr>
            </w:pPr>
          </w:p>
        </w:tc>
        <w:tc>
          <w:tcPr>
            <w:tcW w:w="1562" w:type="dxa"/>
          </w:tcPr>
          <w:p w14:paraId="792E9BAD"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4.1 Property restitution &amp; compensation</w:t>
            </w:r>
          </w:p>
        </w:tc>
        <w:tc>
          <w:tcPr>
            <w:tcW w:w="1688" w:type="dxa"/>
          </w:tcPr>
          <w:p w14:paraId="0C172D84"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4.1.a</w:t>
            </w:r>
          </w:p>
          <w:p w14:paraId="7039E98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4.1.b</w:t>
            </w:r>
          </w:p>
          <w:p w14:paraId="78C1ED2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Indicator 4.1.c</w:t>
            </w:r>
          </w:p>
        </w:tc>
        <w:tc>
          <w:tcPr>
            <w:tcW w:w="503" w:type="dxa"/>
          </w:tcPr>
          <w:p w14:paraId="42B43268"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15FEAB02"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65F31C6E"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Pr>
          <w:p w14:paraId="3A96845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   3</w:t>
            </w:r>
          </w:p>
        </w:tc>
        <w:tc>
          <w:tcPr>
            <w:tcW w:w="1404" w:type="dxa"/>
          </w:tcPr>
          <w:p w14:paraId="3B6022BF"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2.5</w:t>
            </w:r>
          </w:p>
        </w:tc>
        <w:tc>
          <w:tcPr>
            <w:tcW w:w="1167" w:type="dxa"/>
          </w:tcPr>
          <w:p w14:paraId="7221E01C"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23F54C63" w14:textId="77777777" w:rsidTr="00271CB3">
        <w:trPr>
          <w:trHeight w:val="323"/>
        </w:trPr>
        <w:tc>
          <w:tcPr>
            <w:cnfStyle w:val="001000000000" w:firstRow="0" w:lastRow="0" w:firstColumn="1" w:lastColumn="0" w:oddVBand="0" w:evenVBand="0" w:oddHBand="0" w:evenHBand="0" w:firstRowFirstColumn="0" w:firstRowLastColumn="0" w:lastRowFirstColumn="0" w:lastRowLastColumn="0"/>
            <w:tcW w:w="1250" w:type="dxa"/>
            <w:vMerge/>
            <w:tcBorders>
              <w:bottom w:val="single" w:sz="12" w:space="0" w:color="000000"/>
            </w:tcBorders>
          </w:tcPr>
          <w:p w14:paraId="3CEA5CC2" w14:textId="77777777" w:rsidR="006D6FCC" w:rsidRPr="0029108B" w:rsidRDefault="006D6FCC" w:rsidP="00271CB3">
            <w:pPr>
              <w:pStyle w:val="NoSpacing"/>
              <w:rPr>
                <w:rFonts w:eastAsiaTheme="minorHAnsi"/>
                <w:sz w:val="18"/>
                <w:szCs w:val="18"/>
              </w:rPr>
            </w:pPr>
          </w:p>
        </w:tc>
        <w:tc>
          <w:tcPr>
            <w:tcW w:w="1562" w:type="dxa"/>
            <w:tcBorders>
              <w:bottom w:val="single" w:sz="12" w:space="0" w:color="000000"/>
            </w:tcBorders>
          </w:tcPr>
          <w:p w14:paraId="05F54E5B"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29108B">
              <w:rPr>
                <w:rFonts w:eastAsia="Avenir"/>
                <w:sz w:val="18"/>
                <w:szCs w:val="18"/>
              </w:rPr>
              <w:t>5.1 Documentation</w:t>
            </w:r>
          </w:p>
        </w:tc>
        <w:tc>
          <w:tcPr>
            <w:tcW w:w="1688" w:type="dxa"/>
            <w:tcBorders>
              <w:bottom w:val="single" w:sz="12" w:space="0" w:color="000000"/>
            </w:tcBorders>
          </w:tcPr>
          <w:p w14:paraId="2ECB9E4D"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5.1.a</w:t>
            </w:r>
          </w:p>
          <w:p w14:paraId="5484AE03"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5.1.b</w:t>
            </w:r>
          </w:p>
          <w:p w14:paraId="01149238"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Indicator 5.1.c</w:t>
            </w:r>
          </w:p>
        </w:tc>
        <w:tc>
          <w:tcPr>
            <w:tcW w:w="503" w:type="dxa"/>
            <w:tcBorders>
              <w:bottom w:val="single" w:sz="12" w:space="0" w:color="000000"/>
            </w:tcBorders>
          </w:tcPr>
          <w:p w14:paraId="0D3A1BC1"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0</w:t>
            </w:r>
          </w:p>
          <w:p w14:paraId="09477171"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p w14:paraId="14D7AF1E"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w:t>
            </w:r>
          </w:p>
        </w:tc>
        <w:tc>
          <w:tcPr>
            <w:tcW w:w="1452" w:type="dxa"/>
            <w:gridSpan w:val="2"/>
            <w:tcBorders>
              <w:bottom w:val="single" w:sz="12" w:space="0" w:color="000000"/>
            </w:tcBorders>
          </w:tcPr>
          <w:p w14:paraId="3165D06D"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 xml:space="preserve">   2</w:t>
            </w:r>
          </w:p>
        </w:tc>
        <w:tc>
          <w:tcPr>
            <w:tcW w:w="1404" w:type="dxa"/>
            <w:tcBorders>
              <w:bottom w:val="single" w:sz="12" w:space="0" w:color="000000"/>
            </w:tcBorders>
          </w:tcPr>
          <w:p w14:paraId="29F9C279"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1.8</w:t>
            </w:r>
          </w:p>
        </w:tc>
        <w:tc>
          <w:tcPr>
            <w:tcW w:w="1167" w:type="dxa"/>
            <w:tcBorders>
              <w:bottom w:val="single" w:sz="12" w:space="0" w:color="000000"/>
            </w:tcBorders>
          </w:tcPr>
          <w:p w14:paraId="6DA6681F" w14:textId="77777777" w:rsidR="006D6FCC" w:rsidRPr="0029108B"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29108B">
              <w:rPr>
                <w:rFonts w:eastAsiaTheme="minorHAnsi"/>
                <w:sz w:val="18"/>
                <w:szCs w:val="18"/>
              </w:rPr>
              <w:t>Pass</w:t>
            </w:r>
          </w:p>
        </w:tc>
      </w:tr>
      <w:tr w:rsidR="006D6FCC" w:rsidRPr="0029108B" w14:paraId="28CBB8AA"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250" w:type="dxa"/>
            <w:tcBorders>
              <w:top w:val="single" w:sz="12" w:space="0" w:color="000000"/>
            </w:tcBorders>
          </w:tcPr>
          <w:p w14:paraId="1480290A" w14:textId="77777777" w:rsidR="006D6FCC" w:rsidRPr="0029108B" w:rsidRDefault="006D6FCC" w:rsidP="00271CB3">
            <w:pPr>
              <w:pStyle w:val="NoSpacing"/>
              <w:rPr>
                <w:rFonts w:eastAsiaTheme="minorHAnsi"/>
                <w:sz w:val="18"/>
                <w:szCs w:val="18"/>
              </w:rPr>
            </w:pPr>
          </w:p>
        </w:tc>
        <w:tc>
          <w:tcPr>
            <w:tcW w:w="1562" w:type="dxa"/>
            <w:tcBorders>
              <w:top w:val="single" w:sz="12" w:space="0" w:color="000000"/>
            </w:tcBorders>
          </w:tcPr>
          <w:p w14:paraId="13B32B85"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29108B">
              <w:rPr>
                <w:rFonts w:eastAsia="Avenir"/>
                <w:sz w:val="18"/>
                <w:szCs w:val="18"/>
              </w:rPr>
              <w:t>Decision</w:t>
            </w:r>
          </w:p>
        </w:tc>
        <w:tc>
          <w:tcPr>
            <w:tcW w:w="1688" w:type="dxa"/>
            <w:tcBorders>
              <w:top w:val="single" w:sz="12" w:space="0" w:color="000000"/>
            </w:tcBorders>
          </w:tcPr>
          <w:p w14:paraId="5B993A59"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4526" w:type="dxa"/>
            <w:gridSpan w:val="5"/>
            <w:tcBorders>
              <w:top w:val="single" w:sz="12" w:space="0" w:color="000000"/>
            </w:tcBorders>
          </w:tcPr>
          <w:p w14:paraId="2060488B" w14:textId="77777777" w:rsidR="006D6FCC" w:rsidRPr="0029108B"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29108B">
              <w:rPr>
                <w:rFonts w:eastAsiaTheme="minorHAnsi"/>
                <w:sz w:val="18"/>
                <w:szCs w:val="18"/>
              </w:rPr>
              <w:t xml:space="preserve">The household has not overcome displacement as some composite metrics on the sub-criterion level are lower than the benchmark average. </w:t>
            </w:r>
          </w:p>
        </w:tc>
      </w:tr>
    </w:tbl>
    <w:p w14:paraId="3E0BF644" w14:textId="77777777" w:rsidR="006D6FCC" w:rsidRPr="00987049" w:rsidRDefault="006D6FCC" w:rsidP="00987049">
      <w:pPr>
        <w:jc w:val="both"/>
        <w:rPr>
          <w:rFonts w:cstheme="minorHAnsi"/>
        </w:rPr>
      </w:pPr>
    </w:p>
    <w:p w14:paraId="7B4A623B" w14:textId="77777777" w:rsidR="00DB48AB" w:rsidRPr="00DB48AB" w:rsidRDefault="003F5F56" w:rsidP="00DB48AB">
      <w:pPr>
        <w:jc w:val="both"/>
      </w:pPr>
      <w:r w:rsidRPr="00DB48AB">
        <w:rPr>
          <w:rFonts w:cstheme="minorHAnsi"/>
          <w:i/>
          <w:iCs/>
        </w:rPr>
        <w:t xml:space="preserve">Option 4 - Comparison of homogenous cells: </w:t>
      </w:r>
    </w:p>
    <w:p w14:paraId="2800CC32" w14:textId="71C7CDEA" w:rsidR="00661215" w:rsidRDefault="003F5F56" w:rsidP="00DB48AB">
      <w:pPr>
        <w:jc w:val="both"/>
      </w:pPr>
      <w:r w:rsidRPr="00DB48AB">
        <w:rPr>
          <w:rFonts w:cstheme="minorHAnsi"/>
        </w:rPr>
        <w:t xml:space="preserve">Rather than trying to create a continuous indicator value at the household level through composite indices as in the first three options, </w:t>
      </w:r>
      <w:r>
        <w:t>a</w:t>
      </w:r>
      <w:r w:rsidRPr="00442FD4">
        <w:t xml:space="preserve">n alternative approach could be to divide </w:t>
      </w:r>
      <w:r>
        <w:t xml:space="preserve">the </w:t>
      </w:r>
      <w:r w:rsidRPr="00442FD4">
        <w:t xml:space="preserve">IDP population into small homogenous </w:t>
      </w:r>
      <w:r>
        <w:t>“</w:t>
      </w:r>
      <w:r w:rsidRPr="00442FD4">
        <w:t>cells</w:t>
      </w:r>
      <w:r>
        <w:t>”</w:t>
      </w:r>
      <w:r w:rsidRPr="00442FD4">
        <w:t xml:space="preserve"> – for example by location of displacement, </w:t>
      </w:r>
      <w:r w:rsidR="008E73D8">
        <w:t>area</w:t>
      </w:r>
      <w:r w:rsidR="003A4F9C">
        <w:t xml:space="preserve"> of habitual residence</w:t>
      </w:r>
      <w:r w:rsidRPr="00442FD4">
        <w:t xml:space="preserve"> and </w:t>
      </w:r>
      <w:r>
        <w:t>year of arrival</w:t>
      </w:r>
      <w:r w:rsidRPr="00442FD4">
        <w:t>. E</w:t>
      </w:r>
      <w:r>
        <w:t>ven if selecting just one indicator per sub-criterion (i.e. 10 indicators for the measure overall), for e</w:t>
      </w:r>
      <w:r w:rsidRPr="00442FD4">
        <w:t xml:space="preserve">ach </w:t>
      </w:r>
      <w:r>
        <w:t xml:space="preserve">cell an average value could be calculated which subsequently can be compared against </w:t>
      </w:r>
      <w:r w:rsidRPr="00442FD4">
        <w:t xml:space="preserve">the distribution </w:t>
      </w:r>
      <w:r>
        <w:t xml:space="preserve">average </w:t>
      </w:r>
      <w:r w:rsidRPr="00442FD4">
        <w:t xml:space="preserve">in the </w:t>
      </w:r>
      <w:r>
        <w:t xml:space="preserve">comparator </w:t>
      </w:r>
      <w:r w:rsidRPr="00442FD4">
        <w:t>benchmark</w:t>
      </w:r>
      <w:r>
        <w:t>.</w:t>
      </w:r>
      <w:r w:rsidRPr="00442FD4">
        <w:t xml:space="preserve"> The decision whether displacement has ended is no longer made on the individual household level but on the cell level. If an IDP cell has achieved a durable solution in comparison to the benchmark, all IDPs in this group are taken out of the stock of IDPs. If the cell has not achieved a durable solution, all IDPs remain as IDPs in the stock. </w:t>
      </w:r>
      <w:r>
        <w:t>The advantage of this option is that it is the only one to truly overcome challenge 2 and fully deliver to the contextualized approach proposed by IRIS, in that it would be comparing continuous cell values with benchmark continuous values. The shortcoming of this option is that the aggregate results may depend heavily on the c</w:t>
      </w:r>
      <w:r w:rsidRPr="00442FD4">
        <w:t xml:space="preserve">riteria </w:t>
      </w:r>
      <w:r>
        <w:t xml:space="preserve">chosen </w:t>
      </w:r>
      <w:r w:rsidRPr="00442FD4">
        <w:t>for dividing IDP populations into cells. A strong assumption of homogeneity in the cells is necessary.</w:t>
      </w:r>
    </w:p>
    <w:p w14:paraId="658436D1" w14:textId="77777777" w:rsidR="006D6FCC" w:rsidRPr="00F44DF0" w:rsidRDefault="006D6FCC" w:rsidP="006D6FCC">
      <w:pPr>
        <w:pStyle w:val="TabFigSW"/>
      </w:pPr>
      <w:r w:rsidRPr="00F44DF0">
        <w:t>Option 4: Comparison of homogenous cells</w:t>
      </w:r>
    </w:p>
    <w:tbl>
      <w:tblPr>
        <w:tblStyle w:val="PlainTable2"/>
        <w:tblW w:w="9026" w:type="dxa"/>
        <w:tblLook w:val="04A0" w:firstRow="1" w:lastRow="0" w:firstColumn="1" w:lastColumn="0" w:noHBand="0" w:noVBand="1"/>
      </w:tblPr>
      <w:tblGrid>
        <w:gridCol w:w="1468"/>
        <w:gridCol w:w="2113"/>
        <w:gridCol w:w="1819"/>
        <w:gridCol w:w="1620"/>
        <w:gridCol w:w="917"/>
        <w:gridCol w:w="1089"/>
      </w:tblGrid>
      <w:tr w:rsidR="006D6FCC" w:rsidRPr="00151B88" w14:paraId="0A52F7D5"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8" w:type="dxa"/>
            <w:tcBorders>
              <w:bottom w:val="single" w:sz="12" w:space="0" w:color="000000"/>
            </w:tcBorders>
          </w:tcPr>
          <w:p w14:paraId="1C37D3E2" w14:textId="77777777" w:rsidR="006D6FCC" w:rsidRPr="00151B88" w:rsidRDefault="006D6FCC" w:rsidP="00271CB3">
            <w:pPr>
              <w:pStyle w:val="NoSpacing"/>
              <w:rPr>
                <w:rFonts w:eastAsiaTheme="minorHAnsi"/>
                <w:sz w:val="18"/>
                <w:szCs w:val="18"/>
              </w:rPr>
            </w:pPr>
          </w:p>
        </w:tc>
        <w:tc>
          <w:tcPr>
            <w:tcW w:w="2113" w:type="dxa"/>
            <w:tcBorders>
              <w:bottom w:val="single" w:sz="12" w:space="0" w:color="000000"/>
            </w:tcBorders>
          </w:tcPr>
          <w:p w14:paraId="24C8446B" w14:textId="77777777" w:rsidR="006D6FCC" w:rsidRPr="00151B88"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151B88">
              <w:rPr>
                <w:rFonts w:eastAsiaTheme="minorHAnsi"/>
                <w:color w:val="002F59" w:themeColor="text2"/>
                <w:sz w:val="18"/>
                <w:szCs w:val="18"/>
              </w:rPr>
              <w:t>Sub-criterion</w:t>
            </w:r>
          </w:p>
        </w:tc>
        <w:tc>
          <w:tcPr>
            <w:tcW w:w="1819" w:type="dxa"/>
            <w:tcBorders>
              <w:bottom w:val="single" w:sz="12" w:space="0" w:color="000000"/>
            </w:tcBorders>
          </w:tcPr>
          <w:p w14:paraId="31F58301" w14:textId="77777777" w:rsidR="006D6FCC" w:rsidRPr="00151B88"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151B88">
              <w:rPr>
                <w:rFonts w:eastAsiaTheme="minorHAnsi"/>
                <w:color w:val="002F59" w:themeColor="text2"/>
                <w:sz w:val="18"/>
                <w:szCs w:val="18"/>
              </w:rPr>
              <w:t>Indicator</w:t>
            </w:r>
          </w:p>
        </w:tc>
        <w:tc>
          <w:tcPr>
            <w:tcW w:w="1620" w:type="dxa"/>
            <w:tcBorders>
              <w:bottom w:val="single" w:sz="12" w:space="0" w:color="000000"/>
            </w:tcBorders>
          </w:tcPr>
          <w:p w14:paraId="32AF97CE" w14:textId="77777777" w:rsidR="006D6FCC" w:rsidRPr="00151B88"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Pr>
                <w:rFonts w:eastAsiaTheme="minorHAnsi"/>
                <w:color w:val="002F59" w:themeColor="text2"/>
                <w:sz w:val="18"/>
                <w:szCs w:val="18"/>
              </w:rPr>
              <w:t>Percentages</w:t>
            </w:r>
            <w:r w:rsidRPr="00151B88">
              <w:rPr>
                <w:rFonts w:eastAsiaTheme="minorHAnsi"/>
                <w:color w:val="002F59" w:themeColor="text2"/>
                <w:sz w:val="18"/>
                <w:szCs w:val="18"/>
              </w:rPr>
              <w:t xml:space="preserve"> in cell Z</w:t>
            </w:r>
          </w:p>
        </w:tc>
        <w:tc>
          <w:tcPr>
            <w:tcW w:w="2006" w:type="dxa"/>
            <w:gridSpan w:val="2"/>
            <w:tcBorders>
              <w:bottom w:val="single" w:sz="12" w:space="0" w:color="000000"/>
            </w:tcBorders>
          </w:tcPr>
          <w:p w14:paraId="155F7688" w14:textId="77777777" w:rsidR="006D6FCC" w:rsidRPr="00151B88"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151B88">
              <w:rPr>
                <w:rFonts w:eastAsiaTheme="minorHAnsi"/>
                <w:color w:val="002F59" w:themeColor="text2"/>
                <w:sz w:val="18"/>
                <w:szCs w:val="18"/>
              </w:rPr>
              <w:t>Comparison to benchmark</w:t>
            </w:r>
          </w:p>
        </w:tc>
      </w:tr>
      <w:tr w:rsidR="006D6FCC" w:rsidRPr="00151B88" w14:paraId="3702D6C3"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468" w:type="dxa"/>
            <w:vMerge w:val="restart"/>
            <w:tcBorders>
              <w:top w:val="single" w:sz="12" w:space="0" w:color="000000"/>
            </w:tcBorders>
          </w:tcPr>
          <w:p w14:paraId="2BFA513D" w14:textId="07B40878" w:rsidR="006D6FCC" w:rsidRPr="00151B88" w:rsidRDefault="006D6FCC" w:rsidP="00271CB3">
            <w:pPr>
              <w:pStyle w:val="NoSpacing"/>
              <w:rPr>
                <w:rFonts w:eastAsiaTheme="minorHAnsi"/>
                <w:sz w:val="18"/>
                <w:szCs w:val="18"/>
              </w:rPr>
            </w:pPr>
            <w:r w:rsidRPr="00151B88">
              <w:rPr>
                <w:rFonts w:eastAsiaTheme="minorHAnsi"/>
                <w:sz w:val="18"/>
                <w:szCs w:val="18"/>
              </w:rPr>
              <w:t xml:space="preserve">Household A is classified into cell Z </w:t>
            </w:r>
            <w:r w:rsidRPr="00151B88">
              <w:rPr>
                <w:rFonts w:eastAsiaTheme="minorHAnsi"/>
                <w:b w:val="0"/>
                <w:bCs w:val="0"/>
                <w:sz w:val="18"/>
                <w:szCs w:val="18"/>
              </w:rPr>
              <w:t>(</w:t>
            </w:r>
            <w:r w:rsidR="00E10CA6">
              <w:rPr>
                <w:rFonts w:eastAsiaTheme="minorHAnsi"/>
                <w:b w:val="0"/>
                <w:bCs w:val="0"/>
                <w:sz w:val="18"/>
                <w:szCs w:val="18"/>
              </w:rPr>
              <w:t>e.g.</w:t>
            </w:r>
            <w:r w:rsidRPr="00151B88">
              <w:rPr>
                <w:rFonts w:eastAsiaTheme="minorHAnsi"/>
                <w:b w:val="0"/>
                <w:bCs w:val="0"/>
                <w:sz w:val="18"/>
                <w:szCs w:val="18"/>
              </w:rPr>
              <w:t xml:space="preserve"> </w:t>
            </w:r>
            <w:r w:rsidR="00C473F9">
              <w:rPr>
                <w:rFonts w:eastAsiaTheme="minorHAnsi"/>
                <w:b w:val="0"/>
                <w:bCs w:val="0"/>
                <w:sz w:val="18"/>
                <w:szCs w:val="18"/>
              </w:rPr>
              <w:t xml:space="preserve">current </w:t>
            </w:r>
            <w:r w:rsidRPr="00151B88">
              <w:rPr>
                <w:rFonts w:eastAsiaTheme="minorHAnsi"/>
                <w:b w:val="0"/>
                <w:bCs w:val="0"/>
                <w:sz w:val="18"/>
                <w:szCs w:val="18"/>
              </w:rPr>
              <w:t xml:space="preserve">location, </w:t>
            </w:r>
            <w:r w:rsidR="00C473F9">
              <w:rPr>
                <w:rFonts w:eastAsiaTheme="minorHAnsi"/>
                <w:b w:val="0"/>
                <w:bCs w:val="0"/>
                <w:sz w:val="18"/>
                <w:szCs w:val="18"/>
              </w:rPr>
              <w:t>area</w:t>
            </w:r>
            <w:r w:rsidRPr="00151B88">
              <w:rPr>
                <w:rFonts w:eastAsiaTheme="minorHAnsi"/>
                <w:b w:val="0"/>
                <w:bCs w:val="0"/>
                <w:sz w:val="18"/>
                <w:szCs w:val="18"/>
              </w:rPr>
              <w:t xml:space="preserve"> of origin &amp; year of arrival)</w:t>
            </w:r>
            <w:r w:rsidRPr="00151B88">
              <w:rPr>
                <w:rFonts w:eastAsiaTheme="minorHAnsi"/>
                <w:sz w:val="18"/>
                <w:szCs w:val="18"/>
              </w:rPr>
              <w:t xml:space="preserve"> </w:t>
            </w:r>
          </w:p>
        </w:tc>
        <w:tc>
          <w:tcPr>
            <w:tcW w:w="2113" w:type="dxa"/>
            <w:tcBorders>
              <w:top w:val="single" w:sz="12" w:space="0" w:color="000000"/>
            </w:tcBorders>
          </w:tcPr>
          <w:p w14:paraId="3D0B671A"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Avenir"/>
                <w:sz w:val="18"/>
                <w:szCs w:val="18"/>
              </w:rPr>
              <w:t>1.1 Victims of violence</w:t>
            </w:r>
          </w:p>
        </w:tc>
        <w:tc>
          <w:tcPr>
            <w:tcW w:w="1819" w:type="dxa"/>
            <w:tcBorders>
              <w:top w:val="single" w:sz="12" w:space="0" w:color="000000"/>
            </w:tcBorders>
          </w:tcPr>
          <w:p w14:paraId="797F3765"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Indicator 1.1.a </w:t>
            </w:r>
          </w:p>
        </w:tc>
        <w:tc>
          <w:tcPr>
            <w:tcW w:w="1620" w:type="dxa"/>
            <w:tcBorders>
              <w:top w:val="single" w:sz="12" w:space="0" w:color="000000"/>
            </w:tcBorders>
          </w:tcPr>
          <w:p w14:paraId="207D0D90"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29</w:t>
            </w:r>
            <w:r>
              <w:rPr>
                <w:rFonts w:eastAsiaTheme="minorHAnsi"/>
                <w:sz w:val="18"/>
                <w:szCs w:val="18"/>
              </w:rPr>
              <w:t>%</w:t>
            </w:r>
          </w:p>
        </w:tc>
        <w:tc>
          <w:tcPr>
            <w:tcW w:w="917" w:type="dxa"/>
            <w:tcBorders>
              <w:top w:val="single" w:sz="12" w:space="0" w:color="000000"/>
            </w:tcBorders>
          </w:tcPr>
          <w:p w14:paraId="787E0821"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28 %</w:t>
            </w:r>
          </w:p>
        </w:tc>
        <w:tc>
          <w:tcPr>
            <w:tcW w:w="1089" w:type="dxa"/>
            <w:tcBorders>
              <w:top w:val="single" w:sz="12" w:space="0" w:color="000000"/>
            </w:tcBorders>
          </w:tcPr>
          <w:p w14:paraId="160ACA62"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797FEFED" w14:textId="77777777" w:rsidTr="00271CB3">
        <w:trPr>
          <w:trHeight w:val="107"/>
        </w:trPr>
        <w:tc>
          <w:tcPr>
            <w:cnfStyle w:val="001000000000" w:firstRow="0" w:lastRow="0" w:firstColumn="1" w:lastColumn="0" w:oddVBand="0" w:evenVBand="0" w:oddHBand="0" w:evenHBand="0" w:firstRowFirstColumn="0" w:firstRowLastColumn="0" w:lastRowFirstColumn="0" w:lastRowLastColumn="0"/>
            <w:tcW w:w="1468" w:type="dxa"/>
            <w:vMerge/>
          </w:tcPr>
          <w:p w14:paraId="02F5C36C" w14:textId="77777777" w:rsidR="006D6FCC" w:rsidRPr="00151B88" w:rsidRDefault="006D6FCC" w:rsidP="00271CB3">
            <w:pPr>
              <w:pStyle w:val="NoSpacing"/>
              <w:rPr>
                <w:rFonts w:eastAsiaTheme="minorHAnsi"/>
                <w:sz w:val="18"/>
                <w:szCs w:val="18"/>
              </w:rPr>
            </w:pPr>
          </w:p>
        </w:tc>
        <w:tc>
          <w:tcPr>
            <w:tcW w:w="2113" w:type="dxa"/>
          </w:tcPr>
          <w:p w14:paraId="2956ABC6"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1.2 Freedom of movement</w:t>
            </w:r>
          </w:p>
        </w:tc>
        <w:tc>
          <w:tcPr>
            <w:tcW w:w="1819" w:type="dxa"/>
          </w:tcPr>
          <w:p w14:paraId="7D08A4D8"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Indicator 1.2.a </w:t>
            </w:r>
          </w:p>
        </w:tc>
        <w:tc>
          <w:tcPr>
            <w:tcW w:w="1620" w:type="dxa"/>
          </w:tcPr>
          <w:p w14:paraId="4FA8E21C"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2</w:t>
            </w:r>
            <w:r>
              <w:rPr>
                <w:rFonts w:eastAsiaTheme="minorHAnsi"/>
                <w:sz w:val="18"/>
                <w:szCs w:val="18"/>
              </w:rPr>
              <w:t>6%</w:t>
            </w:r>
          </w:p>
        </w:tc>
        <w:tc>
          <w:tcPr>
            <w:tcW w:w="917" w:type="dxa"/>
          </w:tcPr>
          <w:p w14:paraId="1CF73EE4"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25</w:t>
            </w:r>
            <w:r>
              <w:rPr>
                <w:rFonts w:eastAsiaTheme="minorHAnsi"/>
                <w:sz w:val="18"/>
                <w:szCs w:val="18"/>
              </w:rPr>
              <w:t>%</w:t>
            </w:r>
          </w:p>
        </w:tc>
        <w:tc>
          <w:tcPr>
            <w:tcW w:w="1089" w:type="dxa"/>
          </w:tcPr>
          <w:p w14:paraId="543467D3"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61CBD9FA"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68" w:type="dxa"/>
            <w:vMerge/>
          </w:tcPr>
          <w:p w14:paraId="3C2454FA" w14:textId="77777777" w:rsidR="006D6FCC" w:rsidRPr="00151B88" w:rsidRDefault="006D6FCC" w:rsidP="00271CB3">
            <w:pPr>
              <w:pStyle w:val="NoSpacing"/>
              <w:rPr>
                <w:rFonts w:eastAsiaTheme="minorHAnsi"/>
                <w:sz w:val="18"/>
                <w:szCs w:val="18"/>
              </w:rPr>
            </w:pPr>
          </w:p>
        </w:tc>
        <w:tc>
          <w:tcPr>
            <w:tcW w:w="2113" w:type="dxa"/>
          </w:tcPr>
          <w:p w14:paraId="58DCDAA7"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2.1 Food security</w:t>
            </w:r>
          </w:p>
        </w:tc>
        <w:tc>
          <w:tcPr>
            <w:tcW w:w="1819" w:type="dxa"/>
          </w:tcPr>
          <w:p w14:paraId="2BBD1EB9"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Indicator 2.1.a </w:t>
            </w:r>
          </w:p>
        </w:tc>
        <w:tc>
          <w:tcPr>
            <w:tcW w:w="1620" w:type="dxa"/>
          </w:tcPr>
          <w:p w14:paraId="115061D2"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2.2</w:t>
            </w:r>
            <w:r>
              <w:rPr>
                <w:rFonts w:eastAsiaTheme="minorHAnsi"/>
                <w:sz w:val="18"/>
                <w:szCs w:val="18"/>
              </w:rPr>
              <w:t>%</w:t>
            </w:r>
          </w:p>
        </w:tc>
        <w:tc>
          <w:tcPr>
            <w:tcW w:w="917" w:type="dxa"/>
          </w:tcPr>
          <w:p w14:paraId="53C57B1F"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2</w:t>
            </w:r>
            <w:r>
              <w:rPr>
                <w:rFonts w:eastAsiaTheme="minorHAnsi"/>
                <w:sz w:val="18"/>
                <w:szCs w:val="18"/>
              </w:rPr>
              <w:t>%</w:t>
            </w:r>
          </w:p>
        </w:tc>
        <w:tc>
          <w:tcPr>
            <w:tcW w:w="1089" w:type="dxa"/>
          </w:tcPr>
          <w:p w14:paraId="5A113930"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547D8CDB" w14:textId="77777777" w:rsidTr="00271CB3">
        <w:trPr>
          <w:trHeight w:val="260"/>
        </w:trPr>
        <w:tc>
          <w:tcPr>
            <w:cnfStyle w:val="001000000000" w:firstRow="0" w:lastRow="0" w:firstColumn="1" w:lastColumn="0" w:oddVBand="0" w:evenVBand="0" w:oddHBand="0" w:evenHBand="0" w:firstRowFirstColumn="0" w:firstRowLastColumn="0" w:lastRowFirstColumn="0" w:lastRowLastColumn="0"/>
            <w:tcW w:w="1468" w:type="dxa"/>
            <w:vMerge/>
          </w:tcPr>
          <w:p w14:paraId="6476291B" w14:textId="77777777" w:rsidR="006D6FCC" w:rsidRPr="00151B88" w:rsidRDefault="006D6FCC" w:rsidP="00271CB3">
            <w:pPr>
              <w:pStyle w:val="NoSpacing"/>
              <w:rPr>
                <w:rFonts w:eastAsiaTheme="minorHAnsi"/>
                <w:sz w:val="18"/>
                <w:szCs w:val="18"/>
              </w:rPr>
            </w:pPr>
          </w:p>
        </w:tc>
        <w:tc>
          <w:tcPr>
            <w:tcW w:w="2113" w:type="dxa"/>
          </w:tcPr>
          <w:p w14:paraId="2413D01F"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2.2 Shelter and housing</w:t>
            </w:r>
          </w:p>
        </w:tc>
        <w:tc>
          <w:tcPr>
            <w:tcW w:w="1819" w:type="dxa"/>
          </w:tcPr>
          <w:p w14:paraId="2723EA8A"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Indicator 2.2.a</w:t>
            </w:r>
          </w:p>
        </w:tc>
        <w:tc>
          <w:tcPr>
            <w:tcW w:w="1620" w:type="dxa"/>
          </w:tcPr>
          <w:p w14:paraId="27E9693B"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19</w:t>
            </w:r>
            <w:r>
              <w:rPr>
                <w:rFonts w:eastAsiaTheme="minorHAnsi"/>
                <w:sz w:val="18"/>
                <w:szCs w:val="18"/>
              </w:rPr>
              <w:t>%</w:t>
            </w:r>
          </w:p>
        </w:tc>
        <w:tc>
          <w:tcPr>
            <w:tcW w:w="917" w:type="dxa"/>
          </w:tcPr>
          <w:p w14:paraId="4076BFA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19</w:t>
            </w:r>
            <w:r>
              <w:rPr>
                <w:rFonts w:eastAsiaTheme="minorHAnsi"/>
                <w:sz w:val="18"/>
                <w:szCs w:val="18"/>
              </w:rPr>
              <w:t>%</w:t>
            </w:r>
          </w:p>
        </w:tc>
        <w:tc>
          <w:tcPr>
            <w:tcW w:w="1089" w:type="dxa"/>
          </w:tcPr>
          <w:p w14:paraId="26A2F429"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70390485" w14:textId="77777777" w:rsidTr="00271CB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468" w:type="dxa"/>
            <w:vMerge/>
          </w:tcPr>
          <w:p w14:paraId="6F917DBB" w14:textId="77777777" w:rsidR="006D6FCC" w:rsidRPr="00151B88" w:rsidRDefault="006D6FCC" w:rsidP="00271CB3">
            <w:pPr>
              <w:pStyle w:val="NoSpacing"/>
              <w:rPr>
                <w:rFonts w:eastAsiaTheme="minorHAnsi"/>
                <w:sz w:val="18"/>
                <w:szCs w:val="18"/>
              </w:rPr>
            </w:pPr>
          </w:p>
        </w:tc>
        <w:tc>
          <w:tcPr>
            <w:tcW w:w="2113" w:type="dxa"/>
          </w:tcPr>
          <w:p w14:paraId="3B915669"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2.3 Medical services</w:t>
            </w:r>
          </w:p>
        </w:tc>
        <w:tc>
          <w:tcPr>
            <w:tcW w:w="1819" w:type="dxa"/>
          </w:tcPr>
          <w:p w14:paraId="51ACCE23"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Indicator 2.3.a</w:t>
            </w:r>
          </w:p>
        </w:tc>
        <w:tc>
          <w:tcPr>
            <w:tcW w:w="1620" w:type="dxa"/>
          </w:tcPr>
          <w:p w14:paraId="6D6D064E"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3.5</w:t>
            </w:r>
            <w:r>
              <w:rPr>
                <w:rFonts w:eastAsiaTheme="minorHAnsi"/>
                <w:sz w:val="18"/>
                <w:szCs w:val="18"/>
              </w:rPr>
              <w:t>%</w:t>
            </w:r>
          </w:p>
        </w:tc>
        <w:tc>
          <w:tcPr>
            <w:tcW w:w="917" w:type="dxa"/>
          </w:tcPr>
          <w:p w14:paraId="0A97C644"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3</w:t>
            </w:r>
            <w:r>
              <w:rPr>
                <w:rFonts w:eastAsiaTheme="minorHAnsi"/>
                <w:sz w:val="18"/>
                <w:szCs w:val="18"/>
              </w:rPr>
              <w:t>%</w:t>
            </w:r>
          </w:p>
        </w:tc>
        <w:tc>
          <w:tcPr>
            <w:tcW w:w="1089" w:type="dxa"/>
          </w:tcPr>
          <w:p w14:paraId="7B9DCFC7"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2C93CD0B"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1468" w:type="dxa"/>
            <w:vMerge/>
          </w:tcPr>
          <w:p w14:paraId="566F4CA3" w14:textId="77777777" w:rsidR="006D6FCC" w:rsidRPr="00151B88" w:rsidRDefault="006D6FCC" w:rsidP="00271CB3">
            <w:pPr>
              <w:pStyle w:val="NoSpacing"/>
              <w:rPr>
                <w:rFonts w:eastAsiaTheme="minorHAnsi"/>
                <w:sz w:val="18"/>
                <w:szCs w:val="18"/>
              </w:rPr>
            </w:pPr>
          </w:p>
        </w:tc>
        <w:tc>
          <w:tcPr>
            <w:tcW w:w="2113" w:type="dxa"/>
          </w:tcPr>
          <w:p w14:paraId="06DBFFD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2.4 Education</w:t>
            </w:r>
          </w:p>
        </w:tc>
        <w:tc>
          <w:tcPr>
            <w:tcW w:w="1819" w:type="dxa"/>
          </w:tcPr>
          <w:p w14:paraId="40F23019"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Indicator 2.4.a</w:t>
            </w:r>
          </w:p>
        </w:tc>
        <w:tc>
          <w:tcPr>
            <w:tcW w:w="1620" w:type="dxa"/>
          </w:tcPr>
          <w:p w14:paraId="262BFEE2"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1</w:t>
            </w:r>
            <w:r>
              <w:rPr>
                <w:rFonts w:eastAsiaTheme="minorHAnsi"/>
                <w:sz w:val="18"/>
                <w:szCs w:val="18"/>
              </w:rPr>
              <w:t>%</w:t>
            </w:r>
          </w:p>
        </w:tc>
        <w:tc>
          <w:tcPr>
            <w:tcW w:w="917" w:type="dxa"/>
          </w:tcPr>
          <w:p w14:paraId="00DDE8BD"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3.5</w:t>
            </w:r>
            <w:r>
              <w:rPr>
                <w:rFonts w:eastAsiaTheme="minorHAnsi"/>
                <w:sz w:val="18"/>
                <w:szCs w:val="18"/>
              </w:rPr>
              <w:t>%</w:t>
            </w:r>
          </w:p>
        </w:tc>
        <w:tc>
          <w:tcPr>
            <w:tcW w:w="1089" w:type="dxa"/>
          </w:tcPr>
          <w:p w14:paraId="5C365CD2"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No pass</w:t>
            </w:r>
          </w:p>
        </w:tc>
      </w:tr>
      <w:tr w:rsidR="006D6FCC" w:rsidRPr="00151B88" w14:paraId="5BD14F72"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68" w:type="dxa"/>
            <w:vMerge/>
          </w:tcPr>
          <w:p w14:paraId="3D2DDB64" w14:textId="77777777" w:rsidR="006D6FCC" w:rsidRPr="00151B88" w:rsidRDefault="006D6FCC" w:rsidP="00271CB3">
            <w:pPr>
              <w:pStyle w:val="NoSpacing"/>
              <w:rPr>
                <w:rFonts w:eastAsiaTheme="minorHAnsi"/>
                <w:sz w:val="18"/>
                <w:szCs w:val="18"/>
              </w:rPr>
            </w:pPr>
          </w:p>
        </w:tc>
        <w:tc>
          <w:tcPr>
            <w:tcW w:w="2113" w:type="dxa"/>
          </w:tcPr>
          <w:p w14:paraId="23464E3E"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3.1 Employment &amp; livelihoods</w:t>
            </w:r>
          </w:p>
        </w:tc>
        <w:tc>
          <w:tcPr>
            <w:tcW w:w="1819" w:type="dxa"/>
          </w:tcPr>
          <w:p w14:paraId="5B345BDE"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Indicator 3.1.a</w:t>
            </w:r>
          </w:p>
        </w:tc>
        <w:tc>
          <w:tcPr>
            <w:tcW w:w="1620" w:type="dxa"/>
          </w:tcPr>
          <w:p w14:paraId="02B52819"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12</w:t>
            </w:r>
            <w:r>
              <w:rPr>
                <w:rFonts w:eastAsiaTheme="minorHAnsi"/>
                <w:sz w:val="18"/>
                <w:szCs w:val="18"/>
              </w:rPr>
              <w:t>%</w:t>
            </w:r>
          </w:p>
        </w:tc>
        <w:tc>
          <w:tcPr>
            <w:tcW w:w="917" w:type="dxa"/>
          </w:tcPr>
          <w:p w14:paraId="7ACFEF64"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15</w:t>
            </w:r>
            <w:r>
              <w:rPr>
                <w:rFonts w:eastAsiaTheme="minorHAnsi"/>
                <w:sz w:val="18"/>
                <w:szCs w:val="18"/>
              </w:rPr>
              <w:t>%</w:t>
            </w:r>
          </w:p>
        </w:tc>
        <w:tc>
          <w:tcPr>
            <w:tcW w:w="1089" w:type="dxa"/>
          </w:tcPr>
          <w:p w14:paraId="161FC4E5"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No pass</w:t>
            </w:r>
          </w:p>
        </w:tc>
      </w:tr>
      <w:tr w:rsidR="006D6FCC" w:rsidRPr="00151B88" w14:paraId="4DB3F122"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1468" w:type="dxa"/>
            <w:vMerge/>
          </w:tcPr>
          <w:p w14:paraId="07E1A27B" w14:textId="77777777" w:rsidR="006D6FCC" w:rsidRPr="00151B88" w:rsidRDefault="006D6FCC" w:rsidP="00271CB3">
            <w:pPr>
              <w:pStyle w:val="NoSpacing"/>
              <w:rPr>
                <w:rFonts w:eastAsiaTheme="minorHAnsi"/>
                <w:sz w:val="18"/>
                <w:szCs w:val="18"/>
              </w:rPr>
            </w:pPr>
          </w:p>
        </w:tc>
        <w:tc>
          <w:tcPr>
            <w:tcW w:w="2113" w:type="dxa"/>
          </w:tcPr>
          <w:p w14:paraId="762308E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3.2 Economic security</w:t>
            </w:r>
          </w:p>
        </w:tc>
        <w:tc>
          <w:tcPr>
            <w:tcW w:w="1819" w:type="dxa"/>
          </w:tcPr>
          <w:p w14:paraId="39192C9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Indicator 3.2.a</w:t>
            </w:r>
          </w:p>
        </w:tc>
        <w:tc>
          <w:tcPr>
            <w:tcW w:w="1620" w:type="dxa"/>
          </w:tcPr>
          <w:p w14:paraId="15D01F7B"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25</w:t>
            </w:r>
            <w:r>
              <w:rPr>
                <w:rFonts w:eastAsiaTheme="minorHAnsi"/>
                <w:sz w:val="18"/>
                <w:szCs w:val="18"/>
              </w:rPr>
              <w:t>%</w:t>
            </w:r>
          </w:p>
        </w:tc>
        <w:tc>
          <w:tcPr>
            <w:tcW w:w="917" w:type="dxa"/>
          </w:tcPr>
          <w:p w14:paraId="6C5472DE"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29</w:t>
            </w:r>
            <w:r>
              <w:rPr>
                <w:rFonts w:eastAsiaTheme="minorHAnsi"/>
                <w:sz w:val="18"/>
                <w:szCs w:val="18"/>
              </w:rPr>
              <w:t>%</w:t>
            </w:r>
          </w:p>
        </w:tc>
        <w:tc>
          <w:tcPr>
            <w:tcW w:w="1089" w:type="dxa"/>
          </w:tcPr>
          <w:p w14:paraId="7EC7AFE5"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No pass</w:t>
            </w:r>
          </w:p>
        </w:tc>
      </w:tr>
      <w:tr w:rsidR="006D6FCC" w:rsidRPr="00151B88" w14:paraId="4CB77D8E"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68" w:type="dxa"/>
            <w:vMerge/>
          </w:tcPr>
          <w:p w14:paraId="0B367275" w14:textId="77777777" w:rsidR="006D6FCC" w:rsidRPr="00151B88" w:rsidRDefault="006D6FCC" w:rsidP="00271CB3">
            <w:pPr>
              <w:pStyle w:val="NoSpacing"/>
              <w:rPr>
                <w:rFonts w:eastAsiaTheme="minorHAnsi"/>
                <w:sz w:val="18"/>
                <w:szCs w:val="18"/>
              </w:rPr>
            </w:pPr>
          </w:p>
        </w:tc>
        <w:tc>
          <w:tcPr>
            <w:tcW w:w="2113" w:type="dxa"/>
          </w:tcPr>
          <w:p w14:paraId="42D1A275"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4.1 Property restitution &amp; compensation</w:t>
            </w:r>
          </w:p>
        </w:tc>
        <w:tc>
          <w:tcPr>
            <w:tcW w:w="1819" w:type="dxa"/>
          </w:tcPr>
          <w:p w14:paraId="7F5245EE"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Indicator 4.1.a</w:t>
            </w:r>
          </w:p>
        </w:tc>
        <w:tc>
          <w:tcPr>
            <w:tcW w:w="1620" w:type="dxa"/>
          </w:tcPr>
          <w:p w14:paraId="1251BD17"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   31</w:t>
            </w:r>
            <w:r>
              <w:rPr>
                <w:rFonts w:eastAsiaTheme="minorHAnsi"/>
                <w:sz w:val="18"/>
                <w:szCs w:val="18"/>
              </w:rPr>
              <w:t>%</w:t>
            </w:r>
          </w:p>
        </w:tc>
        <w:tc>
          <w:tcPr>
            <w:tcW w:w="917" w:type="dxa"/>
          </w:tcPr>
          <w:p w14:paraId="64CFD81F"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25</w:t>
            </w:r>
            <w:r>
              <w:rPr>
                <w:rFonts w:eastAsiaTheme="minorHAnsi"/>
                <w:sz w:val="18"/>
                <w:szCs w:val="18"/>
              </w:rPr>
              <w:t>%</w:t>
            </w:r>
          </w:p>
        </w:tc>
        <w:tc>
          <w:tcPr>
            <w:tcW w:w="1089" w:type="dxa"/>
          </w:tcPr>
          <w:p w14:paraId="14A30304"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1F5B760A" w14:textId="77777777" w:rsidTr="00271CB3">
        <w:trPr>
          <w:trHeight w:val="323"/>
        </w:trPr>
        <w:tc>
          <w:tcPr>
            <w:cnfStyle w:val="001000000000" w:firstRow="0" w:lastRow="0" w:firstColumn="1" w:lastColumn="0" w:oddVBand="0" w:evenVBand="0" w:oddHBand="0" w:evenHBand="0" w:firstRowFirstColumn="0" w:firstRowLastColumn="0" w:lastRowFirstColumn="0" w:lastRowLastColumn="0"/>
            <w:tcW w:w="1468" w:type="dxa"/>
            <w:vMerge/>
            <w:tcBorders>
              <w:bottom w:val="single" w:sz="12" w:space="0" w:color="000000"/>
            </w:tcBorders>
          </w:tcPr>
          <w:p w14:paraId="365886E7" w14:textId="77777777" w:rsidR="006D6FCC" w:rsidRPr="00151B88" w:rsidRDefault="006D6FCC" w:rsidP="00271CB3">
            <w:pPr>
              <w:pStyle w:val="NoSpacing"/>
              <w:rPr>
                <w:rFonts w:eastAsiaTheme="minorHAnsi"/>
                <w:sz w:val="18"/>
                <w:szCs w:val="18"/>
              </w:rPr>
            </w:pPr>
          </w:p>
        </w:tc>
        <w:tc>
          <w:tcPr>
            <w:tcW w:w="2113" w:type="dxa"/>
            <w:tcBorders>
              <w:bottom w:val="single" w:sz="12" w:space="0" w:color="000000"/>
            </w:tcBorders>
          </w:tcPr>
          <w:p w14:paraId="7D3C2F58"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151B88">
              <w:rPr>
                <w:rFonts w:eastAsia="Avenir"/>
                <w:sz w:val="18"/>
                <w:szCs w:val="18"/>
              </w:rPr>
              <w:t>5.1 Documentation</w:t>
            </w:r>
          </w:p>
        </w:tc>
        <w:tc>
          <w:tcPr>
            <w:tcW w:w="1819" w:type="dxa"/>
            <w:tcBorders>
              <w:bottom w:val="single" w:sz="12" w:space="0" w:color="000000"/>
            </w:tcBorders>
          </w:tcPr>
          <w:p w14:paraId="08F14499"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Indicator 5.1.a</w:t>
            </w:r>
          </w:p>
        </w:tc>
        <w:tc>
          <w:tcPr>
            <w:tcW w:w="1620" w:type="dxa"/>
            <w:tcBorders>
              <w:bottom w:val="single" w:sz="12" w:space="0" w:color="000000"/>
            </w:tcBorders>
          </w:tcPr>
          <w:p w14:paraId="2AE15E5A"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 xml:space="preserve">   35</w:t>
            </w:r>
            <w:r>
              <w:rPr>
                <w:rFonts w:eastAsiaTheme="minorHAnsi"/>
                <w:sz w:val="18"/>
                <w:szCs w:val="18"/>
              </w:rPr>
              <w:t>%</w:t>
            </w:r>
          </w:p>
        </w:tc>
        <w:tc>
          <w:tcPr>
            <w:tcW w:w="917" w:type="dxa"/>
            <w:tcBorders>
              <w:bottom w:val="single" w:sz="12" w:space="0" w:color="000000"/>
            </w:tcBorders>
          </w:tcPr>
          <w:p w14:paraId="22ED6216"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18</w:t>
            </w:r>
            <w:r>
              <w:rPr>
                <w:rFonts w:eastAsiaTheme="minorHAnsi"/>
                <w:sz w:val="18"/>
                <w:szCs w:val="18"/>
              </w:rPr>
              <w:t>%</w:t>
            </w:r>
          </w:p>
        </w:tc>
        <w:tc>
          <w:tcPr>
            <w:tcW w:w="1089" w:type="dxa"/>
            <w:tcBorders>
              <w:bottom w:val="single" w:sz="12" w:space="0" w:color="000000"/>
            </w:tcBorders>
          </w:tcPr>
          <w:p w14:paraId="07D8B319" w14:textId="77777777" w:rsidR="006D6FCC" w:rsidRPr="00151B88"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151B88">
              <w:rPr>
                <w:rFonts w:eastAsiaTheme="minorHAnsi"/>
                <w:sz w:val="18"/>
                <w:szCs w:val="18"/>
              </w:rPr>
              <w:t>Pass</w:t>
            </w:r>
          </w:p>
        </w:tc>
      </w:tr>
      <w:tr w:rsidR="006D6FCC" w:rsidRPr="00151B88" w14:paraId="35BC39CA"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468" w:type="dxa"/>
            <w:tcBorders>
              <w:top w:val="single" w:sz="12" w:space="0" w:color="000000"/>
            </w:tcBorders>
          </w:tcPr>
          <w:p w14:paraId="12CC1AB4" w14:textId="77777777" w:rsidR="006D6FCC" w:rsidRPr="00151B88" w:rsidRDefault="006D6FCC" w:rsidP="00271CB3">
            <w:pPr>
              <w:pStyle w:val="NoSpacing"/>
              <w:rPr>
                <w:rFonts w:eastAsiaTheme="minorHAnsi"/>
                <w:sz w:val="18"/>
                <w:szCs w:val="18"/>
              </w:rPr>
            </w:pPr>
          </w:p>
        </w:tc>
        <w:tc>
          <w:tcPr>
            <w:tcW w:w="2113" w:type="dxa"/>
            <w:tcBorders>
              <w:top w:val="single" w:sz="12" w:space="0" w:color="000000"/>
            </w:tcBorders>
          </w:tcPr>
          <w:p w14:paraId="3B29204A"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151B88">
              <w:rPr>
                <w:rFonts w:eastAsia="Avenir"/>
                <w:sz w:val="18"/>
                <w:szCs w:val="18"/>
              </w:rPr>
              <w:t>Decision</w:t>
            </w:r>
          </w:p>
        </w:tc>
        <w:tc>
          <w:tcPr>
            <w:tcW w:w="1819" w:type="dxa"/>
            <w:tcBorders>
              <w:top w:val="single" w:sz="12" w:space="0" w:color="000000"/>
            </w:tcBorders>
          </w:tcPr>
          <w:p w14:paraId="33C899DD"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3626" w:type="dxa"/>
            <w:gridSpan w:val="3"/>
            <w:tcBorders>
              <w:top w:val="single" w:sz="12" w:space="0" w:color="000000"/>
              <w:bottom w:val="single" w:sz="4" w:space="0" w:color="000000"/>
            </w:tcBorders>
          </w:tcPr>
          <w:p w14:paraId="31C38B1A" w14:textId="77777777" w:rsidR="006D6FCC" w:rsidRPr="00151B88"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151B88">
              <w:rPr>
                <w:rFonts w:eastAsiaTheme="minorHAnsi"/>
                <w:sz w:val="18"/>
                <w:szCs w:val="18"/>
              </w:rPr>
              <w:t xml:space="preserve">All households in cell Z (that includes household A) have not overcome displacement as their average distribution in some sub-criteria is lower than the average in the benchmark population. </w:t>
            </w:r>
          </w:p>
        </w:tc>
      </w:tr>
    </w:tbl>
    <w:p w14:paraId="19337109" w14:textId="77777777" w:rsidR="006D6FCC" w:rsidRDefault="006D6FCC" w:rsidP="00DB48AB">
      <w:pPr>
        <w:jc w:val="both"/>
      </w:pPr>
    </w:p>
    <w:p w14:paraId="68737783" w14:textId="15468B1C" w:rsidR="00E4608D" w:rsidRPr="005D1B6F" w:rsidRDefault="00E4608D" w:rsidP="00DB48AB">
      <w:pPr>
        <w:jc w:val="both"/>
        <w:rPr>
          <w:i/>
          <w:iCs/>
        </w:rPr>
      </w:pPr>
      <w:r w:rsidRPr="005D1B6F">
        <w:rPr>
          <w:i/>
          <w:iCs/>
        </w:rPr>
        <w:t xml:space="preserve">Option 5 </w:t>
      </w:r>
      <w:r w:rsidR="005D1B6F" w:rsidRPr="005D1B6F">
        <w:rPr>
          <w:i/>
          <w:iCs/>
        </w:rPr>
        <w:t>–</w:t>
      </w:r>
      <w:r w:rsidRPr="005D1B6F">
        <w:rPr>
          <w:i/>
          <w:iCs/>
        </w:rPr>
        <w:t xml:space="preserve"> </w:t>
      </w:r>
      <w:r w:rsidR="005D1B6F" w:rsidRPr="005D1B6F">
        <w:rPr>
          <w:i/>
          <w:iCs/>
        </w:rPr>
        <w:t>Classifier/ regression</w:t>
      </w:r>
      <w:r w:rsidR="00B44F23">
        <w:rPr>
          <w:i/>
          <w:iCs/>
        </w:rPr>
        <w:t>-</w:t>
      </w:r>
      <w:r w:rsidR="005D1B6F" w:rsidRPr="005D1B6F">
        <w:rPr>
          <w:i/>
          <w:iCs/>
        </w:rPr>
        <w:t>based</w:t>
      </w:r>
      <w:r w:rsidR="00B44F23">
        <w:rPr>
          <w:i/>
          <w:iCs/>
        </w:rPr>
        <w:t xml:space="preserve"> approach</w:t>
      </w:r>
      <w:r w:rsidR="005D1B6F" w:rsidRPr="005D1B6F">
        <w:rPr>
          <w:i/>
          <w:iCs/>
        </w:rPr>
        <w:t>:</w:t>
      </w:r>
    </w:p>
    <w:p w14:paraId="2402D6CD" w14:textId="3FF96464" w:rsidR="005C148F" w:rsidRDefault="005507DB" w:rsidP="00DB48AB">
      <w:pPr>
        <w:jc w:val="both"/>
      </w:pPr>
      <w:r>
        <w:t xml:space="preserve">Another option for the “solutions measure” could be to take a regression-based approach in which </w:t>
      </w:r>
      <w:r w:rsidR="00CD57E0">
        <w:t xml:space="preserve">the 10 sub-criteria are used as </w:t>
      </w:r>
      <w:r w:rsidR="00CC4935">
        <w:t xml:space="preserve">covariates to predict whether a household </w:t>
      </w:r>
      <w:r w:rsidR="009A4A6D">
        <w:t xml:space="preserve">should still be </w:t>
      </w:r>
      <w:r w:rsidR="009A4A6D">
        <w:lastRenderedPageBreak/>
        <w:t>classified as an</w:t>
      </w:r>
      <w:r w:rsidR="00CC4935">
        <w:t xml:space="preserve"> IDP </w:t>
      </w:r>
      <w:r w:rsidR="00EE6C11">
        <w:t xml:space="preserve">household </w:t>
      </w:r>
      <w:r w:rsidR="00CC4935">
        <w:t xml:space="preserve">or not. </w:t>
      </w:r>
      <w:r w:rsidR="00EE6C11">
        <w:t xml:space="preserve">A probabilistic classifier, such as a logistic regression, would </w:t>
      </w:r>
      <w:r w:rsidR="00EB07E5">
        <w:t>estimate whether an IDP household is distinct from the host community (i.e. high probability to be an IDP) or whether an IDP household is very similar to households in the host community (i.e. low probability to be an IDP)</w:t>
      </w:r>
      <w:r w:rsidR="0047782E">
        <w:t>. Important decisions to make</w:t>
      </w:r>
      <w:r w:rsidR="009A4A6D">
        <w:t xml:space="preserve"> before implementing this option are which</w:t>
      </w:r>
      <w:r w:rsidR="0047782E">
        <w:t xml:space="preserve"> classifier</w:t>
      </w:r>
      <w:r w:rsidR="009A4A6D">
        <w:t xml:space="preserve"> to select</w:t>
      </w:r>
      <w:r w:rsidR="0047782E">
        <w:t xml:space="preserve">, </w:t>
      </w:r>
      <w:r w:rsidR="009A4A6D">
        <w:t xml:space="preserve">how to select </w:t>
      </w:r>
      <w:r w:rsidR="001F7567">
        <w:t xml:space="preserve">probability </w:t>
      </w:r>
      <w:r w:rsidR="0047782E">
        <w:t>cut-off points to determine whether a</w:t>
      </w:r>
      <w:r w:rsidR="009A4A6D">
        <w:t xml:space="preserve"> specific</w:t>
      </w:r>
      <w:r w:rsidR="0047782E">
        <w:t xml:space="preserve"> household is similar to IDPs or </w:t>
      </w:r>
      <w:r w:rsidR="009A4A6D">
        <w:t xml:space="preserve">to </w:t>
      </w:r>
      <w:r w:rsidR="0047782E">
        <w:t xml:space="preserve">hosts, </w:t>
      </w:r>
      <w:r w:rsidR="001F7567">
        <w:t xml:space="preserve">and how to deal with sample imbalance </w:t>
      </w:r>
      <w:r w:rsidR="009A4A6D">
        <w:t>in</w:t>
      </w:r>
      <w:r w:rsidR="00F03D67">
        <w:t xml:space="preserve"> the data</w:t>
      </w:r>
      <w:r w:rsidR="007D68F2">
        <w:t xml:space="preserve">. While this approach would </w:t>
      </w:r>
      <w:r w:rsidR="00F03D67">
        <w:t>overcome</w:t>
      </w:r>
      <w:r w:rsidR="007D68F2">
        <w:t xml:space="preserve"> the challenge of comparing IDP households with host community households, </w:t>
      </w:r>
      <w:r w:rsidR="002A370A">
        <w:t>th</w:t>
      </w:r>
      <w:r w:rsidR="00E23E25">
        <w:t xml:space="preserve">is approach needs further clarifications and is not sensible to underperformance on specific indicators. </w:t>
      </w:r>
    </w:p>
    <w:p w14:paraId="08EB6414" w14:textId="77777777" w:rsidR="006D6FCC" w:rsidRPr="00F44DF0" w:rsidRDefault="006D6FCC" w:rsidP="006D6FCC">
      <w:pPr>
        <w:pStyle w:val="TabFigSW"/>
      </w:pPr>
      <w:r w:rsidRPr="00F44DF0">
        <w:t xml:space="preserve">Option </w:t>
      </w:r>
      <w:r>
        <w:t>5</w:t>
      </w:r>
      <w:r w:rsidRPr="00F44DF0">
        <w:t xml:space="preserve">: A </w:t>
      </w:r>
      <w:r>
        <w:t>classifier/regression-based approach</w:t>
      </w:r>
    </w:p>
    <w:tbl>
      <w:tblPr>
        <w:tblStyle w:val="PlainTable2"/>
        <w:tblW w:w="9026" w:type="dxa"/>
        <w:tblLayout w:type="fixed"/>
        <w:tblLook w:val="04A0" w:firstRow="1" w:lastRow="0" w:firstColumn="1" w:lastColumn="0" w:noHBand="0" w:noVBand="1"/>
      </w:tblPr>
      <w:tblGrid>
        <w:gridCol w:w="1294"/>
        <w:gridCol w:w="2756"/>
        <w:gridCol w:w="1710"/>
        <w:gridCol w:w="766"/>
        <w:gridCol w:w="2500"/>
      </w:tblGrid>
      <w:tr w:rsidR="006D6FCC" w:rsidRPr="00CE1C14" w14:paraId="4675243C" w14:textId="77777777" w:rsidTr="00271C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4" w:type="dxa"/>
            <w:tcBorders>
              <w:bottom w:val="single" w:sz="12" w:space="0" w:color="000000"/>
            </w:tcBorders>
          </w:tcPr>
          <w:p w14:paraId="496AF5A8" w14:textId="77777777" w:rsidR="006D6FCC" w:rsidRPr="00CE1C14" w:rsidRDefault="006D6FCC" w:rsidP="00271CB3">
            <w:pPr>
              <w:pStyle w:val="NoSpacing"/>
              <w:rPr>
                <w:rFonts w:eastAsiaTheme="minorHAnsi"/>
                <w:sz w:val="18"/>
                <w:szCs w:val="18"/>
              </w:rPr>
            </w:pPr>
          </w:p>
        </w:tc>
        <w:tc>
          <w:tcPr>
            <w:tcW w:w="2756" w:type="dxa"/>
            <w:tcBorders>
              <w:bottom w:val="single" w:sz="12" w:space="0" w:color="000000"/>
            </w:tcBorders>
          </w:tcPr>
          <w:p w14:paraId="275F162F"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b w:val="0"/>
                <w:bCs w:val="0"/>
                <w:color w:val="002F59" w:themeColor="text2"/>
                <w:sz w:val="18"/>
                <w:szCs w:val="18"/>
              </w:rPr>
            </w:pPr>
            <w:r w:rsidRPr="00CE1C14">
              <w:rPr>
                <w:rFonts w:eastAsiaTheme="minorHAnsi"/>
                <w:color w:val="002F59" w:themeColor="text2"/>
                <w:sz w:val="18"/>
                <w:szCs w:val="18"/>
              </w:rPr>
              <w:t>Sub-criterion</w:t>
            </w:r>
          </w:p>
        </w:tc>
        <w:tc>
          <w:tcPr>
            <w:tcW w:w="1710" w:type="dxa"/>
            <w:tcBorders>
              <w:bottom w:val="single" w:sz="12" w:space="0" w:color="000000"/>
            </w:tcBorders>
          </w:tcPr>
          <w:p w14:paraId="05E2CEFC"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sidRPr="00CE1C14">
              <w:rPr>
                <w:rFonts w:eastAsiaTheme="minorHAnsi"/>
                <w:color w:val="002F59" w:themeColor="text2"/>
                <w:sz w:val="18"/>
                <w:szCs w:val="18"/>
              </w:rPr>
              <w:t>Indicator</w:t>
            </w:r>
          </w:p>
        </w:tc>
        <w:tc>
          <w:tcPr>
            <w:tcW w:w="766" w:type="dxa"/>
            <w:tcBorders>
              <w:bottom w:val="single" w:sz="12" w:space="0" w:color="000000"/>
            </w:tcBorders>
          </w:tcPr>
          <w:p w14:paraId="692B5F14"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p>
        </w:tc>
        <w:tc>
          <w:tcPr>
            <w:tcW w:w="2500" w:type="dxa"/>
            <w:tcBorders>
              <w:bottom w:val="single" w:sz="12" w:space="0" w:color="000000"/>
            </w:tcBorders>
          </w:tcPr>
          <w:p w14:paraId="3FEB71AF" w14:textId="77777777" w:rsidR="006D6FCC" w:rsidRPr="00CE1C14" w:rsidRDefault="006D6FCC" w:rsidP="00271CB3">
            <w:pPr>
              <w:pStyle w:val="NoSpacing"/>
              <w:cnfStyle w:val="100000000000" w:firstRow="1" w:lastRow="0" w:firstColumn="0" w:lastColumn="0" w:oddVBand="0" w:evenVBand="0" w:oddHBand="0" w:evenHBand="0" w:firstRowFirstColumn="0" w:firstRowLastColumn="0" w:lastRowFirstColumn="0" w:lastRowLastColumn="0"/>
              <w:rPr>
                <w:rFonts w:eastAsiaTheme="minorHAnsi"/>
                <w:color w:val="002F59" w:themeColor="text2"/>
                <w:sz w:val="18"/>
                <w:szCs w:val="18"/>
              </w:rPr>
            </w:pPr>
            <w:r>
              <w:rPr>
                <w:rFonts w:eastAsiaTheme="minorHAnsi"/>
                <w:color w:val="002F59" w:themeColor="text2"/>
                <w:sz w:val="18"/>
                <w:szCs w:val="18"/>
              </w:rPr>
              <w:t>Regression weights</w:t>
            </w:r>
          </w:p>
        </w:tc>
      </w:tr>
      <w:tr w:rsidR="006D6FCC" w:rsidRPr="00CE1C14" w14:paraId="0BCD9A7A" w14:textId="77777777" w:rsidTr="00271CB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294" w:type="dxa"/>
            <w:vMerge w:val="restart"/>
            <w:tcBorders>
              <w:top w:val="single" w:sz="12" w:space="0" w:color="000000"/>
            </w:tcBorders>
          </w:tcPr>
          <w:p w14:paraId="16FBED96" w14:textId="77777777" w:rsidR="006D6FCC" w:rsidRPr="00CE1C14" w:rsidRDefault="006D6FCC" w:rsidP="00271CB3">
            <w:pPr>
              <w:pStyle w:val="NoSpacing"/>
              <w:rPr>
                <w:rFonts w:eastAsiaTheme="minorHAnsi"/>
                <w:sz w:val="18"/>
                <w:szCs w:val="18"/>
              </w:rPr>
            </w:pPr>
            <w:r w:rsidRPr="00CE1C14">
              <w:rPr>
                <w:rFonts w:eastAsiaTheme="minorHAnsi"/>
                <w:sz w:val="18"/>
                <w:szCs w:val="18"/>
              </w:rPr>
              <w:t>Household A</w:t>
            </w:r>
          </w:p>
        </w:tc>
        <w:tc>
          <w:tcPr>
            <w:tcW w:w="2756" w:type="dxa"/>
            <w:tcBorders>
              <w:top w:val="single" w:sz="12" w:space="0" w:color="000000"/>
            </w:tcBorders>
          </w:tcPr>
          <w:p w14:paraId="59D65A86"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Avenir"/>
                <w:sz w:val="18"/>
                <w:szCs w:val="18"/>
              </w:rPr>
              <w:t>1.1 Victims of violence</w:t>
            </w:r>
          </w:p>
        </w:tc>
        <w:tc>
          <w:tcPr>
            <w:tcW w:w="1710" w:type="dxa"/>
            <w:tcBorders>
              <w:top w:val="single" w:sz="12" w:space="0" w:color="000000"/>
            </w:tcBorders>
          </w:tcPr>
          <w:p w14:paraId="0F5BA804"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1.1.a </w:t>
            </w:r>
          </w:p>
        </w:tc>
        <w:tc>
          <w:tcPr>
            <w:tcW w:w="766" w:type="dxa"/>
            <w:tcBorders>
              <w:top w:val="single" w:sz="12" w:space="0" w:color="000000"/>
            </w:tcBorders>
          </w:tcPr>
          <w:p w14:paraId="4A49530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Borders>
              <w:top w:val="single" w:sz="12" w:space="0" w:color="000000"/>
            </w:tcBorders>
          </w:tcPr>
          <w:p w14:paraId="7A04235D"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-1.58</w:t>
            </w:r>
          </w:p>
        </w:tc>
      </w:tr>
      <w:tr w:rsidR="006D6FCC" w:rsidRPr="00CE1C14" w14:paraId="7D7D8D28" w14:textId="77777777" w:rsidTr="00271CB3">
        <w:trPr>
          <w:trHeight w:val="107"/>
        </w:trPr>
        <w:tc>
          <w:tcPr>
            <w:cnfStyle w:val="001000000000" w:firstRow="0" w:lastRow="0" w:firstColumn="1" w:lastColumn="0" w:oddVBand="0" w:evenVBand="0" w:oddHBand="0" w:evenHBand="0" w:firstRowFirstColumn="0" w:firstRowLastColumn="0" w:lastRowFirstColumn="0" w:lastRowLastColumn="0"/>
            <w:tcW w:w="1294" w:type="dxa"/>
            <w:vMerge/>
          </w:tcPr>
          <w:p w14:paraId="69ABFF2D" w14:textId="77777777" w:rsidR="006D6FCC" w:rsidRPr="00CE1C14" w:rsidRDefault="006D6FCC" w:rsidP="00271CB3">
            <w:pPr>
              <w:pStyle w:val="NoSpacing"/>
              <w:rPr>
                <w:rFonts w:eastAsiaTheme="minorHAnsi"/>
                <w:sz w:val="18"/>
                <w:szCs w:val="18"/>
              </w:rPr>
            </w:pPr>
          </w:p>
        </w:tc>
        <w:tc>
          <w:tcPr>
            <w:tcW w:w="2756" w:type="dxa"/>
          </w:tcPr>
          <w:p w14:paraId="06695EC8"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1.2 Freedom of movement</w:t>
            </w:r>
          </w:p>
        </w:tc>
        <w:tc>
          <w:tcPr>
            <w:tcW w:w="1710" w:type="dxa"/>
          </w:tcPr>
          <w:p w14:paraId="1365D4AF"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1.2.a </w:t>
            </w:r>
          </w:p>
        </w:tc>
        <w:tc>
          <w:tcPr>
            <w:tcW w:w="766" w:type="dxa"/>
          </w:tcPr>
          <w:p w14:paraId="449CEFA0"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53A1B3DA"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-0.04</w:t>
            </w:r>
          </w:p>
        </w:tc>
      </w:tr>
      <w:tr w:rsidR="006D6FCC" w:rsidRPr="00CE1C14" w14:paraId="18621ED0"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94" w:type="dxa"/>
            <w:vMerge/>
          </w:tcPr>
          <w:p w14:paraId="549D2500" w14:textId="77777777" w:rsidR="006D6FCC" w:rsidRPr="00CE1C14" w:rsidRDefault="006D6FCC" w:rsidP="00271CB3">
            <w:pPr>
              <w:pStyle w:val="NoSpacing"/>
              <w:rPr>
                <w:rFonts w:eastAsiaTheme="minorHAnsi"/>
                <w:sz w:val="18"/>
                <w:szCs w:val="18"/>
              </w:rPr>
            </w:pPr>
          </w:p>
        </w:tc>
        <w:tc>
          <w:tcPr>
            <w:tcW w:w="2756" w:type="dxa"/>
          </w:tcPr>
          <w:p w14:paraId="2BA1596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2.1 Food security</w:t>
            </w:r>
          </w:p>
        </w:tc>
        <w:tc>
          <w:tcPr>
            <w:tcW w:w="1710" w:type="dxa"/>
          </w:tcPr>
          <w:p w14:paraId="67EE92B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Indicator 2.1.a </w:t>
            </w:r>
          </w:p>
        </w:tc>
        <w:tc>
          <w:tcPr>
            <w:tcW w:w="766" w:type="dxa"/>
          </w:tcPr>
          <w:p w14:paraId="467E4979"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75D57122"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1.59</w:t>
            </w:r>
          </w:p>
        </w:tc>
      </w:tr>
      <w:tr w:rsidR="006D6FCC" w:rsidRPr="00CE1C14" w14:paraId="68133228" w14:textId="77777777" w:rsidTr="00271CB3">
        <w:trPr>
          <w:trHeight w:val="260"/>
        </w:trPr>
        <w:tc>
          <w:tcPr>
            <w:cnfStyle w:val="001000000000" w:firstRow="0" w:lastRow="0" w:firstColumn="1" w:lastColumn="0" w:oddVBand="0" w:evenVBand="0" w:oddHBand="0" w:evenHBand="0" w:firstRowFirstColumn="0" w:firstRowLastColumn="0" w:lastRowFirstColumn="0" w:lastRowLastColumn="0"/>
            <w:tcW w:w="1294" w:type="dxa"/>
            <w:vMerge/>
          </w:tcPr>
          <w:p w14:paraId="0744D5FA" w14:textId="77777777" w:rsidR="006D6FCC" w:rsidRPr="00CE1C14" w:rsidRDefault="006D6FCC" w:rsidP="00271CB3">
            <w:pPr>
              <w:pStyle w:val="NoSpacing"/>
              <w:rPr>
                <w:rFonts w:eastAsiaTheme="minorHAnsi"/>
                <w:sz w:val="18"/>
                <w:szCs w:val="18"/>
              </w:rPr>
            </w:pPr>
          </w:p>
        </w:tc>
        <w:tc>
          <w:tcPr>
            <w:tcW w:w="2756" w:type="dxa"/>
          </w:tcPr>
          <w:p w14:paraId="76D18513"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2.2 Shelter and housing</w:t>
            </w:r>
          </w:p>
        </w:tc>
        <w:tc>
          <w:tcPr>
            <w:tcW w:w="1710" w:type="dxa"/>
          </w:tcPr>
          <w:p w14:paraId="5EEB1F04"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2.2.a</w:t>
            </w:r>
          </w:p>
        </w:tc>
        <w:tc>
          <w:tcPr>
            <w:tcW w:w="766" w:type="dxa"/>
          </w:tcPr>
          <w:p w14:paraId="7D11B2B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2B013321"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-2.24</w:t>
            </w:r>
          </w:p>
        </w:tc>
      </w:tr>
      <w:tr w:rsidR="006D6FCC" w:rsidRPr="00CE1C14" w14:paraId="61CF1B9B" w14:textId="77777777" w:rsidTr="00271CB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294" w:type="dxa"/>
            <w:vMerge/>
          </w:tcPr>
          <w:p w14:paraId="43781913" w14:textId="77777777" w:rsidR="006D6FCC" w:rsidRPr="00CE1C14" w:rsidRDefault="006D6FCC" w:rsidP="00271CB3">
            <w:pPr>
              <w:pStyle w:val="NoSpacing"/>
              <w:rPr>
                <w:rFonts w:eastAsiaTheme="minorHAnsi"/>
                <w:sz w:val="18"/>
                <w:szCs w:val="18"/>
              </w:rPr>
            </w:pPr>
          </w:p>
        </w:tc>
        <w:tc>
          <w:tcPr>
            <w:tcW w:w="2756" w:type="dxa"/>
          </w:tcPr>
          <w:p w14:paraId="7166C0F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2.3 Medical services</w:t>
            </w:r>
          </w:p>
        </w:tc>
        <w:tc>
          <w:tcPr>
            <w:tcW w:w="1710" w:type="dxa"/>
          </w:tcPr>
          <w:p w14:paraId="0E06E15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2.3.a</w:t>
            </w:r>
          </w:p>
        </w:tc>
        <w:tc>
          <w:tcPr>
            <w:tcW w:w="766" w:type="dxa"/>
          </w:tcPr>
          <w:p w14:paraId="38FF6CE5"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3A01601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0.48</w:t>
            </w:r>
          </w:p>
        </w:tc>
      </w:tr>
      <w:tr w:rsidR="006D6FCC" w:rsidRPr="00CE1C14" w14:paraId="12274737" w14:textId="77777777" w:rsidTr="00271CB3">
        <w:trPr>
          <w:trHeight w:val="60"/>
        </w:trPr>
        <w:tc>
          <w:tcPr>
            <w:cnfStyle w:val="001000000000" w:firstRow="0" w:lastRow="0" w:firstColumn="1" w:lastColumn="0" w:oddVBand="0" w:evenVBand="0" w:oddHBand="0" w:evenHBand="0" w:firstRowFirstColumn="0" w:firstRowLastColumn="0" w:lastRowFirstColumn="0" w:lastRowLastColumn="0"/>
            <w:tcW w:w="1294" w:type="dxa"/>
            <w:vMerge/>
          </w:tcPr>
          <w:p w14:paraId="6162E252" w14:textId="77777777" w:rsidR="006D6FCC" w:rsidRPr="00CE1C14" w:rsidRDefault="006D6FCC" w:rsidP="00271CB3">
            <w:pPr>
              <w:pStyle w:val="NoSpacing"/>
              <w:rPr>
                <w:rFonts w:eastAsiaTheme="minorHAnsi"/>
                <w:sz w:val="18"/>
                <w:szCs w:val="18"/>
              </w:rPr>
            </w:pPr>
          </w:p>
        </w:tc>
        <w:tc>
          <w:tcPr>
            <w:tcW w:w="2756" w:type="dxa"/>
          </w:tcPr>
          <w:p w14:paraId="29915BE7"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2.4 Education</w:t>
            </w:r>
          </w:p>
        </w:tc>
        <w:tc>
          <w:tcPr>
            <w:tcW w:w="1710" w:type="dxa"/>
          </w:tcPr>
          <w:p w14:paraId="487F66EA"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2.4.a</w:t>
            </w:r>
          </w:p>
        </w:tc>
        <w:tc>
          <w:tcPr>
            <w:tcW w:w="766" w:type="dxa"/>
          </w:tcPr>
          <w:p w14:paraId="5A9BE91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c>
          <w:tcPr>
            <w:tcW w:w="2500" w:type="dxa"/>
          </w:tcPr>
          <w:p w14:paraId="2A4AC9AA"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4.48</w:t>
            </w:r>
          </w:p>
        </w:tc>
      </w:tr>
      <w:tr w:rsidR="006D6FCC" w:rsidRPr="00CE1C14" w14:paraId="5255DB81"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94" w:type="dxa"/>
            <w:vMerge/>
          </w:tcPr>
          <w:p w14:paraId="07E3D543" w14:textId="77777777" w:rsidR="006D6FCC" w:rsidRPr="00CE1C14" w:rsidRDefault="006D6FCC" w:rsidP="00271CB3">
            <w:pPr>
              <w:pStyle w:val="NoSpacing"/>
              <w:rPr>
                <w:rFonts w:eastAsiaTheme="minorHAnsi"/>
                <w:sz w:val="18"/>
                <w:szCs w:val="18"/>
              </w:rPr>
            </w:pPr>
          </w:p>
        </w:tc>
        <w:tc>
          <w:tcPr>
            <w:tcW w:w="2756" w:type="dxa"/>
          </w:tcPr>
          <w:p w14:paraId="4A791B5E"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3.1 Employment &amp; livelihoods</w:t>
            </w:r>
          </w:p>
        </w:tc>
        <w:tc>
          <w:tcPr>
            <w:tcW w:w="1710" w:type="dxa"/>
          </w:tcPr>
          <w:p w14:paraId="231BCF8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3.1.a</w:t>
            </w:r>
          </w:p>
        </w:tc>
        <w:tc>
          <w:tcPr>
            <w:tcW w:w="766" w:type="dxa"/>
          </w:tcPr>
          <w:p w14:paraId="7CF604F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c>
          <w:tcPr>
            <w:tcW w:w="2500" w:type="dxa"/>
          </w:tcPr>
          <w:p w14:paraId="052AB45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6.72</w:t>
            </w:r>
          </w:p>
        </w:tc>
      </w:tr>
      <w:tr w:rsidR="006D6FCC" w:rsidRPr="00CE1C14" w14:paraId="7E98D395" w14:textId="77777777" w:rsidTr="00271CB3">
        <w:trPr>
          <w:trHeight w:val="179"/>
        </w:trPr>
        <w:tc>
          <w:tcPr>
            <w:cnfStyle w:val="001000000000" w:firstRow="0" w:lastRow="0" w:firstColumn="1" w:lastColumn="0" w:oddVBand="0" w:evenVBand="0" w:oddHBand="0" w:evenHBand="0" w:firstRowFirstColumn="0" w:firstRowLastColumn="0" w:lastRowFirstColumn="0" w:lastRowLastColumn="0"/>
            <w:tcW w:w="1294" w:type="dxa"/>
            <w:vMerge/>
          </w:tcPr>
          <w:p w14:paraId="42D2B28A" w14:textId="77777777" w:rsidR="006D6FCC" w:rsidRPr="00CE1C14" w:rsidRDefault="006D6FCC" w:rsidP="00271CB3">
            <w:pPr>
              <w:pStyle w:val="NoSpacing"/>
              <w:rPr>
                <w:rFonts w:eastAsiaTheme="minorHAnsi"/>
                <w:sz w:val="18"/>
                <w:szCs w:val="18"/>
              </w:rPr>
            </w:pPr>
          </w:p>
        </w:tc>
        <w:tc>
          <w:tcPr>
            <w:tcW w:w="2756" w:type="dxa"/>
          </w:tcPr>
          <w:p w14:paraId="2818275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3.2 Economic security</w:t>
            </w:r>
          </w:p>
        </w:tc>
        <w:tc>
          <w:tcPr>
            <w:tcW w:w="1710" w:type="dxa"/>
          </w:tcPr>
          <w:p w14:paraId="41A9C17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3.2.a</w:t>
            </w:r>
          </w:p>
        </w:tc>
        <w:tc>
          <w:tcPr>
            <w:tcW w:w="766" w:type="dxa"/>
          </w:tcPr>
          <w:p w14:paraId="2870E1E8"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0</w:t>
            </w:r>
          </w:p>
        </w:tc>
        <w:tc>
          <w:tcPr>
            <w:tcW w:w="2500" w:type="dxa"/>
          </w:tcPr>
          <w:p w14:paraId="0D9740AD"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2.13</w:t>
            </w:r>
          </w:p>
        </w:tc>
      </w:tr>
      <w:tr w:rsidR="006D6FCC" w:rsidRPr="00CE1C14" w14:paraId="325BC618" w14:textId="77777777" w:rsidTr="00271C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294" w:type="dxa"/>
            <w:vMerge/>
          </w:tcPr>
          <w:p w14:paraId="47F9F7CF" w14:textId="77777777" w:rsidR="006D6FCC" w:rsidRPr="00CE1C14" w:rsidRDefault="006D6FCC" w:rsidP="00271CB3">
            <w:pPr>
              <w:pStyle w:val="NoSpacing"/>
              <w:rPr>
                <w:rFonts w:eastAsiaTheme="minorHAnsi"/>
                <w:sz w:val="18"/>
                <w:szCs w:val="18"/>
              </w:rPr>
            </w:pPr>
          </w:p>
        </w:tc>
        <w:tc>
          <w:tcPr>
            <w:tcW w:w="2756" w:type="dxa"/>
          </w:tcPr>
          <w:p w14:paraId="5BA4A3A1"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4.1 Property restitution &amp; compensation</w:t>
            </w:r>
          </w:p>
        </w:tc>
        <w:tc>
          <w:tcPr>
            <w:tcW w:w="1710" w:type="dxa"/>
          </w:tcPr>
          <w:p w14:paraId="562632C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Indicator 4.1.a</w:t>
            </w:r>
          </w:p>
        </w:tc>
        <w:tc>
          <w:tcPr>
            <w:tcW w:w="766" w:type="dxa"/>
          </w:tcPr>
          <w:p w14:paraId="1275D2BC"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Pr>
          <w:p w14:paraId="4D2227C0"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Theme="minorHAnsi"/>
                <w:sz w:val="18"/>
                <w:szCs w:val="18"/>
              </w:rPr>
              <w:t>4.32</w:t>
            </w:r>
          </w:p>
        </w:tc>
      </w:tr>
      <w:tr w:rsidR="006D6FCC" w:rsidRPr="00CE1C14" w14:paraId="66FA77B9" w14:textId="77777777" w:rsidTr="00271CB3">
        <w:trPr>
          <w:trHeight w:val="323"/>
        </w:trPr>
        <w:tc>
          <w:tcPr>
            <w:cnfStyle w:val="001000000000" w:firstRow="0" w:lastRow="0" w:firstColumn="1" w:lastColumn="0" w:oddVBand="0" w:evenVBand="0" w:oddHBand="0" w:evenHBand="0" w:firstRowFirstColumn="0" w:firstRowLastColumn="0" w:lastRowFirstColumn="0" w:lastRowLastColumn="0"/>
            <w:tcW w:w="1294" w:type="dxa"/>
            <w:vMerge/>
            <w:tcBorders>
              <w:bottom w:val="single" w:sz="12" w:space="0" w:color="000000"/>
            </w:tcBorders>
          </w:tcPr>
          <w:p w14:paraId="05CB5C4A" w14:textId="77777777" w:rsidR="006D6FCC" w:rsidRPr="00CE1C14" w:rsidRDefault="006D6FCC" w:rsidP="00271CB3">
            <w:pPr>
              <w:pStyle w:val="NoSpacing"/>
              <w:rPr>
                <w:rFonts w:eastAsiaTheme="minorHAnsi"/>
                <w:sz w:val="18"/>
                <w:szCs w:val="18"/>
              </w:rPr>
            </w:pPr>
          </w:p>
        </w:tc>
        <w:tc>
          <w:tcPr>
            <w:tcW w:w="2756" w:type="dxa"/>
            <w:tcBorders>
              <w:bottom w:val="single" w:sz="12" w:space="0" w:color="000000"/>
            </w:tcBorders>
          </w:tcPr>
          <w:p w14:paraId="65A046FE"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sidRPr="00CE1C14">
              <w:rPr>
                <w:rFonts w:eastAsia="Avenir"/>
                <w:sz w:val="18"/>
                <w:szCs w:val="18"/>
              </w:rPr>
              <w:t>5.1 Documentation</w:t>
            </w:r>
          </w:p>
        </w:tc>
        <w:tc>
          <w:tcPr>
            <w:tcW w:w="1710" w:type="dxa"/>
            <w:tcBorders>
              <w:bottom w:val="single" w:sz="12" w:space="0" w:color="000000"/>
            </w:tcBorders>
          </w:tcPr>
          <w:p w14:paraId="50D05C6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Indicator 5.1.a</w:t>
            </w:r>
          </w:p>
        </w:tc>
        <w:tc>
          <w:tcPr>
            <w:tcW w:w="766" w:type="dxa"/>
            <w:tcBorders>
              <w:bottom w:val="single" w:sz="12" w:space="0" w:color="000000"/>
            </w:tcBorders>
          </w:tcPr>
          <w:p w14:paraId="6474FAD5"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sidRPr="00CE1C14">
              <w:rPr>
                <w:rFonts w:eastAsiaTheme="minorHAnsi"/>
                <w:sz w:val="18"/>
                <w:szCs w:val="18"/>
              </w:rPr>
              <w:t xml:space="preserve">   1</w:t>
            </w:r>
          </w:p>
        </w:tc>
        <w:tc>
          <w:tcPr>
            <w:tcW w:w="2500" w:type="dxa"/>
            <w:tcBorders>
              <w:bottom w:val="single" w:sz="12" w:space="0" w:color="000000"/>
            </w:tcBorders>
          </w:tcPr>
          <w:p w14:paraId="76C7B868"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-0.22</w:t>
            </w:r>
          </w:p>
        </w:tc>
      </w:tr>
      <w:tr w:rsidR="006D6FCC" w:rsidRPr="00CE1C14" w14:paraId="70805CD7" w14:textId="77777777" w:rsidTr="00271CB3">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294" w:type="dxa"/>
            <w:vMerge w:val="restart"/>
            <w:tcBorders>
              <w:top w:val="single" w:sz="12" w:space="0" w:color="000000"/>
            </w:tcBorders>
          </w:tcPr>
          <w:p w14:paraId="31CFDD7C" w14:textId="77777777" w:rsidR="006D6FCC" w:rsidRPr="00CE1C14" w:rsidRDefault="006D6FCC" w:rsidP="00271CB3">
            <w:pPr>
              <w:pStyle w:val="NoSpacing"/>
              <w:rPr>
                <w:rFonts w:eastAsiaTheme="minorHAnsi"/>
                <w:sz w:val="18"/>
                <w:szCs w:val="18"/>
              </w:rPr>
            </w:pPr>
          </w:p>
        </w:tc>
        <w:tc>
          <w:tcPr>
            <w:tcW w:w="4466" w:type="dxa"/>
            <w:gridSpan w:val="2"/>
            <w:tcBorders>
              <w:top w:val="single" w:sz="12" w:space="0" w:color="000000"/>
            </w:tcBorders>
          </w:tcPr>
          <w:p w14:paraId="0E709965" w14:textId="77777777" w:rsidR="006D6FCC"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Pr>
                <w:rFonts w:eastAsia="Avenir"/>
                <w:sz w:val="18"/>
                <w:szCs w:val="18"/>
              </w:rPr>
              <w:t xml:space="preserve">Predicted probability for household </w:t>
            </w:r>
          </w:p>
          <w:p w14:paraId="10B965C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Pr>
                <w:rFonts w:eastAsia="Avenir"/>
                <w:sz w:val="18"/>
                <w:szCs w:val="18"/>
              </w:rPr>
              <w:t>(e.g. logit transformed)</w:t>
            </w:r>
          </w:p>
        </w:tc>
        <w:tc>
          <w:tcPr>
            <w:tcW w:w="766" w:type="dxa"/>
            <w:tcBorders>
              <w:top w:val="single" w:sz="12" w:space="0" w:color="000000"/>
              <w:bottom w:val="single" w:sz="4" w:space="0" w:color="000000"/>
            </w:tcBorders>
          </w:tcPr>
          <w:p w14:paraId="33822B9B"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2500" w:type="dxa"/>
            <w:tcBorders>
              <w:top w:val="single" w:sz="12" w:space="0" w:color="000000"/>
              <w:bottom w:val="single" w:sz="4" w:space="0" w:color="000000"/>
            </w:tcBorders>
          </w:tcPr>
          <w:p w14:paraId="23CFA883"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EF6789">
              <w:rPr>
                <w:rFonts w:eastAsiaTheme="minorHAnsi"/>
                <w:sz w:val="18"/>
                <w:szCs w:val="18"/>
              </w:rPr>
              <w:t>0.439</w:t>
            </w:r>
          </w:p>
        </w:tc>
      </w:tr>
      <w:tr w:rsidR="006D6FCC" w:rsidRPr="00CE1C14" w14:paraId="6F3185CF" w14:textId="77777777" w:rsidTr="00271CB3">
        <w:trPr>
          <w:trHeight w:val="177"/>
        </w:trPr>
        <w:tc>
          <w:tcPr>
            <w:cnfStyle w:val="001000000000" w:firstRow="0" w:lastRow="0" w:firstColumn="1" w:lastColumn="0" w:oddVBand="0" w:evenVBand="0" w:oddHBand="0" w:evenHBand="0" w:firstRowFirstColumn="0" w:firstRowLastColumn="0" w:lastRowFirstColumn="0" w:lastRowLastColumn="0"/>
            <w:tcW w:w="1294" w:type="dxa"/>
            <w:vMerge/>
          </w:tcPr>
          <w:p w14:paraId="0776873D" w14:textId="77777777" w:rsidR="006D6FCC" w:rsidRPr="00CE1C14" w:rsidRDefault="006D6FCC" w:rsidP="00271CB3">
            <w:pPr>
              <w:pStyle w:val="NoSpacing"/>
              <w:rPr>
                <w:rFonts w:eastAsiaTheme="minorHAnsi"/>
                <w:sz w:val="18"/>
                <w:szCs w:val="18"/>
              </w:rPr>
            </w:pPr>
          </w:p>
        </w:tc>
        <w:tc>
          <w:tcPr>
            <w:tcW w:w="2756" w:type="dxa"/>
          </w:tcPr>
          <w:p w14:paraId="692EEE9F"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Avenir"/>
                <w:sz w:val="18"/>
                <w:szCs w:val="18"/>
              </w:rPr>
            </w:pPr>
            <w:r>
              <w:rPr>
                <w:rFonts w:eastAsia="Avenir"/>
                <w:sz w:val="18"/>
                <w:szCs w:val="18"/>
              </w:rPr>
              <w:t>Cut-off point</w:t>
            </w:r>
          </w:p>
        </w:tc>
        <w:tc>
          <w:tcPr>
            <w:tcW w:w="1710" w:type="dxa"/>
          </w:tcPr>
          <w:p w14:paraId="48854432"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766" w:type="dxa"/>
            <w:tcBorders>
              <w:top w:val="single" w:sz="4" w:space="0" w:color="000000"/>
            </w:tcBorders>
          </w:tcPr>
          <w:p w14:paraId="3B96045C"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p>
        </w:tc>
        <w:tc>
          <w:tcPr>
            <w:tcW w:w="2500" w:type="dxa"/>
            <w:tcBorders>
              <w:top w:val="single" w:sz="4" w:space="0" w:color="000000"/>
            </w:tcBorders>
          </w:tcPr>
          <w:p w14:paraId="0532213B" w14:textId="77777777" w:rsidR="006D6FCC" w:rsidRPr="00CE1C14" w:rsidRDefault="006D6FCC" w:rsidP="00271CB3">
            <w:pPr>
              <w:pStyle w:val="NoSpacing"/>
              <w:cnfStyle w:val="000000000000" w:firstRow="0" w:lastRow="0" w:firstColumn="0" w:lastColumn="0" w:oddVBand="0" w:evenVBand="0" w:oddHBand="0" w:evenHBand="0" w:firstRowFirstColumn="0" w:firstRowLastColumn="0" w:lastRowFirstColumn="0" w:lastRowLastColumn="0"/>
              <w:rPr>
                <w:rFonts w:eastAsiaTheme="minorHAnsi"/>
                <w:sz w:val="18"/>
                <w:szCs w:val="18"/>
              </w:rPr>
            </w:pPr>
            <w:r>
              <w:rPr>
                <w:rFonts w:eastAsiaTheme="minorHAnsi"/>
                <w:sz w:val="18"/>
                <w:szCs w:val="18"/>
              </w:rPr>
              <w:t>0.5</w:t>
            </w:r>
          </w:p>
        </w:tc>
      </w:tr>
      <w:tr w:rsidR="006D6FCC" w:rsidRPr="00CE1C14" w14:paraId="52CD32BC" w14:textId="77777777" w:rsidTr="00271CB3">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294" w:type="dxa"/>
            <w:vMerge/>
          </w:tcPr>
          <w:p w14:paraId="59E74AF0" w14:textId="77777777" w:rsidR="006D6FCC" w:rsidRPr="00CE1C14" w:rsidRDefault="006D6FCC" w:rsidP="00271CB3">
            <w:pPr>
              <w:pStyle w:val="NoSpacing"/>
              <w:rPr>
                <w:rFonts w:eastAsiaTheme="minorHAnsi"/>
                <w:sz w:val="18"/>
                <w:szCs w:val="18"/>
              </w:rPr>
            </w:pPr>
          </w:p>
        </w:tc>
        <w:tc>
          <w:tcPr>
            <w:tcW w:w="2756" w:type="dxa"/>
          </w:tcPr>
          <w:p w14:paraId="1932B30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Avenir"/>
                <w:sz w:val="18"/>
                <w:szCs w:val="18"/>
              </w:rPr>
            </w:pPr>
            <w:r w:rsidRPr="00CE1C14">
              <w:rPr>
                <w:rFonts w:eastAsia="Avenir"/>
                <w:sz w:val="18"/>
                <w:szCs w:val="18"/>
              </w:rPr>
              <w:t>Decision</w:t>
            </w:r>
          </w:p>
        </w:tc>
        <w:tc>
          <w:tcPr>
            <w:tcW w:w="1710" w:type="dxa"/>
          </w:tcPr>
          <w:p w14:paraId="490AE537"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p>
        </w:tc>
        <w:tc>
          <w:tcPr>
            <w:tcW w:w="3266" w:type="dxa"/>
            <w:gridSpan w:val="2"/>
          </w:tcPr>
          <w:p w14:paraId="4208485F" w14:textId="77777777" w:rsidR="006D6FCC" w:rsidRPr="00CE1C14" w:rsidRDefault="006D6FCC" w:rsidP="00271CB3">
            <w:pPr>
              <w:pStyle w:val="NoSpacing"/>
              <w:cnfStyle w:val="000000100000" w:firstRow="0" w:lastRow="0" w:firstColumn="0" w:lastColumn="0" w:oddVBand="0" w:evenVBand="0" w:oddHBand="1" w:evenHBand="0" w:firstRowFirstColumn="0" w:firstRowLastColumn="0" w:lastRowFirstColumn="0" w:lastRowLastColumn="0"/>
              <w:rPr>
                <w:rFonts w:eastAsiaTheme="minorHAnsi"/>
                <w:sz w:val="18"/>
                <w:szCs w:val="18"/>
              </w:rPr>
            </w:pPr>
            <w:r w:rsidRPr="00CE1C14">
              <w:rPr>
                <w:rFonts w:eastAsiaTheme="minorHAnsi"/>
                <w:sz w:val="18"/>
                <w:szCs w:val="18"/>
              </w:rPr>
              <w:t xml:space="preserve">The household has not overcome displacement </w:t>
            </w:r>
            <w:r>
              <w:rPr>
                <w:rFonts w:eastAsiaTheme="minorHAnsi"/>
                <w:sz w:val="18"/>
                <w:szCs w:val="18"/>
              </w:rPr>
              <w:t>as the predicted probability of being similar to the host community</w:t>
            </w:r>
            <w:r w:rsidRPr="00CE1C14">
              <w:rPr>
                <w:rFonts w:eastAsiaTheme="minorHAnsi"/>
                <w:sz w:val="18"/>
                <w:szCs w:val="18"/>
              </w:rPr>
              <w:t xml:space="preserve"> is below the </w:t>
            </w:r>
            <w:r>
              <w:rPr>
                <w:rFonts w:eastAsiaTheme="minorHAnsi"/>
                <w:sz w:val="18"/>
                <w:szCs w:val="18"/>
              </w:rPr>
              <w:t>cut-off point.</w:t>
            </w:r>
          </w:p>
        </w:tc>
      </w:tr>
    </w:tbl>
    <w:p w14:paraId="5D8D1855" w14:textId="77777777" w:rsidR="006D6FCC" w:rsidRDefault="006D6FCC" w:rsidP="00DB48AB">
      <w:pPr>
        <w:jc w:val="both"/>
      </w:pPr>
    </w:p>
    <w:p w14:paraId="66EB0FA4" w14:textId="6BE28555" w:rsidR="001C4312" w:rsidRDefault="002A370A" w:rsidP="00DB48AB">
      <w:pPr>
        <w:jc w:val="both"/>
      </w:pPr>
      <w:r>
        <w:t xml:space="preserve">Box 2 summarizes the main advantages and disadvantages of the different </w:t>
      </w:r>
      <w:r w:rsidR="00696818">
        <w:t>metrics</w:t>
      </w:r>
      <w:r>
        <w:t xml:space="preserve">. The note going forward aims to provide empirical information how these </w:t>
      </w:r>
      <w:r w:rsidR="00696818">
        <w:t>metrics</w:t>
      </w:r>
      <w:r>
        <w:t xml:space="preserve"> perform (that is how many IDPs they count as having overcome their displacement-related vulnerabilities). </w:t>
      </w:r>
    </w:p>
    <w:p w14:paraId="6C220AC8" w14:textId="1E42F2FC" w:rsidR="00A903BC" w:rsidRDefault="00A903BC" w:rsidP="00A903BC">
      <w:pPr>
        <w:pStyle w:val="TabFigSW"/>
      </w:pPr>
      <w:r>
        <w:t>Box 2: Main Advantage and Disadvantage of Different Metrics</w:t>
      </w:r>
    </w:p>
    <w:tbl>
      <w:tblPr>
        <w:tblStyle w:val="TableGrid"/>
        <w:tblW w:w="9263" w:type="dxa"/>
        <w:tblBorders>
          <w:top w:val="single" w:sz="18" w:space="0" w:color="7ECBFF"/>
          <w:left w:val="single" w:sz="18" w:space="0" w:color="7ECBFF"/>
          <w:bottom w:val="single" w:sz="18" w:space="0" w:color="7ECBFF"/>
          <w:right w:val="single" w:sz="18" w:space="0" w:color="7ECBFF"/>
          <w:insideH w:val="none" w:sz="0" w:space="0" w:color="auto"/>
          <w:insideV w:val="none" w:sz="0" w:space="0" w:color="auto"/>
        </w:tblBorders>
        <w:shd w:val="clear" w:color="auto" w:fill="D4EAFF" w:themeFill="text2" w:themeFillTint="1A"/>
        <w:tblLook w:val="04A0" w:firstRow="1" w:lastRow="0" w:firstColumn="1" w:lastColumn="0" w:noHBand="0" w:noVBand="1"/>
      </w:tblPr>
      <w:tblGrid>
        <w:gridCol w:w="9263"/>
      </w:tblGrid>
      <w:tr w:rsidR="00DB48AB" w14:paraId="3FFB5B83" w14:textId="77777777" w:rsidTr="001A7EBF">
        <w:tc>
          <w:tcPr>
            <w:tcW w:w="9263" w:type="dxa"/>
            <w:shd w:val="clear" w:color="auto" w:fill="D4EAFF" w:themeFill="text2" w:themeFillTint="1A"/>
          </w:tcPr>
          <w:tbl>
            <w:tblPr>
              <w:tblStyle w:val="TableGrid"/>
              <w:tblW w:w="9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6473"/>
            </w:tblGrid>
            <w:tr w:rsidR="00DB48AB" w14:paraId="5C45B0C1" w14:textId="77777777" w:rsidTr="001A7EBF">
              <w:tc>
                <w:tcPr>
                  <w:tcW w:w="2574" w:type="dxa"/>
                </w:tcPr>
                <w:p w14:paraId="76030C1D" w14:textId="74641103" w:rsidR="00DB48AB" w:rsidRPr="00856029" w:rsidRDefault="00DB48AB" w:rsidP="00136408">
                  <w:pPr>
                    <w:rPr>
                      <w:b/>
                      <w:bCs/>
                    </w:rPr>
                  </w:pPr>
                  <w:r w:rsidRPr="00856029">
                    <w:rPr>
                      <w:b/>
                      <w:bCs/>
                    </w:rPr>
                    <w:t>Metrics option</w:t>
                  </w:r>
                </w:p>
              </w:tc>
              <w:tc>
                <w:tcPr>
                  <w:tcW w:w="6473" w:type="dxa"/>
                </w:tcPr>
                <w:p w14:paraId="6DF49D5B" w14:textId="09F34782" w:rsidR="00DB48AB" w:rsidRPr="00856029" w:rsidRDefault="0072290D" w:rsidP="00136408">
                  <w:pPr>
                    <w:rPr>
                      <w:b/>
                      <w:bCs/>
                    </w:rPr>
                  </w:pPr>
                  <w:r w:rsidRPr="00856029">
                    <w:rPr>
                      <w:b/>
                      <w:bCs/>
                    </w:rPr>
                    <w:t>Main a</w:t>
                  </w:r>
                  <w:r w:rsidR="009D1F07" w:rsidRPr="00856029">
                    <w:rPr>
                      <w:b/>
                      <w:bCs/>
                    </w:rPr>
                    <w:t xml:space="preserve">dvantage &amp; </w:t>
                  </w:r>
                  <w:r w:rsidRPr="00856029">
                    <w:rPr>
                      <w:b/>
                      <w:bCs/>
                    </w:rPr>
                    <w:t>d</w:t>
                  </w:r>
                  <w:r w:rsidR="009D1F07" w:rsidRPr="00856029">
                    <w:rPr>
                      <w:b/>
                      <w:bCs/>
                    </w:rPr>
                    <w:t>isadvantage</w:t>
                  </w:r>
                </w:p>
              </w:tc>
            </w:tr>
            <w:tr w:rsidR="003A4F9C" w14:paraId="43AF061D" w14:textId="77777777" w:rsidTr="00AA0A9E">
              <w:trPr>
                <w:trHeight w:val="90"/>
              </w:trPr>
              <w:tc>
                <w:tcPr>
                  <w:tcW w:w="2574" w:type="dxa"/>
                </w:tcPr>
                <w:p w14:paraId="4F46996B" w14:textId="22524128" w:rsidR="003A4F9C" w:rsidRPr="003A4F9C" w:rsidRDefault="00A65FFE" w:rsidP="003A4F9C">
                  <w:r w:rsidRPr="00C45770">
                    <w:rPr>
                      <w:color w:val="767171" w:themeColor="background2" w:themeShade="80"/>
                    </w:rPr>
                    <w:t>Pass/fail measure (no comparison</w:t>
                  </w:r>
                  <w:r w:rsidR="00C65B03" w:rsidRPr="00C45770">
                    <w:rPr>
                      <w:color w:val="767171" w:themeColor="background2" w:themeShade="80"/>
                    </w:rPr>
                    <w:t>!</w:t>
                  </w:r>
                  <w:r w:rsidRPr="00C45770">
                    <w:rPr>
                      <w:color w:val="767171" w:themeColor="background2" w:themeShade="80"/>
                    </w:rPr>
                    <w:t>)</w:t>
                  </w:r>
                </w:p>
              </w:tc>
              <w:tc>
                <w:tcPr>
                  <w:tcW w:w="6473" w:type="dxa"/>
                </w:tcPr>
                <w:p w14:paraId="39BEF646" w14:textId="4EF11D90" w:rsidR="003A4F9C" w:rsidRPr="00856029" w:rsidRDefault="003A4F9C" w:rsidP="003A4F9C">
                  <w:pPr>
                    <w:pStyle w:val="NoSpacing"/>
                    <w:shd w:val="clear" w:color="auto" w:fill="D4EAFF" w:themeFill="text2" w:themeFillTint="1A"/>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00323C93" w:rsidRPr="00C45770">
                    <w:rPr>
                      <w:color w:val="767171" w:themeColor="background2" w:themeShade="80"/>
                      <w:shd w:val="clear" w:color="auto" w:fill="D4EAFF" w:themeFill="text2" w:themeFillTint="1A"/>
                    </w:rPr>
                    <w:t>Sensitivity to underperformance on the sub-criteria level</w:t>
                  </w:r>
                </w:p>
                <w:p w14:paraId="051450DE" w14:textId="48E0F642" w:rsidR="00746FDD" w:rsidRPr="00C45770" w:rsidRDefault="00746FDD" w:rsidP="00746FDD">
                  <w:pPr>
                    <w:pStyle w:val="NoSpacing"/>
                    <w:shd w:val="clear" w:color="auto" w:fill="D4EAFF" w:themeFill="text2" w:themeFillTint="1A"/>
                    <w:rPr>
                      <w:color w:val="767171" w:themeColor="background2" w:themeShade="80"/>
                      <w:shd w:val="clear" w:color="auto" w:fill="FFFFFF"/>
                    </w:rPr>
                  </w:pPr>
                  <w:r w:rsidRPr="00856029">
                    <w:rPr>
                      <w:rFonts w:ascii="Segoe UI Symbol" w:hAnsi="Segoe UI Symbol" w:cs="Segoe UI Symbol"/>
                      <w:b/>
                      <w:bCs/>
                      <w:color w:val="C00000"/>
                      <w:shd w:val="clear" w:color="auto" w:fill="D4EAFF" w:themeFill="text2" w:themeFillTint="1A"/>
                    </w:rPr>
                    <w:t>X</w:t>
                  </w:r>
                  <w:r>
                    <w:rPr>
                      <w:shd w:val="clear" w:color="auto" w:fill="D4EAFF" w:themeFill="text2" w:themeFillTint="1A"/>
                    </w:rPr>
                    <w:t xml:space="preserve"> </w:t>
                  </w:r>
                  <w:r w:rsidRPr="00C45770">
                    <w:rPr>
                      <w:color w:val="767171" w:themeColor="background2" w:themeShade="80"/>
                      <w:shd w:val="clear" w:color="auto" w:fill="D4EAFF" w:themeFill="text2" w:themeFillTint="1A"/>
                    </w:rPr>
                    <w:t>No comparison between IDP and comparator households;</w:t>
                  </w:r>
                  <w:r w:rsidRPr="00C45770">
                    <w:rPr>
                      <w:color w:val="767171" w:themeColor="background2" w:themeShade="80"/>
                      <w:shd w:val="clear" w:color="auto" w:fill="FFFFFF"/>
                    </w:rPr>
                    <w:t xml:space="preserve">    </w:t>
                  </w:r>
                </w:p>
                <w:p w14:paraId="62787F0D" w14:textId="58E1ED90" w:rsidR="00746FDD" w:rsidRPr="00746FDD" w:rsidRDefault="00746FDD" w:rsidP="00746FDD">
                  <w:pPr>
                    <w:rPr>
                      <w:shd w:val="clear" w:color="auto" w:fill="D4EAFF" w:themeFill="text2" w:themeFillTint="1A"/>
                    </w:rPr>
                  </w:pPr>
                  <w:r w:rsidRPr="00C45770">
                    <w:rPr>
                      <w:color w:val="767171" w:themeColor="background2" w:themeShade="80"/>
                      <w:shd w:val="clear" w:color="auto" w:fill="D4EAFF" w:themeFill="text2" w:themeFillTint="1A"/>
                    </w:rPr>
                    <w:t xml:space="preserve">   Potentially restrictive</w:t>
                  </w:r>
                </w:p>
              </w:tc>
            </w:tr>
            <w:tr w:rsidR="003A4F9C" w14:paraId="17629AF7" w14:textId="77777777" w:rsidTr="00AA0A9E">
              <w:trPr>
                <w:trHeight w:val="369"/>
              </w:trPr>
              <w:tc>
                <w:tcPr>
                  <w:tcW w:w="2574" w:type="dxa"/>
                </w:tcPr>
                <w:p w14:paraId="34062E17" w14:textId="054FC06A" w:rsidR="003A4F9C" w:rsidRPr="00856029" w:rsidRDefault="003A4F9C" w:rsidP="003A4F9C">
                  <w:r w:rsidRPr="00856029">
                    <w:t>1. Composite metrics across all criteria</w:t>
                  </w:r>
                </w:p>
              </w:tc>
              <w:tc>
                <w:tcPr>
                  <w:tcW w:w="6473" w:type="dxa"/>
                  <w:shd w:val="clear" w:color="auto" w:fill="D4EAFF" w:themeFill="text2" w:themeFillTint="1A"/>
                </w:tcPr>
                <w:p w14:paraId="110B1C58" w14:textId="765B9613" w:rsidR="003A4F9C" w:rsidRPr="00856029" w:rsidRDefault="003A4F9C" w:rsidP="003A4F9C">
                  <w:pPr>
                    <w:pStyle w:val="NoSpacing"/>
                    <w:shd w:val="clear" w:color="auto" w:fill="D4EAFF" w:themeFill="text2" w:themeFillTint="1A"/>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Comparability of scores with few indicators needed</w:t>
                  </w:r>
                </w:p>
                <w:p w14:paraId="6C230ACF" w14:textId="7BFFC060" w:rsidR="003A4F9C" w:rsidRPr="00856029" w:rsidRDefault="003A4F9C" w:rsidP="003A4F9C">
                  <w:pPr>
                    <w:pStyle w:val="NoSpacing"/>
                    <w:rPr>
                      <w:b/>
                      <w:bCs/>
                    </w:rPr>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No sensibility to underperformance on specific (sub-)criteria</w:t>
                  </w:r>
                  <w:r w:rsidRPr="00856029">
                    <w:rPr>
                      <w:shd w:val="clear" w:color="auto" w:fill="FFFFFF"/>
                    </w:rPr>
                    <w:t xml:space="preserve"> </w:t>
                  </w:r>
                </w:p>
              </w:tc>
            </w:tr>
            <w:tr w:rsidR="003A4F9C" w14:paraId="10370456" w14:textId="77777777" w:rsidTr="003F4E4A">
              <w:trPr>
                <w:trHeight w:val="909"/>
              </w:trPr>
              <w:tc>
                <w:tcPr>
                  <w:tcW w:w="2574" w:type="dxa"/>
                  <w:shd w:val="clear" w:color="auto" w:fill="D4EAFF" w:themeFill="text2" w:themeFillTint="1A"/>
                </w:tcPr>
                <w:p w14:paraId="689A13CF" w14:textId="21173296" w:rsidR="003A4F9C" w:rsidRPr="00856029" w:rsidRDefault="003A4F9C" w:rsidP="003A4F9C">
                  <w:r w:rsidRPr="00856029">
                    <w:t>2. Composite metrics at the criterion level</w:t>
                  </w:r>
                </w:p>
              </w:tc>
              <w:tc>
                <w:tcPr>
                  <w:tcW w:w="6473" w:type="dxa"/>
                  <w:shd w:val="clear" w:color="auto" w:fill="D4EAFF" w:themeFill="text2" w:themeFillTint="1A"/>
                </w:tcPr>
                <w:p w14:paraId="6BE7F5E2" w14:textId="0B7E5186" w:rsidR="003A4F9C" w:rsidRPr="00856029" w:rsidRDefault="003A4F9C" w:rsidP="003A4F9C">
                  <w:pPr>
                    <w:pStyle w:val="NoSpacing"/>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Comparability of scores</w:t>
                  </w:r>
                  <w:r w:rsidRPr="00856029">
                    <w:rPr>
                      <w:shd w:val="clear" w:color="auto" w:fill="FFFFFF"/>
                    </w:rPr>
                    <w:t xml:space="preserve"> </w:t>
                  </w:r>
                </w:p>
                <w:p w14:paraId="42985E6D" w14:textId="77777777" w:rsidR="003A4F9C" w:rsidRPr="00856029" w:rsidRDefault="003A4F9C" w:rsidP="003A4F9C">
                  <w:pPr>
                    <w:pStyle w:val="NoSpacing"/>
                    <w:shd w:val="clear" w:color="auto" w:fill="D4EAFF" w:themeFill="text2" w:themeFillTint="1A"/>
                    <w:rPr>
                      <w:shd w:val="clear" w:color="auto" w:fill="FFFFFF"/>
                    </w:rPr>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No sensibility to underperformance on specific sub-criteria;</w:t>
                  </w:r>
                  <w:r w:rsidRPr="00856029">
                    <w:rPr>
                      <w:shd w:val="clear" w:color="auto" w:fill="FFFFFF"/>
                    </w:rPr>
                    <w:t xml:space="preserve">    </w:t>
                  </w:r>
                </w:p>
                <w:p w14:paraId="79F6E834" w14:textId="22A680DD" w:rsidR="003A4F9C" w:rsidRPr="00856029" w:rsidRDefault="003A4F9C" w:rsidP="003A4F9C">
                  <w:pPr>
                    <w:pStyle w:val="NoSpacing"/>
                    <w:shd w:val="clear" w:color="auto" w:fill="D4EAFF" w:themeFill="text2" w:themeFillTint="1A"/>
                    <w:rPr>
                      <w:shd w:val="clear" w:color="auto" w:fill="FFFFFF"/>
                    </w:rPr>
                  </w:pPr>
                  <w:r w:rsidRPr="00856029">
                    <w:rPr>
                      <w:shd w:val="clear" w:color="auto" w:fill="D4EAFF" w:themeFill="text2" w:themeFillTint="1A"/>
                    </w:rPr>
                    <w:t xml:space="preserve">   higher data needs (at least 16 indicators needed)</w:t>
                  </w:r>
                </w:p>
              </w:tc>
            </w:tr>
            <w:tr w:rsidR="003A4F9C" w14:paraId="3C978431" w14:textId="77777777" w:rsidTr="003F4E4A">
              <w:trPr>
                <w:trHeight w:val="909"/>
              </w:trPr>
              <w:tc>
                <w:tcPr>
                  <w:tcW w:w="2574" w:type="dxa"/>
                </w:tcPr>
                <w:p w14:paraId="3542218C" w14:textId="197C88B7" w:rsidR="003A4F9C" w:rsidRPr="00856029" w:rsidRDefault="003A4F9C" w:rsidP="003A4F9C">
                  <w:r w:rsidRPr="00856029">
                    <w:t>3. Composite metrics at the sub-criterion level</w:t>
                  </w:r>
                </w:p>
              </w:tc>
              <w:tc>
                <w:tcPr>
                  <w:tcW w:w="6473" w:type="dxa"/>
                  <w:shd w:val="clear" w:color="auto" w:fill="D4EAFF" w:themeFill="text2" w:themeFillTint="1A"/>
                </w:tcPr>
                <w:p w14:paraId="100977E6" w14:textId="77777777" w:rsidR="003A4F9C" w:rsidRPr="00856029" w:rsidRDefault="003A4F9C" w:rsidP="003A4F9C">
                  <w:pPr>
                    <w:pStyle w:val="NoSpacing"/>
                    <w:shd w:val="clear" w:color="auto" w:fill="D4EAFF" w:themeFill="text2" w:themeFillTint="1A"/>
                    <w:rPr>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Comparability of scores and sensibility to</w:t>
                  </w:r>
                  <w:r w:rsidRPr="00856029">
                    <w:rPr>
                      <w:shd w:val="clear" w:color="auto" w:fill="FFFFFF"/>
                    </w:rPr>
                    <w:t xml:space="preserve"> </w:t>
                  </w:r>
                </w:p>
                <w:p w14:paraId="30DA8A20" w14:textId="232104D4" w:rsidR="003A4F9C" w:rsidRPr="00856029" w:rsidRDefault="003A4F9C" w:rsidP="003A4F9C">
                  <w:pPr>
                    <w:pStyle w:val="NoSpacing"/>
                    <w:rPr>
                      <w:rFonts w:ascii="Segoe UI Symbol" w:hAnsi="Segoe UI Symbol" w:cs="Segoe UI Symbol"/>
                      <w:b/>
                      <w:bCs/>
                      <w:color w:val="006450" w:themeColor="accent6"/>
                      <w:shd w:val="clear" w:color="auto" w:fill="FFFFFF"/>
                    </w:rPr>
                  </w:pPr>
                  <w:r w:rsidRPr="00856029">
                    <w:rPr>
                      <w:shd w:val="clear" w:color="auto" w:fill="D4EAFF" w:themeFill="text2" w:themeFillTint="1A"/>
                    </w:rPr>
                    <w:t xml:space="preserve">   underperformance on sub-criteria level</w:t>
                  </w:r>
                </w:p>
                <w:p w14:paraId="450DC6FC" w14:textId="425E09A8" w:rsidR="003A4F9C" w:rsidRPr="00856029" w:rsidRDefault="003A4F9C" w:rsidP="003A4F9C">
                  <w:pPr>
                    <w:pStyle w:val="NoSpacing"/>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Very high data needs (many indicators needed)</w:t>
                  </w:r>
                </w:p>
              </w:tc>
            </w:tr>
            <w:tr w:rsidR="003A4F9C" w14:paraId="66E5D19B" w14:textId="77777777" w:rsidTr="003F4E4A">
              <w:trPr>
                <w:trHeight w:val="900"/>
              </w:trPr>
              <w:tc>
                <w:tcPr>
                  <w:tcW w:w="2574" w:type="dxa"/>
                </w:tcPr>
                <w:p w14:paraId="26BBA60C" w14:textId="0EBA5678" w:rsidR="003A4F9C" w:rsidRPr="00856029" w:rsidRDefault="003A4F9C" w:rsidP="003A4F9C">
                  <w:r w:rsidRPr="00856029">
                    <w:t>4. Homogenous cells</w:t>
                  </w:r>
                </w:p>
              </w:tc>
              <w:tc>
                <w:tcPr>
                  <w:tcW w:w="6473" w:type="dxa"/>
                  <w:shd w:val="clear" w:color="auto" w:fill="D4EAFF" w:themeFill="text2" w:themeFillTint="1A"/>
                </w:tcPr>
                <w:p w14:paraId="37729DEE" w14:textId="27030B2F" w:rsidR="003A4F9C" w:rsidRPr="00856029" w:rsidRDefault="003A4F9C" w:rsidP="003A4F9C">
                  <w:pPr>
                    <w:pStyle w:val="NoSpacing"/>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Full contextualization, comparison of continuous values</w:t>
                  </w:r>
                </w:p>
                <w:p w14:paraId="07DDE6A4" w14:textId="70106EDF" w:rsidR="00AA0A9E" w:rsidRPr="00AA0A9E" w:rsidRDefault="003A4F9C" w:rsidP="003A4F9C">
                  <w:pPr>
                    <w:pStyle w:val="NoSpacing"/>
                    <w:rPr>
                      <w:shd w:val="clear" w:color="auto" w:fill="D4EAFF" w:themeFill="text2" w:themeFillTint="1A"/>
                    </w:rPr>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Depends on assumption of homogenous IDPs within cells</w:t>
                  </w:r>
                  <w:r w:rsidR="003932F8">
                    <w:rPr>
                      <w:shd w:val="clear" w:color="auto" w:fill="D4EAFF" w:themeFill="text2" w:themeFillTint="1A"/>
                    </w:rPr>
                    <w:t>; may be highly sensitive to boundaries of cells</w:t>
                  </w:r>
                </w:p>
              </w:tc>
            </w:tr>
            <w:tr w:rsidR="00E23E25" w14:paraId="12275294" w14:textId="77777777" w:rsidTr="001A7EBF">
              <w:tc>
                <w:tcPr>
                  <w:tcW w:w="2574" w:type="dxa"/>
                </w:tcPr>
                <w:p w14:paraId="1445FDAE" w14:textId="6088FF7C" w:rsidR="00E23E25" w:rsidRPr="00856029" w:rsidRDefault="00E23E25" w:rsidP="003A4F9C">
                  <w:r>
                    <w:lastRenderedPageBreak/>
                    <w:t>5. Classifier/regression-based</w:t>
                  </w:r>
                </w:p>
              </w:tc>
              <w:tc>
                <w:tcPr>
                  <w:tcW w:w="6473" w:type="dxa"/>
                  <w:shd w:val="clear" w:color="auto" w:fill="D4EAFF" w:themeFill="text2" w:themeFillTint="1A"/>
                </w:tcPr>
                <w:p w14:paraId="67BB6E05" w14:textId="44F0CB8B" w:rsidR="00E23E25" w:rsidRPr="00856029" w:rsidRDefault="00E23E25" w:rsidP="00E23E25">
                  <w:pPr>
                    <w:pStyle w:val="NoSpacing"/>
                    <w:rPr>
                      <w:rFonts w:ascii="Segoe UI Symbol" w:hAnsi="Segoe UI Symbol" w:cs="Segoe UI Symbol"/>
                      <w:b/>
                      <w:bCs/>
                      <w:color w:val="006450" w:themeColor="accent6"/>
                      <w:shd w:val="clear" w:color="auto" w:fill="FFFFFF"/>
                    </w:rPr>
                  </w:pPr>
                  <w:r w:rsidRPr="00856029">
                    <w:rPr>
                      <w:rFonts w:ascii="Segoe UI Symbol" w:hAnsi="Segoe UI Symbol" w:cs="Segoe UI Symbol"/>
                      <w:b/>
                      <w:bCs/>
                      <w:color w:val="006450" w:themeColor="accent6"/>
                      <w:shd w:val="clear" w:color="auto" w:fill="D4EAFF" w:themeFill="text2" w:themeFillTint="1A"/>
                    </w:rPr>
                    <w:t>✓</w:t>
                  </w:r>
                  <w:r w:rsidRPr="00856029">
                    <w:rPr>
                      <w:rFonts w:ascii="Segoe UI Symbol" w:hAnsi="Segoe UI Symbol" w:cs="Segoe UI Symbol"/>
                      <w:b/>
                      <w:bCs/>
                      <w:shd w:val="clear" w:color="auto" w:fill="D4EAFF" w:themeFill="text2" w:themeFillTint="1A"/>
                    </w:rPr>
                    <w:t xml:space="preserve"> </w:t>
                  </w:r>
                  <w:r w:rsidRPr="00856029">
                    <w:rPr>
                      <w:shd w:val="clear" w:color="auto" w:fill="D4EAFF" w:themeFill="text2" w:themeFillTint="1A"/>
                    </w:rPr>
                    <w:t>Full contextualization</w:t>
                  </w:r>
                  <w:r w:rsidR="00624FE0">
                    <w:rPr>
                      <w:shd w:val="clear" w:color="auto" w:fill="D4EAFF" w:themeFill="text2" w:themeFillTint="1A"/>
                    </w:rPr>
                    <w:t xml:space="preserve"> possible</w:t>
                  </w:r>
                </w:p>
                <w:p w14:paraId="5C21A798" w14:textId="0343630A" w:rsidR="00E23E25" w:rsidRPr="00856029" w:rsidRDefault="00E23E25" w:rsidP="003A4F9C">
                  <w:pPr>
                    <w:pStyle w:val="NoSpacing"/>
                    <w:rPr>
                      <w:rFonts w:ascii="Segoe UI Symbol" w:hAnsi="Segoe UI Symbol" w:cs="Segoe UI Symbol"/>
                      <w:b/>
                      <w:bCs/>
                      <w:color w:val="006450" w:themeColor="accent6"/>
                      <w:shd w:val="clear" w:color="auto" w:fill="D4EAFF" w:themeFill="text2" w:themeFillTint="1A"/>
                    </w:rPr>
                  </w:pPr>
                  <w:r w:rsidRPr="00856029">
                    <w:rPr>
                      <w:rFonts w:ascii="Segoe UI Symbol" w:hAnsi="Segoe UI Symbol" w:cs="Segoe UI Symbol"/>
                      <w:b/>
                      <w:bCs/>
                      <w:color w:val="C00000"/>
                      <w:shd w:val="clear" w:color="auto" w:fill="D4EAFF" w:themeFill="text2" w:themeFillTint="1A"/>
                    </w:rPr>
                    <w:t>X</w:t>
                  </w:r>
                  <w:r w:rsidRPr="00856029">
                    <w:rPr>
                      <w:rFonts w:ascii="Segoe UI Symbol" w:hAnsi="Segoe UI Symbol" w:cs="Segoe UI Symbol"/>
                      <w:b/>
                      <w:bCs/>
                      <w:color w:val="4D5156"/>
                      <w:shd w:val="clear" w:color="auto" w:fill="D4EAFF" w:themeFill="text2" w:themeFillTint="1A"/>
                    </w:rPr>
                    <w:t xml:space="preserve"> </w:t>
                  </w:r>
                  <w:r w:rsidRPr="00856029">
                    <w:rPr>
                      <w:shd w:val="clear" w:color="auto" w:fill="D4EAFF" w:themeFill="text2" w:themeFillTint="1A"/>
                    </w:rPr>
                    <w:t xml:space="preserve">Depends on </w:t>
                  </w:r>
                  <w:r w:rsidR="00624FE0">
                    <w:rPr>
                      <w:shd w:val="clear" w:color="auto" w:fill="D4EAFF" w:themeFill="text2" w:themeFillTint="1A"/>
                    </w:rPr>
                    <w:t>regression assumptions</w:t>
                  </w:r>
                  <w:r>
                    <w:rPr>
                      <w:shd w:val="clear" w:color="auto" w:fill="D4EAFF" w:themeFill="text2" w:themeFillTint="1A"/>
                    </w:rPr>
                    <w:t xml:space="preserve">; </w:t>
                  </w:r>
                  <w:r w:rsidR="00624FE0">
                    <w:rPr>
                      <w:shd w:val="clear" w:color="auto" w:fill="D4EAFF" w:themeFill="text2" w:themeFillTint="1A"/>
                    </w:rPr>
                    <w:t>no sensibility to underperformance on specific sub-criteria</w:t>
                  </w:r>
                </w:p>
              </w:tc>
            </w:tr>
          </w:tbl>
          <w:p w14:paraId="0F9E1E41" w14:textId="6C684F5F" w:rsidR="00DB762F" w:rsidRDefault="00DB762F" w:rsidP="00E33E45">
            <w:pPr>
              <w:jc w:val="both"/>
            </w:pPr>
          </w:p>
        </w:tc>
      </w:tr>
    </w:tbl>
    <w:p w14:paraId="1874A6EF" w14:textId="20E49861" w:rsidR="00D924CF" w:rsidRDefault="00D924CF" w:rsidP="00D924CF">
      <w:pPr>
        <w:pStyle w:val="Heading1"/>
      </w:pPr>
      <w:bookmarkStart w:id="5" w:name="_Toc63432132"/>
      <w:r>
        <w:lastRenderedPageBreak/>
        <w:t>Methodology</w:t>
      </w:r>
      <w:bookmarkEnd w:id="5"/>
      <w:r w:rsidR="00DB762F" w:rsidRPr="00DB762F">
        <w:t xml:space="preserve"> </w:t>
      </w:r>
    </w:p>
    <w:p w14:paraId="145504BF" w14:textId="57CCFC3F" w:rsidR="00873F3D" w:rsidRDefault="004C6333" w:rsidP="00BC406D">
      <w:pPr>
        <w:jc w:val="both"/>
      </w:pPr>
      <w:r>
        <w:t xml:space="preserve">This note </w:t>
      </w:r>
      <w:r w:rsidR="003F5DFB">
        <w:t xml:space="preserve">follows a purely </w:t>
      </w:r>
      <w:r>
        <w:t xml:space="preserve">technical and empirical approach to assess how different indicators and different </w:t>
      </w:r>
      <w:r w:rsidR="00322E2F">
        <w:t>metrics</w:t>
      </w:r>
      <w:r>
        <w:t xml:space="preserve"> to combine these indicators </w:t>
      </w:r>
      <w:r w:rsidR="003F5DFB">
        <w:t xml:space="preserve">perform and result in </w:t>
      </w:r>
      <w:r w:rsidR="00BC406D">
        <w:t xml:space="preserve">IDPs </w:t>
      </w:r>
      <w:r w:rsidR="008560C3">
        <w:t xml:space="preserve">overcoming their displacement-related vulnerabilities, </w:t>
      </w:r>
      <w:r w:rsidR="005077B9">
        <w:t xml:space="preserve">thereby </w:t>
      </w:r>
      <w:r w:rsidR="00BC406D">
        <w:t>exiting</w:t>
      </w:r>
      <w:r w:rsidR="008560C3">
        <w:t xml:space="preserve"> </w:t>
      </w:r>
      <w:r w:rsidR="00BC406D">
        <w:t xml:space="preserve">the IDP stock in statistical terms. </w:t>
      </w:r>
      <w:r w:rsidR="002F015E">
        <w:t xml:space="preserve">Overall, the </w:t>
      </w:r>
      <w:r w:rsidR="00E56BD9">
        <w:t>assessment follow</w:t>
      </w:r>
      <w:r w:rsidR="006A7F3A">
        <w:t>s</w:t>
      </w:r>
      <w:r w:rsidR="00E56BD9">
        <w:t xml:space="preserve"> </w:t>
      </w:r>
      <w:r w:rsidR="00B948E1">
        <w:t>four steps</w:t>
      </w:r>
      <w:r w:rsidR="00E56BD9">
        <w:t xml:space="preserve">: The first step was to identify the universe of potential indicators that could be used to measure the 10 sub-criteria. </w:t>
      </w:r>
      <w:r w:rsidR="00EB7F09">
        <w:t xml:space="preserve">The </w:t>
      </w:r>
      <w:r w:rsidR="00E56BD9">
        <w:t>second step was</w:t>
      </w:r>
      <w:r w:rsidR="00C55839">
        <w:t xml:space="preserve"> to identify suitable </w:t>
      </w:r>
      <w:r w:rsidR="009432F4">
        <w:t>empirical datasets that contain</w:t>
      </w:r>
      <w:r w:rsidR="00B87FE0">
        <w:t xml:space="preserve"> </w:t>
      </w:r>
      <w:r w:rsidR="00023889">
        <w:t>enough</w:t>
      </w:r>
      <w:r w:rsidR="009432F4">
        <w:t xml:space="preserve"> statistical indicators from this theoretical universe </w:t>
      </w:r>
      <w:r w:rsidR="00023889">
        <w:t xml:space="preserve">to compare their performance against each other. </w:t>
      </w:r>
      <w:r w:rsidR="00F74C44">
        <w:t>In a third step, the</w:t>
      </w:r>
      <w:r w:rsidR="006A7F3A">
        <w:t xml:space="preserve"> relevant</w:t>
      </w:r>
      <w:r w:rsidR="00F74C44">
        <w:t xml:space="preserve"> indicators </w:t>
      </w:r>
      <w:r w:rsidR="008C0447">
        <w:t xml:space="preserve">in the datasets </w:t>
      </w:r>
      <w:r w:rsidR="00F74C44">
        <w:t xml:space="preserve">were prepared for </w:t>
      </w:r>
      <w:r w:rsidR="00214939">
        <w:t>the analysis by turning all indicators into binary variables and by creating composite indices</w:t>
      </w:r>
      <w:r w:rsidR="00F74C44">
        <w:t xml:space="preserve">. </w:t>
      </w:r>
      <w:r w:rsidR="00B87FE0">
        <w:t>Finally,</w:t>
      </w:r>
      <w:r w:rsidR="00353814">
        <w:t xml:space="preserve"> the selected </w:t>
      </w:r>
      <w:r w:rsidR="00880DB5">
        <w:t xml:space="preserve">datasets were used to assess the indicators and the different metric options in simulations. </w:t>
      </w:r>
      <w:r w:rsidR="00755F6A">
        <w:t>This final simulation step</w:t>
      </w:r>
      <w:r w:rsidR="00880DB5">
        <w:t xml:space="preserve"> means that for each metric option, it was assessed how</w:t>
      </w:r>
      <w:r w:rsidR="00873F3D">
        <w:t xml:space="preserve"> many IDPs exit the dataset for</w:t>
      </w:r>
      <w:r w:rsidR="00880DB5">
        <w:t xml:space="preserve"> each po</w:t>
      </w:r>
      <w:r w:rsidR="00873F3D">
        <w:t>ssible indicator combination. The simulated results provide information on the</w:t>
      </w:r>
      <w:r w:rsidR="00A56972">
        <w:t xml:space="preserve"> performance</w:t>
      </w:r>
      <w:r w:rsidR="00873F3D">
        <w:t xml:space="preserve"> of indicators and </w:t>
      </w:r>
      <w:r w:rsidR="00696818">
        <w:t>metrics</w:t>
      </w:r>
      <w:r w:rsidR="00DB2D59">
        <w:t xml:space="preserve"> that can inform </w:t>
      </w:r>
      <w:r w:rsidR="0090518F">
        <w:t>the process of developing a fully applicable measure for durable solutions</w:t>
      </w:r>
      <w:r w:rsidR="00873F3D">
        <w:t xml:space="preserve">. </w:t>
      </w:r>
      <w:r w:rsidR="00732BC5">
        <w:t>The following sections outline the details of the</w:t>
      </w:r>
      <w:r w:rsidR="005B3FD5">
        <w:t xml:space="preserve"> </w:t>
      </w:r>
      <w:r w:rsidR="00FE72BB">
        <w:t xml:space="preserve">methodology. </w:t>
      </w:r>
    </w:p>
    <w:p w14:paraId="25F3E91C" w14:textId="02558208" w:rsidR="00732BC5" w:rsidRDefault="00732BC5" w:rsidP="00732BC5">
      <w:pPr>
        <w:pStyle w:val="Heading2"/>
        <w:tabs>
          <w:tab w:val="left" w:pos="7856"/>
        </w:tabs>
      </w:pPr>
      <w:bookmarkStart w:id="6" w:name="_Toc63432133"/>
      <w:r>
        <w:t xml:space="preserve">Step 1: </w:t>
      </w:r>
      <w:r w:rsidR="00094F9A">
        <w:t>I</w:t>
      </w:r>
      <w:r>
        <w:t>dentifying the universe of</w:t>
      </w:r>
      <w:r w:rsidRPr="003C6052">
        <w:t xml:space="preserve"> potential indicators</w:t>
      </w:r>
      <w:bookmarkEnd w:id="6"/>
    </w:p>
    <w:p w14:paraId="5F20A431" w14:textId="4B52E4E6" w:rsidR="00863775" w:rsidRDefault="00196BC5" w:rsidP="00BC406D">
      <w:pPr>
        <w:jc w:val="both"/>
      </w:pPr>
      <w:r>
        <w:t>The first methodological step</w:t>
      </w:r>
      <w:r w:rsidR="00B740B2">
        <w:t xml:space="preserve"> was to map out</w:t>
      </w:r>
      <w:r w:rsidR="00EF07B0">
        <w:t xml:space="preserve"> the</w:t>
      </w:r>
      <w:r w:rsidR="00A739A5">
        <w:t xml:space="preserve"> </w:t>
      </w:r>
      <w:r w:rsidR="00B740B2">
        <w:t>universe of potential indicators that could be used to operationalize the 10 sub-criteria</w:t>
      </w:r>
      <w:r w:rsidR="00257780">
        <w:t xml:space="preserve"> on the basis of the Durable Solutions Library.</w:t>
      </w:r>
      <w:r w:rsidR="00257780">
        <w:rPr>
          <w:rStyle w:val="FootnoteReference"/>
        </w:rPr>
        <w:footnoteReference w:id="5"/>
      </w:r>
      <w:r w:rsidR="00EF07B0">
        <w:t xml:space="preserve"> </w:t>
      </w:r>
      <w:r w:rsidR="006234FF">
        <w:t>For each sub-criterion, multiple statistical indicators exist but there is no comprehensive list of all theoretically possible indicators</w:t>
      </w:r>
      <w:r w:rsidR="008B6A30">
        <w:t xml:space="preserve">. However, this is important to guide the selection of suitable datasets for this assessment. </w:t>
      </w:r>
      <w:r w:rsidR="005A4934">
        <w:t xml:space="preserve">The universe of potential indicators should be a realistic list of indicators that are often </w:t>
      </w:r>
      <w:r w:rsidR="00F60CC3">
        <w:t>used in surveys</w:t>
      </w:r>
      <w:r w:rsidR="00123C93">
        <w:t xml:space="preserve"> while also covering multiple potential operationalizations of the 10 sub-criteria. </w:t>
      </w:r>
    </w:p>
    <w:p w14:paraId="182DC277" w14:textId="77777777" w:rsidR="00863775" w:rsidRDefault="00883412" w:rsidP="00BC406D">
      <w:pPr>
        <w:jc w:val="both"/>
      </w:pPr>
      <w:r>
        <w:t>As one</w:t>
      </w:r>
      <w:r w:rsidR="00427E26">
        <w:t xml:space="preserve"> of the most</w:t>
      </w:r>
      <w:r w:rsidR="002A1DBF">
        <w:t xml:space="preserve"> comprehensive collection of</w:t>
      </w:r>
      <w:r w:rsidR="00427E26">
        <w:t xml:space="preserve"> often-used</w:t>
      </w:r>
      <w:r w:rsidR="002A1DBF">
        <w:t xml:space="preserve"> statistical indicators </w:t>
      </w:r>
      <w:r w:rsidR="00427E26">
        <w:t>for durable solutions</w:t>
      </w:r>
      <w:r>
        <w:t>,</w:t>
      </w:r>
      <w:r w:rsidR="00EF07B0">
        <w:t xml:space="preserve"> </w:t>
      </w:r>
      <w:r w:rsidR="00200654">
        <w:t xml:space="preserve">the </w:t>
      </w:r>
      <w:r w:rsidR="00DF7F21">
        <w:t xml:space="preserve">list of indicators contained in </w:t>
      </w:r>
      <w:r w:rsidR="00200654">
        <w:t>the Durable Solutions Library</w:t>
      </w:r>
      <w:r w:rsidR="00DF7F21">
        <w:t xml:space="preserve"> </w:t>
      </w:r>
      <w:r w:rsidR="000862B2">
        <w:t>was</w:t>
      </w:r>
      <w:r w:rsidR="00DF7F21">
        <w:t xml:space="preserve"> mapped on to the 10 sub-criteria.</w:t>
      </w:r>
      <w:r w:rsidR="00FA0F63">
        <w:t xml:space="preserve"> </w:t>
      </w:r>
      <w:r w:rsidR="00DF7F21">
        <w:t xml:space="preserve">To demonstrate, the </w:t>
      </w:r>
      <w:r w:rsidR="00236218">
        <w:t>l</w:t>
      </w:r>
      <w:r w:rsidR="00732BC5">
        <w:t>ibrary specifies the indicator “Target population residing in durable housing structures” which was mapped on to the sub-</w:t>
      </w:r>
      <w:r w:rsidR="00732BC5" w:rsidRPr="00564ECF">
        <w:t xml:space="preserve">criterion </w:t>
      </w:r>
      <w:r w:rsidR="00732BC5" w:rsidRPr="00564ECF">
        <w:rPr>
          <w:rFonts w:asciiTheme="majorHAnsi" w:eastAsia="Avenir" w:hAnsiTheme="majorHAnsi" w:cstheme="majorHAnsi"/>
          <w:i/>
          <w:iCs/>
        </w:rPr>
        <w:t>2.2 Shelter and housing</w:t>
      </w:r>
      <w:r w:rsidR="00732BC5">
        <w:rPr>
          <w:rFonts w:asciiTheme="majorHAnsi" w:eastAsia="Avenir" w:hAnsiTheme="majorHAnsi" w:cstheme="majorHAnsi"/>
        </w:rPr>
        <w:t>.</w:t>
      </w:r>
      <w:r w:rsidR="00622175">
        <w:rPr>
          <w:rFonts w:asciiTheme="majorHAnsi" w:eastAsia="Avenir" w:hAnsiTheme="majorHAnsi" w:cstheme="majorHAnsi"/>
        </w:rPr>
        <w:t xml:space="preserve"> </w:t>
      </w:r>
      <w:r w:rsidR="00794C52">
        <w:rPr>
          <w:rFonts w:asciiTheme="majorHAnsi" w:eastAsia="Avenir" w:hAnsiTheme="majorHAnsi" w:cstheme="majorHAnsi"/>
        </w:rPr>
        <w:t xml:space="preserve">Overall, 52 possible indicators </w:t>
      </w:r>
      <w:r w:rsidR="00143AD1">
        <w:rPr>
          <w:rFonts w:asciiTheme="majorHAnsi" w:eastAsia="Avenir" w:hAnsiTheme="majorHAnsi" w:cstheme="majorHAnsi"/>
        </w:rPr>
        <w:t xml:space="preserve">were mapped on to the 10 sub-criteria. While the library </w:t>
      </w:r>
      <w:r w:rsidR="007C1345">
        <w:rPr>
          <w:rFonts w:asciiTheme="majorHAnsi" w:eastAsia="Avenir" w:hAnsiTheme="majorHAnsi" w:cstheme="majorHAnsi"/>
        </w:rPr>
        <w:t xml:space="preserve">only contains one possible indicator for some of the sub-criteria, up to 10 possible operationalizations </w:t>
      </w:r>
      <w:r w:rsidR="00373201">
        <w:rPr>
          <w:rFonts w:asciiTheme="majorHAnsi" w:eastAsia="Avenir" w:hAnsiTheme="majorHAnsi" w:cstheme="majorHAnsi"/>
        </w:rPr>
        <w:t xml:space="preserve">for </w:t>
      </w:r>
      <w:r w:rsidR="00143AD1" w:rsidRPr="00373201">
        <w:rPr>
          <w:rFonts w:asciiTheme="majorHAnsi" w:eastAsia="Avenir" w:hAnsiTheme="majorHAnsi" w:cstheme="majorHAnsi"/>
          <w:i/>
          <w:iCs/>
        </w:rPr>
        <w:t>3.2 Economic Security</w:t>
      </w:r>
      <w:r w:rsidR="00373201">
        <w:rPr>
          <w:rFonts w:asciiTheme="majorHAnsi" w:eastAsia="Avenir" w:hAnsiTheme="majorHAnsi" w:cstheme="majorHAnsi"/>
        </w:rPr>
        <w:t xml:space="preserve"> are covered.</w:t>
      </w:r>
      <w:r w:rsidR="00732BC5">
        <w:rPr>
          <w:rStyle w:val="FootnoteReference"/>
          <w:rFonts w:asciiTheme="majorHAnsi" w:eastAsia="Avenir" w:hAnsiTheme="majorHAnsi" w:cstheme="majorHAnsi"/>
        </w:rPr>
        <w:footnoteReference w:id="6"/>
      </w:r>
      <w:r w:rsidR="00732BC5">
        <w:t xml:space="preserve"> </w:t>
      </w:r>
      <w:r w:rsidR="00803B6E">
        <w:t xml:space="preserve">See table 3 for a break down of the possible indicators per sub-criterion. </w:t>
      </w:r>
    </w:p>
    <w:p w14:paraId="2C5A7980" w14:textId="0247D11C" w:rsidR="00732BC5" w:rsidRDefault="00803B6E" w:rsidP="00BC406D">
      <w:pPr>
        <w:jc w:val="both"/>
      </w:pPr>
      <w:r>
        <w:t xml:space="preserve">This universe of potential indicators forms a </w:t>
      </w:r>
      <w:r w:rsidR="00ED044A">
        <w:t xml:space="preserve">theoretical </w:t>
      </w:r>
      <w:r>
        <w:t>baseline to identify empirical datasets that cover many of these indicators</w:t>
      </w:r>
      <w:r w:rsidR="00ED044A">
        <w:t xml:space="preserve"> in practice.</w:t>
      </w:r>
      <w:r>
        <w:t xml:space="preserve"> It should </w:t>
      </w:r>
      <w:r w:rsidR="00ED044A">
        <w:t xml:space="preserve">also </w:t>
      </w:r>
      <w:r>
        <w:t xml:space="preserve">be noted that the Durable </w:t>
      </w:r>
      <w:r>
        <w:lastRenderedPageBreak/>
        <w:t>Solutions Library identifies general indicators</w:t>
      </w:r>
      <w:r w:rsidR="00ED044A">
        <w:t xml:space="preserve"> defined in broad terms. E</w:t>
      </w:r>
      <w:r>
        <w:t xml:space="preserve">mpirical </w:t>
      </w:r>
      <w:r w:rsidR="001C187E">
        <w:t>datasets can contain a plurality of more concrete</w:t>
      </w:r>
      <w:r w:rsidR="00011D7C">
        <w:t>, specific and narrower in</w:t>
      </w:r>
      <w:r w:rsidR="001C187E">
        <w:t>dicators that</w:t>
      </w:r>
      <w:r w:rsidR="00011D7C">
        <w:t xml:space="preserve"> can be associated with one of the statistical indicators in the Durable Solutions Library</w:t>
      </w:r>
      <w:r w:rsidR="001C187E">
        <w:t>.</w:t>
      </w:r>
    </w:p>
    <w:p w14:paraId="35B64D2C" w14:textId="39BB690B" w:rsidR="006426F3" w:rsidRDefault="006426F3" w:rsidP="006426F3">
      <w:pPr>
        <w:pStyle w:val="Heading2"/>
      </w:pPr>
      <w:bookmarkStart w:id="7" w:name="_Toc63432134"/>
      <w:r>
        <w:t>S</w:t>
      </w:r>
      <w:r w:rsidR="00942018">
        <w:t xml:space="preserve">tep 2: </w:t>
      </w:r>
      <w:r w:rsidR="00242965">
        <w:t>Selecting</w:t>
      </w:r>
      <w:r>
        <w:t xml:space="preserve"> empirical datasets on IDP vulnerabilities </w:t>
      </w:r>
      <w:r w:rsidR="00942018">
        <w:t>&amp;</w:t>
      </w:r>
      <w:r>
        <w:t xml:space="preserve"> solutions</w:t>
      </w:r>
      <w:bookmarkEnd w:id="7"/>
    </w:p>
    <w:p w14:paraId="47715F18" w14:textId="01ABEA59" w:rsidR="003875B4" w:rsidRDefault="003875B4" w:rsidP="003C6072">
      <w:pPr>
        <w:jc w:val="both"/>
      </w:pPr>
      <w:r>
        <w:t>In a second step, the aim was to identify and select empirical datasets that cover many potential indicators to measure the 10 sub-criteria defined in the IRIS</w:t>
      </w:r>
      <w:r w:rsidR="00713A85">
        <w:t xml:space="preserve"> and </w:t>
      </w:r>
      <w:r w:rsidR="00B822B7">
        <w:t xml:space="preserve">that are </w:t>
      </w:r>
      <w:r w:rsidR="00713A85">
        <w:t xml:space="preserve">contained in the </w:t>
      </w:r>
      <w:r w:rsidR="00863775">
        <w:t>mapped-out</w:t>
      </w:r>
      <w:r w:rsidR="00713A85">
        <w:t xml:space="preserve"> universe of statistical indicators from the Durable Solutions Library. </w:t>
      </w:r>
    </w:p>
    <w:p w14:paraId="4A004A30" w14:textId="5FAB3C4B" w:rsidR="00F12DF5" w:rsidRDefault="00CF383F" w:rsidP="003C6072">
      <w:pPr>
        <w:jc w:val="both"/>
      </w:pPr>
      <w:r>
        <w:t>T</w:t>
      </w:r>
      <w:r w:rsidR="006426F3">
        <w:t xml:space="preserve">he first dataset selected for this simulation exercise is the </w:t>
      </w:r>
      <w:r w:rsidR="006426F3" w:rsidRPr="00A765F7">
        <w:rPr>
          <w:i/>
          <w:iCs/>
        </w:rPr>
        <w:t>Internal Displacement Profiling in Hargeisa</w:t>
      </w:r>
      <w:r w:rsidR="00486131">
        <w:rPr>
          <w:rStyle w:val="FootnoteReference"/>
          <w:i/>
          <w:iCs/>
        </w:rPr>
        <w:footnoteReference w:id="7"/>
      </w:r>
      <w:r w:rsidR="006426F3">
        <w:t xml:space="preserve"> that was conducted by UNHCR with support of JIPS</w:t>
      </w:r>
      <w:r w:rsidR="00570E8A">
        <w:t xml:space="preserve"> and the </w:t>
      </w:r>
      <w:r w:rsidR="00570E8A" w:rsidRPr="00570E8A">
        <w:t>Protection Cluster’s Profiling Task Force</w:t>
      </w:r>
      <w:r w:rsidR="006426F3">
        <w:t xml:space="preserve"> in 2015. The second dataset stems from the World Bank </w:t>
      </w:r>
      <w:r w:rsidR="006426F3" w:rsidRPr="00A765F7">
        <w:rPr>
          <w:i/>
          <w:iCs/>
        </w:rPr>
        <w:t>Profile of Internally Displaced Persons in North-East Nigeria</w:t>
      </w:r>
      <w:r w:rsidR="004D46EB">
        <w:rPr>
          <w:rStyle w:val="FootnoteReference"/>
          <w:i/>
          <w:iCs/>
        </w:rPr>
        <w:footnoteReference w:id="8"/>
      </w:r>
      <w:r w:rsidR="006426F3">
        <w:t xml:space="preserve"> in 2018. Both datasets were readily available in the Humanitarian Data Exchange and the World Bank Microdata Library and were chosen because they cover a wide range of possible indicators for durable solutions and because they cover IDPs</w:t>
      </w:r>
      <w:r w:rsidR="004D0B77">
        <w:t xml:space="preserve"> and host communities</w:t>
      </w:r>
      <w:r w:rsidR="006426F3">
        <w:t>.</w:t>
      </w:r>
      <w:r w:rsidR="006426F3">
        <w:rPr>
          <w:rStyle w:val="FootnoteReference"/>
        </w:rPr>
        <w:footnoteReference w:id="9"/>
      </w:r>
    </w:p>
    <w:p w14:paraId="040F3D96" w14:textId="122C9E78" w:rsidR="00CD6A68" w:rsidRDefault="007B69C0" w:rsidP="00AF5F98">
      <w:pPr>
        <w:jc w:val="both"/>
      </w:pPr>
      <w:r>
        <w:t>The</w:t>
      </w:r>
      <w:r w:rsidR="00BF2504">
        <w:t xml:space="preserve"> datasets were </w:t>
      </w:r>
      <w:r>
        <w:t xml:space="preserve">then </w:t>
      </w:r>
      <w:r w:rsidR="00C71D13">
        <w:t xml:space="preserve">checked </w:t>
      </w:r>
      <w:r w:rsidR="00F22600">
        <w:t xml:space="preserve">to identify </w:t>
      </w:r>
      <w:r w:rsidR="00C71D13">
        <w:t xml:space="preserve">whether they contained </w:t>
      </w:r>
      <w:r>
        <w:t>the</w:t>
      </w:r>
      <w:r w:rsidR="00F22600">
        <w:t xml:space="preserve"> </w:t>
      </w:r>
      <w:r w:rsidR="00C71D13">
        <w:t xml:space="preserve">relevant </w:t>
      </w:r>
      <w:r>
        <w:t xml:space="preserve">52 </w:t>
      </w:r>
      <w:r w:rsidR="00C71D13">
        <w:t>indicators</w:t>
      </w:r>
      <w:r>
        <w:t xml:space="preserve"> from the Durable Solutions Library</w:t>
      </w:r>
      <w:r w:rsidR="00C71D13">
        <w:t xml:space="preserve">.  </w:t>
      </w:r>
      <w:r>
        <w:t xml:space="preserve">Table 3 summarizes how many indicators for each sub-criterion were present in the empirical datasets. As previously mentioned, </w:t>
      </w:r>
      <w:r w:rsidR="00AF5F98">
        <w:t xml:space="preserve">the datasets can cover multiple more detailed indicators than the mapping from the Durable Solutions Library which lists general indicators. </w:t>
      </w:r>
      <w:r w:rsidR="00DF7F21">
        <w:t>See the appendix for a full table of all indicators in the D</w:t>
      </w:r>
      <w:r w:rsidR="00AF5F98">
        <w:t>urable Solutions</w:t>
      </w:r>
      <w:r w:rsidR="00DF7F21">
        <w:t xml:space="preserve"> library mapped to a sub-criterion and complemented with the indicators available in the empirical datasets.</w:t>
      </w:r>
      <w:r w:rsidR="00DF7F21">
        <w:rPr>
          <w:rStyle w:val="FootnoteReference"/>
        </w:rPr>
        <w:footnoteReference w:id="10"/>
      </w:r>
      <w:r w:rsidR="00DF7F21">
        <w:t xml:space="preserve"> For example, the D</w:t>
      </w:r>
      <w:r w:rsidR="00AF5F98">
        <w:t>urable Solutions</w:t>
      </w:r>
      <w:r w:rsidR="00DF7F21">
        <w:t xml:space="preserve"> </w:t>
      </w:r>
      <w:r w:rsidR="00AF5F98">
        <w:t>L</w:t>
      </w:r>
      <w:r w:rsidR="00DF7F21">
        <w:t xml:space="preserve">ibrary identifies 6 potential indicators for </w:t>
      </w:r>
      <w:r w:rsidR="00DF7F21">
        <w:rPr>
          <w:i/>
          <w:iCs/>
        </w:rPr>
        <w:t>4.1 Property restitution and compensation</w:t>
      </w:r>
      <w:r w:rsidR="00DF7F21">
        <w:t xml:space="preserve"> but only three of them were collected in the IDP profiling in Hargeisa and only two of them in the IDP profiling in Nigeria.</w:t>
      </w:r>
    </w:p>
    <w:p w14:paraId="26645D8E" w14:textId="2EBE20A9" w:rsidR="00824A4F" w:rsidRDefault="00824A4F" w:rsidP="00457FA6">
      <w:pPr>
        <w:pStyle w:val="TabFigSW"/>
      </w:pPr>
      <w:r>
        <w:t xml:space="preserve">Table </w:t>
      </w:r>
      <w:r>
        <w:fldChar w:fldCharType="begin"/>
      </w:r>
      <w:r>
        <w:instrText>SEQ Table \* ARABIC</w:instrText>
      </w:r>
      <w:r>
        <w:fldChar w:fldCharType="separate"/>
      </w:r>
      <w:r w:rsidR="00A44A6F">
        <w:rPr>
          <w:noProof/>
        </w:rPr>
        <w:t>3</w:t>
      </w:r>
      <w:r>
        <w:fldChar w:fldCharType="end"/>
      </w:r>
      <w:r>
        <w:t>: Potential and empirically existen</w:t>
      </w:r>
      <w:r w:rsidR="006F6BD8">
        <w:t>t</w:t>
      </w:r>
      <w:r>
        <w:t xml:space="preserve"> indicators for durable solutions</w:t>
      </w:r>
    </w:p>
    <w:tbl>
      <w:tblPr>
        <w:tblStyle w:val="PlainTable2"/>
        <w:tblpPr w:leftFromText="180" w:rightFromText="180" w:vertAnchor="text" w:horzAnchor="margin" w:tblpY="112"/>
        <w:tblW w:w="5000" w:type="pct"/>
        <w:tblLook w:val="04A0" w:firstRow="1" w:lastRow="0" w:firstColumn="1" w:lastColumn="0" w:noHBand="0" w:noVBand="1"/>
      </w:tblPr>
      <w:tblGrid>
        <w:gridCol w:w="3961"/>
        <w:gridCol w:w="1800"/>
        <w:gridCol w:w="1619"/>
        <w:gridCol w:w="1646"/>
      </w:tblGrid>
      <w:tr w:rsidR="00034050" w:rsidRPr="003C6052" w14:paraId="644263CF" w14:textId="77777777" w:rsidTr="002A47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vMerge w:val="restart"/>
          </w:tcPr>
          <w:p w14:paraId="6309AF03" w14:textId="57F27341" w:rsidR="004C6333" w:rsidRPr="00797AE1" w:rsidRDefault="00F55CBC" w:rsidP="009B045F">
            <w:pPr>
              <w:textAlignment w:val="baseline"/>
              <w:rPr>
                <w:rFonts w:asciiTheme="majorHAnsi" w:eastAsia="Times New Roman" w:hAnsiTheme="majorHAnsi" w:cstheme="majorHAnsi"/>
                <w:b w:val="0"/>
                <w:bCs w:val="0"/>
                <w:color w:val="002F59" w:themeColor="text2"/>
                <w:sz w:val="18"/>
                <w:szCs w:val="18"/>
                <w:lang w:eastAsia="en-GB"/>
              </w:rPr>
            </w:pPr>
            <w:r>
              <w:rPr>
                <w:rFonts w:asciiTheme="majorHAnsi" w:eastAsia="Times New Roman" w:hAnsiTheme="majorHAnsi" w:cstheme="majorHAnsi"/>
                <w:color w:val="002F59" w:themeColor="text2"/>
                <w:sz w:val="18"/>
                <w:szCs w:val="18"/>
                <w:lang w:eastAsia="en-GB"/>
              </w:rPr>
              <w:t>S</w:t>
            </w:r>
            <w:r w:rsidR="004C6333" w:rsidRPr="00797AE1">
              <w:rPr>
                <w:rFonts w:asciiTheme="majorHAnsi" w:eastAsia="Times New Roman" w:hAnsiTheme="majorHAnsi" w:cstheme="majorHAnsi"/>
                <w:color w:val="002F59" w:themeColor="text2"/>
                <w:sz w:val="18"/>
                <w:szCs w:val="18"/>
                <w:lang w:eastAsia="en-GB"/>
              </w:rPr>
              <w:t>ub-criteria (IRIS)</w:t>
            </w:r>
          </w:p>
        </w:tc>
        <w:tc>
          <w:tcPr>
            <w:tcW w:w="997" w:type="pct"/>
            <w:vMerge w:val="restart"/>
          </w:tcPr>
          <w:p w14:paraId="058BF104" w14:textId="634180B8" w:rsidR="004C6333" w:rsidRPr="00797AE1" w:rsidRDefault="006F6BD8" w:rsidP="009B045F">
            <w:pPr>
              <w:textAlignment w:val="baseline"/>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2F59" w:themeColor="text2"/>
                <w:sz w:val="18"/>
                <w:szCs w:val="18"/>
                <w:lang w:eastAsia="en-GB"/>
              </w:rPr>
            </w:pPr>
            <w:r>
              <w:rPr>
                <w:rFonts w:asciiTheme="majorHAnsi" w:eastAsia="Times New Roman" w:hAnsiTheme="majorHAnsi" w:cstheme="majorHAnsi"/>
                <w:color w:val="002F59" w:themeColor="text2"/>
                <w:sz w:val="18"/>
                <w:szCs w:val="18"/>
                <w:lang w:eastAsia="en-GB"/>
              </w:rPr>
              <w:t>Indicators</w:t>
            </w:r>
            <w:r w:rsidR="004C6333" w:rsidRPr="00797AE1">
              <w:rPr>
                <w:rFonts w:asciiTheme="majorHAnsi" w:eastAsia="Times New Roman" w:hAnsiTheme="majorHAnsi" w:cstheme="majorHAnsi"/>
                <w:color w:val="002F59" w:themeColor="text2"/>
                <w:sz w:val="18"/>
                <w:szCs w:val="18"/>
                <w:lang w:eastAsia="en-GB"/>
              </w:rPr>
              <w:t xml:space="preserve"> from</w:t>
            </w:r>
            <w:r w:rsidR="004C6333">
              <w:rPr>
                <w:rFonts w:asciiTheme="majorHAnsi" w:eastAsia="Times New Roman" w:hAnsiTheme="majorHAnsi" w:cstheme="majorHAnsi"/>
                <w:color w:val="002F59" w:themeColor="text2"/>
                <w:sz w:val="18"/>
                <w:szCs w:val="18"/>
                <w:lang w:eastAsia="en-GB"/>
              </w:rPr>
              <w:t xml:space="preserve"> the</w:t>
            </w:r>
            <w:r w:rsidR="004C6333" w:rsidRPr="00797AE1">
              <w:rPr>
                <w:rFonts w:asciiTheme="majorHAnsi" w:eastAsia="Times New Roman" w:hAnsiTheme="majorHAnsi" w:cstheme="majorHAnsi"/>
                <w:color w:val="002F59" w:themeColor="text2"/>
                <w:sz w:val="18"/>
                <w:szCs w:val="18"/>
                <w:lang w:eastAsia="en-GB"/>
              </w:rPr>
              <w:t xml:space="preserve"> inter-agency D</w:t>
            </w:r>
            <w:r w:rsidR="002A47B4">
              <w:rPr>
                <w:rFonts w:asciiTheme="majorHAnsi" w:eastAsia="Times New Roman" w:hAnsiTheme="majorHAnsi" w:cstheme="majorHAnsi"/>
                <w:color w:val="002F59" w:themeColor="text2"/>
                <w:sz w:val="18"/>
                <w:szCs w:val="18"/>
                <w:lang w:eastAsia="en-GB"/>
              </w:rPr>
              <w:t>urable Solutions</w:t>
            </w:r>
            <w:r w:rsidR="004C6333" w:rsidRPr="00797AE1">
              <w:rPr>
                <w:rFonts w:asciiTheme="majorHAnsi" w:eastAsia="Times New Roman" w:hAnsiTheme="majorHAnsi" w:cstheme="majorHAnsi"/>
                <w:color w:val="002F59" w:themeColor="text2"/>
                <w:sz w:val="18"/>
                <w:szCs w:val="18"/>
                <w:lang w:eastAsia="en-GB"/>
              </w:rPr>
              <w:t xml:space="preserve"> </w:t>
            </w:r>
            <w:r w:rsidR="002A47B4">
              <w:rPr>
                <w:rFonts w:asciiTheme="majorHAnsi" w:eastAsia="Times New Roman" w:hAnsiTheme="majorHAnsi" w:cstheme="majorHAnsi"/>
                <w:color w:val="002F59" w:themeColor="text2"/>
                <w:sz w:val="18"/>
                <w:szCs w:val="18"/>
                <w:lang w:eastAsia="en-GB"/>
              </w:rPr>
              <w:t>L</w:t>
            </w:r>
            <w:r w:rsidR="004C6333" w:rsidRPr="00797AE1">
              <w:rPr>
                <w:rFonts w:asciiTheme="majorHAnsi" w:eastAsia="Times New Roman" w:hAnsiTheme="majorHAnsi" w:cstheme="majorHAnsi"/>
                <w:color w:val="002F59" w:themeColor="text2"/>
                <w:sz w:val="18"/>
                <w:szCs w:val="18"/>
                <w:lang w:eastAsia="en-GB"/>
              </w:rPr>
              <w:t>ibrary</w:t>
            </w:r>
          </w:p>
        </w:tc>
        <w:tc>
          <w:tcPr>
            <w:tcW w:w="1809" w:type="pct"/>
            <w:gridSpan w:val="2"/>
          </w:tcPr>
          <w:p w14:paraId="64A9E1A5" w14:textId="77777777" w:rsidR="004C6333" w:rsidRPr="00797AE1" w:rsidRDefault="004C6333" w:rsidP="009B045F">
            <w:pPr>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Of which, available in…</w:t>
            </w:r>
          </w:p>
        </w:tc>
      </w:tr>
      <w:tr w:rsidR="00034050" w:rsidRPr="003C6052" w14:paraId="677A0065"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vMerge/>
          </w:tcPr>
          <w:p w14:paraId="61FBF97A" w14:textId="77777777" w:rsidR="004C6333" w:rsidRPr="00797AE1" w:rsidRDefault="004C6333" w:rsidP="009B045F">
            <w:pPr>
              <w:textAlignment w:val="baseline"/>
              <w:rPr>
                <w:rFonts w:asciiTheme="majorHAnsi" w:eastAsia="Times New Roman" w:hAnsiTheme="majorHAnsi" w:cstheme="majorHAnsi"/>
                <w:b w:val="0"/>
                <w:bCs w:val="0"/>
                <w:color w:val="002F59" w:themeColor="text2"/>
                <w:sz w:val="18"/>
                <w:szCs w:val="18"/>
                <w:lang w:eastAsia="en-GB"/>
              </w:rPr>
            </w:pPr>
          </w:p>
        </w:tc>
        <w:tc>
          <w:tcPr>
            <w:tcW w:w="997" w:type="pct"/>
            <w:vMerge/>
          </w:tcPr>
          <w:p w14:paraId="1A9EB223" w14:textId="77777777" w:rsidR="004C6333" w:rsidRPr="00797AE1"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8"/>
                <w:szCs w:val="18"/>
                <w:lang w:eastAsia="en-GB"/>
              </w:rPr>
            </w:pPr>
          </w:p>
        </w:tc>
        <w:tc>
          <w:tcPr>
            <w:tcW w:w="897" w:type="pct"/>
          </w:tcPr>
          <w:p w14:paraId="5524A302" w14:textId="77777777" w:rsidR="004C6333" w:rsidRPr="00797AE1"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8"/>
                <w:szCs w:val="18"/>
                <w:lang w:eastAsia="en-GB"/>
              </w:rPr>
            </w:pPr>
            <w:r>
              <w:rPr>
                <w:rFonts w:asciiTheme="majorHAnsi" w:eastAsia="Times New Roman" w:hAnsiTheme="majorHAnsi" w:cstheme="majorHAnsi"/>
                <w:b/>
                <w:bCs/>
                <w:color w:val="002F59" w:themeColor="text2"/>
                <w:sz w:val="18"/>
                <w:szCs w:val="18"/>
                <w:lang w:eastAsia="en-GB"/>
              </w:rPr>
              <w:t>IDP Profiling in Hargeisa (UNHCR 2015)</w:t>
            </w:r>
          </w:p>
        </w:tc>
        <w:tc>
          <w:tcPr>
            <w:tcW w:w="912" w:type="pct"/>
          </w:tcPr>
          <w:p w14:paraId="798E69B3" w14:textId="77777777" w:rsidR="004C6333" w:rsidRPr="00797AE1"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8"/>
                <w:szCs w:val="18"/>
                <w:lang w:eastAsia="en-GB"/>
              </w:rPr>
            </w:pPr>
            <w:r>
              <w:rPr>
                <w:rFonts w:asciiTheme="majorHAnsi" w:eastAsia="Times New Roman" w:hAnsiTheme="majorHAnsi" w:cstheme="majorHAnsi"/>
                <w:b/>
                <w:bCs/>
                <w:color w:val="002F59" w:themeColor="text2"/>
                <w:sz w:val="18"/>
                <w:szCs w:val="18"/>
                <w:lang w:eastAsia="en-GB"/>
              </w:rPr>
              <w:t>IDP Profiling in Nigeria (World Bank 2018)</w:t>
            </w:r>
          </w:p>
        </w:tc>
      </w:tr>
      <w:tr w:rsidR="00034050" w:rsidRPr="003C6052" w14:paraId="4239744C"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4E6E1302"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1.1 Victims of violence </w:t>
            </w:r>
          </w:p>
        </w:tc>
        <w:tc>
          <w:tcPr>
            <w:tcW w:w="997" w:type="pct"/>
          </w:tcPr>
          <w:p w14:paraId="6FDC1847" w14:textId="7C9DC413" w:rsidR="004C6333" w:rsidRPr="003C6052" w:rsidRDefault="00F94EAA"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7</w:t>
            </w:r>
          </w:p>
        </w:tc>
        <w:tc>
          <w:tcPr>
            <w:tcW w:w="897" w:type="pct"/>
          </w:tcPr>
          <w:p w14:paraId="699C52DA" w14:textId="5545B174" w:rsidR="004C6333" w:rsidRPr="003C6052" w:rsidRDefault="00F94EAA"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Pr>
          <w:p w14:paraId="2D23672A"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8</w:t>
            </w:r>
          </w:p>
        </w:tc>
      </w:tr>
      <w:tr w:rsidR="00034050" w:rsidRPr="003C6052" w14:paraId="5043C1DC"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312F70BC"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1.2 Freedom of movement </w:t>
            </w:r>
          </w:p>
        </w:tc>
        <w:tc>
          <w:tcPr>
            <w:tcW w:w="997" w:type="pct"/>
          </w:tcPr>
          <w:p w14:paraId="0404B012" w14:textId="0522B378" w:rsidR="004C6333" w:rsidRPr="003C6052" w:rsidRDefault="00E10F55"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c>
          <w:tcPr>
            <w:tcW w:w="897" w:type="pct"/>
          </w:tcPr>
          <w:p w14:paraId="42E358DD"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c>
          <w:tcPr>
            <w:tcW w:w="912" w:type="pct"/>
          </w:tcPr>
          <w:p w14:paraId="26D4E436"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r>
      <w:tr w:rsidR="00034050" w:rsidRPr="003C6052" w14:paraId="487522E3"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5270F162"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2.1 Food security </w:t>
            </w:r>
          </w:p>
        </w:tc>
        <w:tc>
          <w:tcPr>
            <w:tcW w:w="997" w:type="pct"/>
          </w:tcPr>
          <w:p w14:paraId="51E91BFC" w14:textId="0082C88F" w:rsidR="004C6333" w:rsidRPr="003C6052" w:rsidRDefault="001C1218"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c>
          <w:tcPr>
            <w:tcW w:w="897" w:type="pct"/>
          </w:tcPr>
          <w:p w14:paraId="76E37526"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2</w:t>
            </w:r>
          </w:p>
        </w:tc>
        <w:tc>
          <w:tcPr>
            <w:tcW w:w="912" w:type="pct"/>
          </w:tcPr>
          <w:p w14:paraId="0F123482"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r>
      <w:tr w:rsidR="00034050" w:rsidRPr="003C6052" w14:paraId="6C1AE96F"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50C83921"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2.2 Shelter and housing </w:t>
            </w:r>
          </w:p>
        </w:tc>
        <w:tc>
          <w:tcPr>
            <w:tcW w:w="997" w:type="pct"/>
          </w:tcPr>
          <w:p w14:paraId="2C447896" w14:textId="38D808EB" w:rsidR="004C6333" w:rsidRPr="003C6052" w:rsidRDefault="00270BAB"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8</w:t>
            </w:r>
          </w:p>
        </w:tc>
        <w:tc>
          <w:tcPr>
            <w:tcW w:w="897" w:type="pct"/>
          </w:tcPr>
          <w:p w14:paraId="59D2E4E9" w14:textId="24347496" w:rsidR="004C6333" w:rsidRPr="003C6052" w:rsidRDefault="00270BAB"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6</w:t>
            </w:r>
          </w:p>
        </w:tc>
        <w:tc>
          <w:tcPr>
            <w:tcW w:w="912" w:type="pct"/>
          </w:tcPr>
          <w:p w14:paraId="0AA4B75C" w14:textId="4A5D1C28" w:rsidR="004C6333" w:rsidRPr="003C6052" w:rsidRDefault="00270BAB"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9</w:t>
            </w:r>
          </w:p>
        </w:tc>
      </w:tr>
      <w:tr w:rsidR="00034050" w:rsidRPr="003C6052" w14:paraId="12E83C32"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5F7A3D2F"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2.3 Medical services </w:t>
            </w:r>
          </w:p>
        </w:tc>
        <w:tc>
          <w:tcPr>
            <w:tcW w:w="997" w:type="pct"/>
          </w:tcPr>
          <w:p w14:paraId="6F8A29A2" w14:textId="354F8186" w:rsidR="004C6333" w:rsidRPr="003C6052" w:rsidRDefault="00270BAB"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4</w:t>
            </w:r>
          </w:p>
        </w:tc>
        <w:tc>
          <w:tcPr>
            <w:tcW w:w="897" w:type="pct"/>
          </w:tcPr>
          <w:p w14:paraId="226C2BD5" w14:textId="254665C3" w:rsidR="004C6333" w:rsidRPr="003C6052" w:rsidRDefault="00270BAB"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Pr>
          <w:p w14:paraId="2ADA4726" w14:textId="43F54939" w:rsidR="004C6333" w:rsidRPr="003C6052" w:rsidRDefault="00270BAB"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2</w:t>
            </w:r>
          </w:p>
        </w:tc>
      </w:tr>
      <w:tr w:rsidR="00034050" w:rsidRPr="003C6052" w14:paraId="723915C8"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725A1743"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2.4 Education </w:t>
            </w:r>
          </w:p>
        </w:tc>
        <w:tc>
          <w:tcPr>
            <w:tcW w:w="997" w:type="pct"/>
          </w:tcPr>
          <w:p w14:paraId="053B6206" w14:textId="510597A6" w:rsidR="004C6333" w:rsidRPr="003C6052" w:rsidRDefault="00D97C5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897" w:type="pct"/>
          </w:tcPr>
          <w:p w14:paraId="522C3D3F"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5</w:t>
            </w:r>
          </w:p>
        </w:tc>
        <w:tc>
          <w:tcPr>
            <w:tcW w:w="912" w:type="pct"/>
          </w:tcPr>
          <w:p w14:paraId="06367527"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2</w:t>
            </w:r>
          </w:p>
        </w:tc>
      </w:tr>
      <w:tr w:rsidR="00034050" w:rsidRPr="003C6052" w14:paraId="7F57B857"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130597D7"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3.1 Employment and livelihoods </w:t>
            </w:r>
          </w:p>
        </w:tc>
        <w:tc>
          <w:tcPr>
            <w:tcW w:w="997" w:type="pct"/>
          </w:tcPr>
          <w:p w14:paraId="589EC216" w14:textId="0E3C5CFB" w:rsidR="004C6333" w:rsidRPr="003C6052" w:rsidRDefault="00554D11"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8</w:t>
            </w:r>
          </w:p>
        </w:tc>
        <w:tc>
          <w:tcPr>
            <w:tcW w:w="897" w:type="pct"/>
          </w:tcPr>
          <w:p w14:paraId="5D889B8F" w14:textId="5775D18A" w:rsidR="004C6333" w:rsidRPr="003C6052" w:rsidRDefault="007055EE"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c>
          <w:tcPr>
            <w:tcW w:w="912" w:type="pct"/>
          </w:tcPr>
          <w:p w14:paraId="5CC4A76C"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r>
      <w:tr w:rsidR="00034050" w:rsidRPr="003C6052" w14:paraId="03C6D478"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hideMark/>
          </w:tcPr>
          <w:p w14:paraId="6347E733"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3.2 Economic security </w:t>
            </w:r>
          </w:p>
        </w:tc>
        <w:tc>
          <w:tcPr>
            <w:tcW w:w="997" w:type="pct"/>
          </w:tcPr>
          <w:p w14:paraId="587D8AA2" w14:textId="53FCA3D1"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r w:rsidR="00554D11">
              <w:rPr>
                <w:rFonts w:asciiTheme="majorHAnsi" w:eastAsia="Times New Roman" w:hAnsiTheme="majorHAnsi" w:cstheme="majorHAnsi"/>
                <w:color w:val="000000"/>
                <w:sz w:val="18"/>
                <w:szCs w:val="18"/>
                <w:lang w:eastAsia="en-GB"/>
              </w:rPr>
              <w:t>0</w:t>
            </w:r>
          </w:p>
        </w:tc>
        <w:tc>
          <w:tcPr>
            <w:tcW w:w="897" w:type="pct"/>
          </w:tcPr>
          <w:p w14:paraId="633C5366" w14:textId="20624E23" w:rsidR="004C6333" w:rsidRPr="003C6052" w:rsidRDefault="00E82407"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Pr>
          <w:p w14:paraId="1C585523" w14:textId="29BA77B2" w:rsidR="004C6333" w:rsidRPr="003C6052" w:rsidRDefault="003D584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7</w:t>
            </w:r>
          </w:p>
        </w:tc>
      </w:tr>
      <w:tr w:rsidR="00034050" w:rsidRPr="003C6052" w14:paraId="072D9A6F" w14:textId="77777777" w:rsidTr="002A47B4">
        <w:trPr>
          <w:trHeight w:val="315"/>
        </w:trPr>
        <w:tc>
          <w:tcPr>
            <w:cnfStyle w:val="001000000000" w:firstRow="0" w:lastRow="0" w:firstColumn="1" w:lastColumn="0" w:oddVBand="0" w:evenVBand="0" w:oddHBand="0" w:evenHBand="0" w:firstRowFirstColumn="0" w:firstRowLastColumn="0" w:lastRowFirstColumn="0" w:lastRowLastColumn="0"/>
            <w:tcW w:w="2194" w:type="pct"/>
            <w:hideMark/>
          </w:tcPr>
          <w:p w14:paraId="7DD1AE45"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lastRenderedPageBreak/>
              <w:t>4.1 Property restitution and compensation </w:t>
            </w:r>
          </w:p>
        </w:tc>
        <w:tc>
          <w:tcPr>
            <w:tcW w:w="997" w:type="pct"/>
          </w:tcPr>
          <w:p w14:paraId="7017937C" w14:textId="1E898581" w:rsidR="004C6333" w:rsidRPr="003C6052" w:rsidRDefault="00554D11"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6</w:t>
            </w:r>
          </w:p>
        </w:tc>
        <w:tc>
          <w:tcPr>
            <w:tcW w:w="897" w:type="pct"/>
          </w:tcPr>
          <w:p w14:paraId="5381F727"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Pr>
          <w:p w14:paraId="3BF37DCB" w14:textId="77777777" w:rsidR="004C6333" w:rsidRPr="003C6052" w:rsidRDefault="004C6333"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2</w:t>
            </w:r>
          </w:p>
        </w:tc>
      </w:tr>
      <w:tr w:rsidR="00034050" w:rsidRPr="003C6052" w14:paraId="3B5C870B" w14:textId="77777777" w:rsidTr="002A47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4" w:type="pct"/>
            <w:tcBorders>
              <w:bottom w:val="single" w:sz="12" w:space="0" w:color="auto"/>
            </w:tcBorders>
            <w:hideMark/>
          </w:tcPr>
          <w:p w14:paraId="7B8A44F3" w14:textId="77777777" w:rsidR="004C6333" w:rsidRPr="00797AE1" w:rsidRDefault="004C6333" w:rsidP="009B045F">
            <w:pPr>
              <w:textAlignment w:val="baseline"/>
              <w:rPr>
                <w:rFonts w:asciiTheme="majorHAnsi" w:eastAsia="Times New Roman" w:hAnsiTheme="majorHAnsi" w:cstheme="majorHAnsi"/>
                <w:color w:val="002F59" w:themeColor="text2"/>
                <w:sz w:val="18"/>
                <w:szCs w:val="18"/>
                <w:lang w:eastAsia="en-GB"/>
              </w:rPr>
            </w:pPr>
            <w:r w:rsidRPr="00797AE1">
              <w:rPr>
                <w:rFonts w:asciiTheme="majorHAnsi" w:eastAsia="Times New Roman" w:hAnsiTheme="majorHAnsi" w:cstheme="majorHAnsi"/>
                <w:color w:val="002F59" w:themeColor="text2"/>
                <w:sz w:val="18"/>
                <w:szCs w:val="18"/>
                <w:lang w:eastAsia="en-GB"/>
              </w:rPr>
              <w:t>5.1. Documentation </w:t>
            </w:r>
          </w:p>
        </w:tc>
        <w:tc>
          <w:tcPr>
            <w:tcW w:w="997" w:type="pct"/>
            <w:tcBorders>
              <w:bottom w:val="single" w:sz="12" w:space="0" w:color="auto"/>
            </w:tcBorders>
          </w:tcPr>
          <w:p w14:paraId="02841A10" w14:textId="72C3D406" w:rsidR="004C6333" w:rsidRPr="003C6052" w:rsidRDefault="00554D11"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4</w:t>
            </w:r>
          </w:p>
        </w:tc>
        <w:tc>
          <w:tcPr>
            <w:tcW w:w="897" w:type="pct"/>
            <w:tcBorders>
              <w:bottom w:val="single" w:sz="12" w:space="0" w:color="auto"/>
            </w:tcBorders>
          </w:tcPr>
          <w:p w14:paraId="20E88DFD"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3</w:t>
            </w:r>
          </w:p>
        </w:tc>
        <w:tc>
          <w:tcPr>
            <w:tcW w:w="912" w:type="pct"/>
            <w:tcBorders>
              <w:bottom w:val="single" w:sz="12" w:space="0" w:color="auto"/>
            </w:tcBorders>
          </w:tcPr>
          <w:p w14:paraId="149BE2E7" w14:textId="77777777" w:rsidR="004C6333" w:rsidRPr="003C6052" w:rsidRDefault="004C6333"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w:t>
            </w:r>
          </w:p>
        </w:tc>
      </w:tr>
      <w:tr w:rsidR="00135892" w:rsidRPr="003C6052" w14:paraId="44DF35A8" w14:textId="77777777" w:rsidTr="002A47B4">
        <w:trPr>
          <w:trHeight w:val="300"/>
        </w:trPr>
        <w:tc>
          <w:tcPr>
            <w:cnfStyle w:val="001000000000" w:firstRow="0" w:lastRow="0" w:firstColumn="1" w:lastColumn="0" w:oddVBand="0" w:evenVBand="0" w:oddHBand="0" w:evenHBand="0" w:firstRowFirstColumn="0" w:firstRowLastColumn="0" w:lastRowFirstColumn="0" w:lastRowLastColumn="0"/>
            <w:tcW w:w="2194" w:type="pct"/>
            <w:tcBorders>
              <w:top w:val="single" w:sz="12" w:space="0" w:color="auto"/>
              <w:bottom w:val="single" w:sz="4" w:space="0" w:color="7F7F7F" w:themeColor="text1" w:themeTint="80"/>
            </w:tcBorders>
          </w:tcPr>
          <w:p w14:paraId="6C730B4D" w14:textId="3A8EC30B" w:rsidR="00135892" w:rsidRPr="00797AE1" w:rsidRDefault="00135892" w:rsidP="009B045F">
            <w:pPr>
              <w:textAlignment w:val="baseline"/>
              <w:rPr>
                <w:rFonts w:asciiTheme="majorHAnsi" w:eastAsia="Times New Roman" w:hAnsiTheme="majorHAnsi" w:cstheme="majorHAnsi"/>
                <w:color w:val="002F59" w:themeColor="text2"/>
                <w:sz w:val="18"/>
                <w:szCs w:val="18"/>
                <w:lang w:eastAsia="en-GB"/>
              </w:rPr>
            </w:pPr>
            <w:r>
              <w:rPr>
                <w:rFonts w:asciiTheme="majorHAnsi" w:eastAsia="Times New Roman" w:hAnsiTheme="majorHAnsi" w:cstheme="majorHAnsi"/>
                <w:color w:val="002F59" w:themeColor="text2"/>
                <w:sz w:val="18"/>
                <w:szCs w:val="18"/>
                <w:lang w:eastAsia="en-GB"/>
              </w:rPr>
              <w:t xml:space="preserve">Number of </w:t>
            </w:r>
            <w:r w:rsidR="00392DAE">
              <w:rPr>
                <w:rFonts w:asciiTheme="majorHAnsi" w:eastAsia="Times New Roman" w:hAnsiTheme="majorHAnsi" w:cstheme="majorHAnsi"/>
                <w:color w:val="002F59" w:themeColor="text2"/>
                <w:sz w:val="18"/>
                <w:szCs w:val="18"/>
                <w:lang w:eastAsia="en-GB"/>
              </w:rPr>
              <w:t xml:space="preserve">possible </w:t>
            </w:r>
            <w:r>
              <w:rPr>
                <w:rFonts w:asciiTheme="majorHAnsi" w:eastAsia="Times New Roman" w:hAnsiTheme="majorHAnsi" w:cstheme="majorHAnsi"/>
                <w:color w:val="002F59" w:themeColor="text2"/>
                <w:sz w:val="18"/>
                <w:szCs w:val="18"/>
                <w:lang w:eastAsia="en-GB"/>
              </w:rPr>
              <w:t>combinations of in</w:t>
            </w:r>
            <w:r w:rsidR="0084473D">
              <w:rPr>
                <w:rFonts w:asciiTheme="majorHAnsi" w:eastAsia="Times New Roman" w:hAnsiTheme="majorHAnsi" w:cstheme="majorHAnsi"/>
                <w:color w:val="002F59" w:themeColor="text2"/>
                <w:sz w:val="18"/>
                <w:szCs w:val="18"/>
                <w:lang w:eastAsia="en-GB"/>
              </w:rPr>
              <w:t xml:space="preserve">dicators: </w:t>
            </w:r>
          </w:p>
        </w:tc>
        <w:tc>
          <w:tcPr>
            <w:tcW w:w="997" w:type="pct"/>
            <w:tcBorders>
              <w:top w:val="single" w:sz="12" w:space="0" w:color="auto"/>
              <w:bottom w:val="single" w:sz="4" w:space="0" w:color="7F7F7F" w:themeColor="text1" w:themeTint="80"/>
            </w:tcBorders>
          </w:tcPr>
          <w:p w14:paraId="14857B3E" w14:textId="77777777" w:rsidR="00135892" w:rsidRDefault="00135892"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p>
        </w:tc>
        <w:tc>
          <w:tcPr>
            <w:tcW w:w="897" w:type="pct"/>
            <w:tcBorders>
              <w:top w:val="single" w:sz="12" w:space="0" w:color="auto"/>
              <w:bottom w:val="single" w:sz="4" w:space="0" w:color="7F7F7F" w:themeColor="text1" w:themeTint="80"/>
            </w:tcBorders>
          </w:tcPr>
          <w:p w14:paraId="5FD5AD26" w14:textId="30D96BA1" w:rsidR="00135892" w:rsidRDefault="00134265"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14,580</w:t>
            </w:r>
            <w:r w:rsidR="00172051">
              <w:rPr>
                <w:rFonts w:asciiTheme="majorHAnsi" w:eastAsia="Times New Roman" w:hAnsiTheme="majorHAnsi" w:cstheme="majorHAnsi"/>
                <w:color w:val="000000"/>
                <w:sz w:val="18"/>
                <w:szCs w:val="18"/>
                <w:lang w:eastAsia="en-GB"/>
              </w:rPr>
              <w:t xml:space="preserve"> </w:t>
            </w:r>
          </w:p>
        </w:tc>
        <w:tc>
          <w:tcPr>
            <w:tcW w:w="912" w:type="pct"/>
            <w:tcBorders>
              <w:top w:val="single" w:sz="12" w:space="0" w:color="auto"/>
              <w:bottom w:val="single" w:sz="4" w:space="0" w:color="7F7F7F" w:themeColor="text1" w:themeTint="80"/>
            </w:tcBorders>
          </w:tcPr>
          <w:p w14:paraId="23606A6A" w14:textId="66D19FE7" w:rsidR="00135892" w:rsidRDefault="00B32816"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4</w:t>
            </w:r>
            <w:r w:rsidR="00011292">
              <w:rPr>
                <w:rFonts w:asciiTheme="majorHAnsi" w:eastAsia="Times New Roman" w:hAnsiTheme="majorHAnsi" w:cstheme="majorHAnsi"/>
                <w:color w:val="000000"/>
                <w:sz w:val="18"/>
                <w:szCs w:val="18"/>
                <w:lang w:eastAsia="en-GB"/>
              </w:rPr>
              <w:t>,</w:t>
            </w:r>
            <w:r>
              <w:rPr>
                <w:rFonts w:asciiTheme="majorHAnsi" w:eastAsia="Times New Roman" w:hAnsiTheme="majorHAnsi" w:cstheme="majorHAnsi"/>
                <w:color w:val="000000"/>
                <w:sz w:val="18"/>
                <w:szCs w:val="18"/>
                <w:lang w:eastAsia="en-GB"/>
              </w:rPr>
              <w:t>03</w:t>
            </w:r>
            <w:r w:rsidR="00881493">
              <w:rPr>
                <w:rFonts w:asciiTheme="majorHAnsi" w:eastAsia="Times New Roman" w:hAnsiTheme="majorHAnsi" w:cstheme="majorHAnsi"/>
                <w:color w:val="000000"/>
                <w:sz w:val="18"/>
                <w:szCs w:val="18"/>
                <w:lang w:eastAsia="en-GB"/>
              </w:rPr>
              <w:t>2</w:t>
            </w:r>
          </w:p>
        </w:tc>
      </w:tr>
    </w:tbl>
    <w:p w14:paraId="0D207CF1" w14:textId="77777777" w:rsidR="0022093C" w:rsidRDefault="0022093C" w:rsidP="0022093C">
      <w:pPr>
        <w:jc w:val="both"/>
      </w:pPr>
    </w:p>
    <w:p w14:paraId="03CC6ABD" w14:textId="59E9F090" w:rsidR="0022093C" w:rsidRDefault="0022093C" w:rsidP="0022093C">
      <w:pPr>
        <w:jc w:val="both"/>
      </w:pPr>
      <w:r>
        <w:t xml:space="preserve">This identification of indicators is crucial as it builds the baseline for the following simulations. In Hargeisa, 30 indicators could be identified. </w:t>
      </w:r>
      <w:r w:rsidR="000348DF">
        <w:t xml:space="preserve">For example, the dataset contains 3 possible indicators for </w:t>
      </w:r>
      <w:r w:rsidR="000348DF" w:rsidRPr="00BD0D5F">
        <w:t xml:space="preserve">measuring </w:t>
      </w:r>
      <w:r w:rsidR="000348DF" w:rsidRPr="00BD0D5F">
        <w:rPr>
          <w:i/>
          <w:iCs/>
        </w:rPr>
        <w:t>2.3 Medical services</w:t>
      </w:r>
      <w:r w:rsidR="000348DF">
        <w:t xml:space="preserve"> as the survey asked respondents for access to child vaccinations</w:t>
      </w:r>
      <w:r w:rsidR="006065A8">
        <w:t xml:space="preserve"> and basic services</w:t>
      </w:r>
      <w:r w:rsidR="000348DF">
        <w:t xml:space="preserve">, as well as for attendance of births by medical personnel. For the two sub-criteria </w:t>
      </w:r>
      <w:r w:rsidR="000348DF" w:rsidRPr="00504823">
        <w:rPr>
          <w:i/>
          <w:iCs/>
        </w:rPr>
        <w:t>1.2 Freedom of movement</w:t>
      </w:r>
      <w:r w:rsidR="000348DF">
        <w:t xml:space="preserve"> </w:t>
      </w:r>
      <w:r w:rsidR="000348DF" w:rsidRPr="00BD0D5F">
        <w:t>and</w:t>
      </w:r>
      <w:r w:rsidR="000348DF" w:rsidRPr="00504823">
        <w:rPr>
          <w:i/>
          <w:iCs/>
        </w:rPr>
        <w:t xml:space="preserve"> 3.1 Employment and livelihoods</w:t>
      </w:r>
      <w:r w:rsidR="000348DF">
        <w:t xml:space="preserve">, the data only contained one possible indicator and an indicator choice cannot be evaluated for these two dimensions. </w:t>
      </w:r>
      <w:r>
        <w:t xml:space="preserve">As the indicators are not used individually but in a combination of at least 10 (for the 10 sub-criteria), this leads to a total of 14,580 possible indicator combinations that can be assessed in simulations. </w:t>
      </w:r>
    </w:p>
    <w:p w14:paraId="2A7572DE" w14:textId="34EFF223" w:rsidR="00D80811" w:rsidRDefault="0022093C" w:rsidP="0022093C">
      <w:pPr>
        <w:jc w:val="both"/>
      </w:pPr>
      <w:r>
        <w:t>In Nigeria, 3</w:t>
      </w:r>
      <w:r w:rsidR="005D18A2">
        <w:t>4</w:t>
      </w:r>
      <w:r>
        <w:t xml:space="preserve"> indicators could be identified. However, since the indicators in Nigeria are more concentrated</w:t>
      </w:r>
      <w:r w:rsidR="00D92DA4">
        <w:t xml:space="preserve"> </w:t>
      </w:r>
      <w:r w:rsidR="006065A8">
        <w:t xml:space="preserve">on </w:t>
      </w:r>
      <w:r>
        <w:t xml:space="preserve">2 sub-criteria, only </w:t>
      </w:r>
      <w:r w:rsidR="00D80811">
        <w:t>4</w:t>
      </w:r>
      <w:r>
        <w:t>,</w:t>
      </w:r>
      <w:r w:rsidR="00D80811">
        <w:t>032</w:t>
      </w:r>
      <w:r>
        <w:t xml:space="preserve"> possible combinations for simulations exist. </w:t>
      </w:r>
      <w:r w:rsidR="00D92DA4">
        <w:t xml:space="preserve">The </w:t>
      </w:r>
      <w:r w:rsidR="00D80811">
        <w:t xml:space="preserve">dimensions </w:t>
      </w:r>
      <w:r w:rsidR="00D80811" w:rsidRPr="00AC3717">
        <w:rPr>
          <w:i/>
          <w:iCs/>
        </w:rPr>
        <w:t>1.2 Freedom of movement, 2.1 Food security, 3.1 Employment and livelihoods</w:t>
      </w:r>
      <w:r w:rsidR="00D80811">
        <w:t xml:space="preserve">, and </w:t>
      </w:r>
      <w:r w:rsidR="00D80811" w:rsidRPr="00AC3717">
        <w:rPr>
          <w:i/>
          <w:iCs/>
        </w:rPr>
        <w:t>5.1 Documentation</w:t>
      </w:r>
      <w:r w:rsidR="00D80811">
        <w:t xml:space="preserve"> are only covered with one possible indicator. </w:t>
      </w:r>
      <w:r w:rsidR="00D92DA4">
        <w:t>The</w:t>
      </w:r>
      <w:r w:rsidR="00D80811">
        <w:t xml:space="preserve"> dataset in Nigeria </w:t>
      </w:r>
      <w:r w:rsidR="00D92DA4">
        <w:t>is</w:t>
      </w:r>
      <w:r w:rsidR="00D80811">
        <w:t xml:space="preserve"> particularly rich covering whether IDPs were victims of violence, their shelter and housing conditions as well as their economic security. </w:t>
      </w:r>
    </w:p>
    <w:p w14:paraId="010AF6C1" w14:textId="6E9C3F24" w:rsidR="00755F6A" w:rsidRDefault="0054101D" w:rsidP="00CA0C59">
      <w:pPr>
        <w:pStyle w:val="Heading2"/>
      </w:pPr>
      <w:bookmarkStart w:id="8" w:name="_Toc63432135"/>
      <w:r>
        <w:t xml:space="preserve">Step 3: </w:t>
      </w:r>
      <w:r w:rsidR="00755F6A">
        <w:t>Preparing the indicators</w:t>
      </w:r>
      <w:r w:rsidR="00DB0D3E">
        <w:t xml:space="preserve"> and indices</w:t>
      </w:r>
      <w:r w:rsidR="00755F6A">
        <w:t xml:space="preserve"> for simulation</w:t>
      </w:r>
      <w:bookmarkEnd w:id="8"/>
    </w:p>
    <w:p w14:paraId="235AF4C4" w14:textId="0BA69FB5" w:rsidR="00847983" w:rsidRDefault="00232FD9" w:rsidP="00C77366">
      <w:pPr>
        <w:jc w:val="both"/>
      </w:pPr>
      <w:r>
        <w:t>After having identified all relevant indicators in the data, t</w:t>
      </w:r>
      <w:r w:rsidR="00CA0C59">
        <w:t>he aim is to apply the above outlined metric options to the datasets</w:t>
      </w:r>
      <w:r w:rsidR="000D4E37">
        <w:t xml:space="preserve"> to identify how many IDPs exit the IDP stock </w:t>
      </w:r>
      <w:r w:rsidR="00FA1B89">
        <w:t xml:space="preserve">in each of the </w:t>
      </w:r>
      <w:r w:rsidR="00696818">
        <w:t>metrics</w:t>
      </w:r>
      <w:r w:rsidR="00FA1B89">
        <w:t>. Additionally, this should not only be done for one set of 10 indicators but for all possible indicator combinations in the data. To</w:t>
      </w:r>
      <w:r w:rsidR="0038578E">
        <w:t xml:space="preserve"> iterate through all indicators and all metric options, the indicators </w:t>
      </w:r>
      <w:r w:rsidR="00005C4B">
        <w:t>were first</w:t>
      </w:r>
      <w:r w:rsidR="0038578E">
        <w:t xml:space="preserve"> </w:t>
      </w:r>
      <w:r w:rsidR="00847983">
        <w:t>prepared for the</w:t>
      </w:r>
      <w:r w:rsidR="003E64BD">
        <w:t>se</w:t>
      </w:r>
      <w:r w:rsidR="00847983">
        <w:t xml:space="preserve"> simulations. Importantly, all indicators were coded as binary indicators that </w:t>
      </w:r>
      <w:r w:rsidR="001C0FD5">
        <w:t>are coded as 1</w:t>
      </w:r>
      <w:r w:rsidR="00847983">
        <w:t xml:space="preserve"> </w:t>
      </w:r>
      <w:r w:rsidR="001C0FD5">
        <w:t>if a displacement-related vulnerability was overcome</w:t>
      </w:r>
      <w:r w:rsidR="00C77366">
        <w:t xml:space="preserve"> </w:t>
      </w:r>
      <w:r w:rsidR="001C0FD5">
        <w:t xml:space="preserve">and coded as 0 if the vulnerability persists for a specific household. For example, </w:t>
      </w:r>
      <w:r w:rsidR="001C0FD5">
        <w:rPr>
          <w:u w:val="single"/>
        </w:rPr>
        <w:t>not</w:t>
      </w:r>
      <w:r w:rsidR="001C0FD5">
        <w:t xml:space="preserve"> </w:t>
      </w:r>
      <w:r w:rsidR="00C77366">
        <w:t xml:space="preserve">reporting a security incident is a 1 as this is a positive achievement for durable solutions. </w:t>
      </w:r>
    </w:p>
    <w:p w14:paraId="7C336D07" w14:textId="2504ADAD" w:rsidR="00E777E0" w:rsidRDefault="00C77366" w:rsidP="00C77366">
      <w:pPr>
        <w:jc w:val="both"/>
      </w:pPr>
      <w:r>
        <w:t>Furthermore,</w:t>
      </w:r>
      <w:r w:rsidR="00563778">
        <w:t xml:space="preserve"> the different metric options follow three distinct logics</w:t>
      </w:r>
      <w:r w:rsidR="00354FFD">
        <w:t xml:space="preserve"> that require different preparatory steps</w:t>
      </w:r>
      <w:r w:rsidR="00C23458">
        <w:t xml:space="preserve"> and/or methodological decisions</w:t>
      </w:r>
      <w:r w:rsidR="00354FFD">
        <w:t>:</w:t>
      </w:r>
      <w:r w:rsidR="00563778">
        <w:t xml:space="preserve"> </w:t>
      </w:r>
      <w:r w:rsidR="00973512">
        <w:t>The</w:t>
      </w:r>
      <w:r w:rsidR="00B71812">
        <w:t xml:space="preserve"> simple pass/fail measure </w:t>
      </w:r>
      <w:r w:rsidR="00973512">
        <w:t>as well as the metric options</w:t>
      </w:r>
      <w:r w:rsidR="00B71812">
        <w:t xml:space="preserve"> 1, 2, and 3 </w:t>
      </w:r>
      <w:r w:rsidR="00973512">
        <w:t xml:space="preserve">(different composite </w:t>
      </w:r>
      <w:r w:rsidR="00696818">
        <w:t>metrics</w:t>
      </w:r>
      <w:r w:rsidR="00973512">
        <w:t>) do not require further preparatory steps as all indicators already have a numeric value</w:t>
      </w:r>
      <w:r w:rsidR="003804CD">
        <w:t xml:space="preserve"> that can be </w:t>
      </w:r>
      <w:r w:rsidR="0013679B">
        <w:t xml:space="preserve">flexibly </w:t>
      </w:r>
      <w:r w:rsidR="003804CD">
        <w:t>combined to composites</w:t>
      </w:r>
      <w:r w:rsidR="00137F37">
        <w:t xml:space="preserve"> (and can then be compared to host community averages)</w:t>
      </w:r>
      <w:r w:rsidR="003804CD">
        <w:t>.</w:t>
      </w:r>
      <w:r w:rsidR="00A276FF">
        <w:t xml:space="preserve"> </w:t>
      </w:r>
      <w:r w:rsidR="0078471C">
        <w:t xml:space="preserve">Regarding metric option </w:t>
      </w:r>
      <w:r w:rsidR="00B8392D">
        <w:t xml:space="preserve">2 and </w:t>
      </w:r>
      <w:r w:rsidR="0078471C">
        <w:t xml:space="preserve">3, the composite indices </w:t>
      </w:r>
      <w:r w:rsidR="00537650">
        <w:t xml:space="preserve">were built </w:t>
      </w:r>
      <w:r w:rsidR="00E95681">
        <w:t xml:space="preserve">by combining three indicators </w:t>
      </w:r>
      <w:r w:rsidR="00537650">
        <w:t xml:space="preserve">at the </w:t>
      </w:r>
      <w:r w:rsidR="00B8392D">
        <w:t>(</w:t>
      </w:r>
      <w:r w:rsidR="00D07B04">
        <w:t>sub-</w:t>
      </w:r>
      <w:r w:rsidR="00B8392D">
        <w:t>)</w:t>
      </w:r>
      <w:r w:rsidR="00D07B04">
        <w:t>criterion level (where possible).</w:t>
      </w:r>
      <w:r w:rsidR="00FF6576">
        <w:rPr>
          <w:rStyle w:val="FootnoteReference"/>
        </w:rPr>
        <w:footnoteReference w:id="11"/>
      </w:r>
      <w:r w:rsidR="003804CD">
        <w:t xml:space="preserve"> </w:t>
      </w:r>
    </w:p>
    <w:p w14:paraId="6C9602C3" w14:textId="0227ECEC" w:rsidR="00DF0743" w:rsidRDefault="00A211C9" w:rsidP="00C77366">
      <w:pPr>
        <w:jc w:val="both"/>
      </w:pPr>
      <w:r>
        <w:t>Metric</w:t>
      </w:r>
      <w:r w:rsidR="00137F37">
        <w:t xml:space="preserve"> option 4 is based on homogenous </w:t>
      </w:r>
      <w:r w:rsidR="00D45C33">
        <w:t xml:space="preserve">IDP </w:t>
      </w:r>
      <w:r w:rsidR="00632DCE">
        <w:t xml:space="preserve">population </w:t>
      </w:r>
      <w:r w:rsidR="00137F37">
        <w:t>cells</w:t>
      </w:r>
      <w:r w:rsidR="00632DCE">
        <w:t xml:space="preserve"> that first have to be defined</w:t>
      </w:r>
      <w:r w:rsidR="00D45C33">
        <w:t xml:space="preserve"> before they can be assessed as a group average.</w:t>
      </w:r>
      <w:r w:rsidR="008307FA">
        <w:t xml:space="preserve"> </w:t>
      </w:r>
      <w:r w:rsidR="00247140">
        <w:t>The IDP</w:t>
      </w:r>
      <w:r w:rsidR="008307FA">
        <w:t xml:space="preserve"> population was split into subgroups based on core demographics, their timing of displacement and their </w:t>
      </w:r>
      <w:r w:rsidR="003A5578">
        <w:t xml:space="preserve">places of displacement and </w:t>
      </w:r>
      <w:r w:rsidR="008307FA">
        <w:t xml:space="preserve">origin. </w:t>
      </w:r>
      <w:r>
        <w:t>Ho</w:t>
      </w:r>
      <w:r w:rsidR="00077C1F">
        <w:t xml:space="preserve">wever, the assessment </w:t>
      </w:r>
      <w:r w:rsidR="003269D8">
        <w:t xml:space="preserve">did not pick one variable to group the population but iterated </w:t>
      </w:r>
      <w:r w:rsidR="00247140">
        <w:t xml:space="preserve">through </w:t>
      </w:r>
      <w:r w:rsidR="00077C1F">
        <w:t xml:space="preserve">different ways to split the IDP population to be able to make a judgment to </w:t>
      </w:r>
      <w:r w:rsidR="00077C1F">
        <w:lastRenderedPageBreak/>
        <w:t xml:space="preserve">what extent the different </w:t>
      </w:r>
      <w:r w:rsidR="00020FDC">
        <w:t xml:space="preserve">groupings affect the overall results (i.e. how many IDPs exit the stock). </w:t>
      </w:r>
      <w:r w:rsidR="00DB6881">
        <w:t xml:space="preserve">In Hargeisa, 10 different groupings were tested based on using </w:t>
      </w:r>
      <w:r w:rsidR="00254972">
        <w:t xml:space="preserve">three of the grouping variables below. </w:t>
      </w:r>
      <w:r w:rsidR="003A59A0">
        <w:t>For example, one population split was based on the gender, the clan, and the departure period of a household</w:t>
      </w:r>
      <w:r w:rsidR="00BA5CC0">
        <w:t xml:space="preserve"> (e.g. one grouping </w:t>
      </w:r>
      <w:r w:rsidR="00D301AB">
        <w:t>consists of</w:t>
      </w:r>
      <w:r w:rsidR="008A1F15">
        <w:t xml:space="preserve"> f</w:t>
      </w:r>
      <w:r w:rsidR="00BA5CC0">
        <w:t>emale</w:t>
      </w:r>
      <w:r w:rsidR="00D301AB">
        <w:t>-headed</w:t>
      </w:r>
      <w:r w:rsidR="00BA5CC0">
        <w:t xml:space="preserve"> households that belong to the Isa clan and were displaced after 2010)</w:t>
      </w:r>
      <w:r w:rsidR="008A1F15">
        <w:t xml:space="preserve">. </w:t>
      </w:r>
      <w:r w:rsidR="00254972">
        <w:t>In Nigeria,</w:t>
      </w:r>
      <w:r w:rsidR="00C503B5">
        <w:t xml:space="preserve"> 8</w:t>
      </w:r>
      <w:r w:rsidR="00254972">
        <w:t xml:space="preserve"> different groupings were tested based on picking three of the grouping variables below.</w:t>
      </w:r>
      <w:r w:rsidR="00987049">
        <w:t xml:space="preserve"> </w:t>
      </w:r>
      <w:r w:rsidR="003818CF">
        <w:t>The following cell variable</w:t>
      </w:r>
      <w:r w:rsidR="003A40BE">
        <w:t xml:space="preserve">s </w:t>
      </w:r>
      <w:r w:rsidR="003818CF">
        <w:t>were used to split the IDP population in Hargeisa into subgroups: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876"/>
      </w:tblGrid>
      <w:tr w:rsidR="007B267A" w14:paraId="63DE85B1" w14:textId="77777777" w:rsidTr="00987049">
        <w:tc>
          <w:tcPr>
            <w:tcW w:w="4140" w:type="dxa"/>
          </w:tcPr>
          <w:p w14:paraId="66DECAFF" w14:textId="383DCE41" w:rsidR="007B267A" w:rsidRPr="004475AF" w:rsidRDefault="007B267A" w:rsidP="007B267A">
            <w:pPr>
              <w:jc w:val="both"/>
              <w:rPr>
                <w:b/>
                <w:bCs/>
                <w:color w:val="002F59" w:themeColor="text2"/>
                <w:sz w:val="18"/>
                <w:szCs w:val="18"/>
              </w:rPr>
            </w:pPr>
            <w:r w:rsidRPr="004475AF">
              <w:rPr>
                <w:b/>
                <w:bCs/>
                <w:color w:val="002F59" w:themeColor="text2"/>
                <w:sz w:val="18"/>
                <w:szCs w:val="18"/>
              </w:rPr>
              <w:t>Hargeisa</w:t>
            </w:r>
            <w:r w:rsidR="00D301AB" w:rsidRPr="004475AF">
              <w:rPr>
                <w:b/>
                <w:bCs/>
                <w:color w:val="002F59" w:themeColor="text2"/>
                <w:sz w:val="18"/>
                <w:szCs w:val="18"/>
              </w:rPr>
              <w:t>:</w:t>
            </w:r>
          </w:p>
          <w:p w14:paraId="13E34E75" w14:textId="6F7E99CA" w:rsidR="007B267A" w:rsidRPr="004475AF" w:rsidRDefault="007B267A" w:rsidP="007B267A">
            <w:pPr>
              <w:pStyle w:val="ListParagraph"/>
              <w:numPr>
                <w:ilvl w:val="0"/>
                <w:numId w:val="7"/>
              </w:numPr>
              <w:rPr>
                <w:sz w:val="18"/>
                <w:szCs w:val="18"/>
              </w:rPr>
            </w:pPr>
            <w:r w:rsidRPr="004475AF">
              <w:rPr>
                <w:b/>
                <w:bCs/>
                <w:color w:val="002F59" w:themeColor="text2"/>
                <w:sz w:val="18"/>
                <w:szCs w:val="18"/>
              </w:rPr>
              <w:t>Gender of the household head</w:t>
            </w:r>
            <w:r w:rsidRPr="004475AF">
              <w:rPr>
                <w:color w:val="002F59" w:themeColor="text2"/>
                <w:sz w:val="18"/>
                <w:szCs w:val="18"/>
              </w:rPr>
              <w:t xml:space="preserve"> </w:t>
            </w:r>
            <w:r w:rsidRPr="004475AF">
              <w:rPr>
                <w:sz w:val="18"/>
                <w:szCs w:val="18"/>
              </w:rPr>
              <w:t>(female, male)</w:t>
            </w:r>
          </w:p>
          <w:p w14:paraId="1245A4DD" w14:textId="77777777" w:rsidR="007B267A" w:rsidRPr="004475AF" w:rsidRDefault="007B267A" w:rsidP="007B267A">
            <w:pPr>
              <w:pStyle w:val="ListParagraph"/>
              <w:numPr>
                <w:ilvl w:val="0"/>
                <w:numId w:val="7"/>
              </w:numPr>
              <w:rPr>
                <w:sz w:val="18"/>
                <w:szCs w:val="18"/>
              </w:rPr>
            </w:pPr>
            <w:r w:rsidRPr="004475AF">
              <w:rPr>
                <w:b/>
                <w:bCs/>
                <w:color w:val="002F59" w:themeColor="text2"/>
                <w:sz w:val="18"/>
                <w:szCs w:val="18"/>
              </w:rPr>
              <w:t>Clan of the household</w:t>
            </w:r>
            <w:r w:rsidRPr="004475AF">
              <w:rPr>
                <w:color w:val="002F59" w:themeColor="text2"/>
                <w:sz w:val="18"/>
                <w:szCs w:val="18"/>
              </w:rPr>
              <w:t xml:space="preserve"> </w:t>
            </w:r>
            <w:r w:rsidRPr="004475AF">
              <w:rPr>
                <w:sz w:val="18"/>
                <w:szCs w:val="18"/>
              </w:rPr>
              <w:t>(Haw, Isa, Rah. Dar, Dir, Gab, Other, Unknown)</w:t>
            </w:r>
          </w:p>
          <w:p w14:paraId="14D27B45" w14:textId="648CFFB0" w:rsidR="007B267A" w:rsidRPr="004475AF" w:rsidRDefault="007B267A" w:rsidP="007B267A">
            <w:pPr>
              <w:pStyle w:val="ListParagraph"/>
              <w:numPr>
                <w:ilvl w:val="0"/>
                <w:numId w:val="7"/>
              </w:numPr>
              <w:rPr>
                <w:sz w:val="18"/>
                <w:szCs w:val="18"/>
              </w:rPr>
            </w:pPr>
            <w:r w:rsidRPr="004475AF">
              <w:rPr>
                <w:b/>
                <w:bCs/>
                <w:color w:val="002F59" w:themeColor="text2"/>
                <w:sz w:val="18"/>
                <w:szCs w:val="18"/>
              </w:rPr>
              <w:t>Origin district</w:t>
            </w:r>
            <w:r w:rsidR="00E20410" w:rsidRPr="004475AF">
              <w:rPr>
                <w:rStyle w:val="FootnoteReference"/>
                <w:b/>
                <w:bCs/>
                <w:color w:val="002F59" w:themeColor="text2"/>
                <w:sz w:val="18"/>
                <w:szCs w:val="18"/>
              </w:rPr>
              <w:footnoteReference w:id="12"/>
            </w:r>
          </w:p>
          <w:p w14:paraId="69CFB665" w14:textId="77777777" w:rsidR="007B267A" w:rsidRPr="004475AF" w:rsidRDefault="007B267A" w:rsidP="007B267A">
            <w:pPr>
              <w:pStyle w:val="ListParagraph"/>
              <w:numPr>
                <w:ilvl w:val="0"/>
                <w:numId w:val="7"/>
              </w:numPr>
              <w:rPr>
                <w:sz w:val="18"/>
                <w:szCs w:val="18"/>
              </w:rPr>
            </w:pPr>
            <w:r w:rsidRPr="004475AF">
              <w:rPr>
                <w:b/>
                <w:bCs/>
                <w:color w:val="002F59" w:themeColor="text2"/>
                <w:sz w:val="18"/>
                <w:szCs w:val="18"/>
              </w:rPr>
              <w:t>Region of origin</w:t>
            </w:r>
            <w:r w:rsidRPr="004475AF">
              <w:rPr>
                <w:color w:val="002F59" w:themeColor="text2"/>
                <w:sz w:val="18"/>
                <w:szCs w:val="18"/>
              </w:rPr>
              <w:t xml:space="preserve"> </w:t>
            </w:r>
            <w:r w:rsidRPr="004475AF">
              <w:rPr>
                <w:sz w:val="18"/>
                <w:szCs w:val="18"/>
              </w:rPr>
              <w:t>(Displaced from South Central, Displaced from Somaliland, Displaced from South Central OoS)</w:t>
            </w:r>
          </w:p>
          <w:p w14:paraId="1B883F26" w14:textId="594AE82F" w:rsidR="007B267A" w:rsidRPr="004475AF" w:rsidRDefault="007B267A" w:rsidP="00F546DE">
            <w:pPr>
              <w:pStyle w:val="ListParagraph"/>
              <w:numPr>
                <w:ilvl w:val="0"/>
                <w:numId w:val="7"/>
              </w:numPr>
              <w:rPr>
                <w:sz w:val="18"/>
                <w:szCs w:val="18"/>
              </w:rPr>
            </w:pPr>
            <w:r w:rsidRPr="004475AF">
              <w:rPr>
                <w:b/>
                <w:bCs/>
                <w:color w:val="002F59" w:themeColor="text2"/>
                <w:sz w:val="18"/>
                <w:szCs w:val="18"/>
              </w:rPr>
              <w:t>Departure period</w:t>
            </w:r>
            <w:r w:rsidRPr="004475AF">
              <w:rPr>
                <w:color w:val="002F59" w:themeColor="text2"/>
                <w:sz w:val="18"/>
                <w:szCs w:val="18"/>
              </w:rPr>
              <w:t xml:space="preserve"> </w:t>
            </w:r>
            <w:r w:rsidRPr="004475AF">
              <w:rPr>
                <w:sz w:val="18"/>
                <w:szCs w:val="18"/>
              </w:rPr>
              <w:t>(Before 1990, Between 1990 and 2000, Between 2000 and 2010, After 2010</w:t>
            </w:r>
            <w:r w:rsidR="00F546DE" w:rsidRPr="004475AF">
              <w:rPr>
                <w:sz w:val="18"/>
                <w:szCs w:val="18"/>
              </w:rPr>
              <w:t>)</w:t>
            </w:r>
          </w:p>
        </w:tc>
        <w:tc>
          <w:tcPr>
            <w:tcW w:w="4876" w:type="dxa"/>
          </w:tcPr>
          <w:p w14:paraId="5155A1F1" w14:textId="361E5374" w:rsidR="007B267A" w:rsidRPr="004475AF" w:rsidRDefault="007B267A" w:rsidP="00C77366">
            <w:pPr>
              <w:jc w:val="both"/>
              <w:rPr>
                <w:b/>
                <w:bCs/>
                <w:color w:val="002F59" w:themeColor="text2"/>
                <w:sz w:val="18"/>
                <w:szCs w:val="18"/>
              </w:rPr>
            </w:pPr>
            <w:r w:rsidRPr="004475AF">
              <w:rPr>
                <w:b/>
                <w:bCs/>
                <w:color w:val="002F59" w:themeColor="text2"/>
                <w:sz w:val="18"/>
                <w:szCs w:val="18"/>
              </w:rPr>
              <w:t>Nigeria</w:t>
            </w:r>
            <w:r w:rsidR="00D301AB" w:rsidRPr="004475AF">
              <w:rPr>
                <w:b/>
                <w:bCs/>
                <w:color w:val="002F59" w:themeColor="text2"/>
                <w:sz w:val="18"/>
                <w:szCs w:val="18"/>
              </w:rPr>
              <w:t>:</w:t>
            </w:r>
          </w:p>
          <w:p w14:paraId="5ACB2D48" w14:textId="382C0D7A" w:rsidR="008A1F15" w:rsidRPr="004475AF" w:rsidRDefault="008A1F15" w:rsidP="005A7AC2">
            <w:pPr>
              <w:pStyle w:val="ListParagraph"/>
              <w:numPr>
                <w:ilvl w:val="0"/>
                <w:numId w:val="8"/>
              </w:numPr>
              <w:rPr>
                <w:b/>
                <w:bCs/>
                <w:color w:val="002F59" w:themeColor="text2"/>
                <w:sz w:val="18"/>
                <w:szCs w:val="18"/>
              </w:rPr>
            </w:pPr>
            <w:r w:rsidRPr="004475AF">
              <w:rPr>
                <w:b/>
                <w:bCs/>
                <w:color w:val="002F59" w:themeColor="text2"/>
                <w:sz w:val="18"/>
                <w:szCs w:val="18"/>
              </w:rPr>
              <w:t>Year of displacement</w:t>
            </w:r>
            <w:r w:rsidR="00265194" w:rsidRPr="004475AF">
              <w:rPr>
                <w:b/>
                <w:bCs/>
                <w:color w:val="002F59" w:themeColor="text2"/>
                <w:sz w:val="18"/>
                <w:szCs w:val="18"/>
              </w:rPr>
              <w:t xml:space="preserve"> </w:t>
            </w:r>
            <w:r w:rsidR="00265194" w:rsidRPr="004475AF">
              <w:rPr>
                <w:sz w:val="18"/>
                <w:szCs w:val="18"/>
              </w:rPr>
              <w:t>(ranging from 1998 to 2018)</w:t>
            </w:r>
          </w:p>
          <w:p w14:paraId="49798A2C" w14:textId="2999B344" w:rsidR="008A1F15" w:rsidRPr="004475AF" w:rsidRDefault="008A1F15" w:rsidP="005A7AC2">
            <w:pPr>
              <w:pStyle w:val="ListParagraph"/>
              <w:numPr>
                <w:ilvl w:val="0"/>
                <w:numId w:val="8"/>
              </w:numPr>
              <w:rPr>
                <w:sz w:val="18"/>
                <w:szCs w:val="18"/>
              </w:rPr>
            </w:pPr>
            <w:r w:rsidRPr="004475AF">
              <w:rPr>
                <w:b/>
                <w:bCs/>
                <w:color w:val="002F59" w:themeColor="text2"/>
                <w:sz w:val="18"/>
                <w:szCs w:val="18"/>
              </w:rPr>
              <w:t>Month</w:t>
            </w:r>
            <w:r w:rsidR="00640B5D" w:rsidRPr="004475AF">
              <w:rPr>
                <w:b/>
                <w:bCs/>
                <w:color w:val="002F59" w:themeColor="text2"/>
                <w:sz w:val="18"/>
                <w:szCs w:val="18"/>
              </w:rPr>
              <w:t>-Year</w:t>
            </w:r>
            <w:r w:rsidRPr="004475AF">
              <w:rPr>
                <w:b/>
                <w:bCs/>
                <w:color w:val="002F59" w:themeColor="text2"/>
                <w:sz w:val="18"/>
                <w:szCs w:val="18"/>
              </w:rPr>
              <w:t xml:space="preserve"> of displacement</w:t>
            </w:r>
            <w:r w:rsidR="00640B5D" w:rsidRPr="004475AF">
              <w:rPr>
                <w:b/>
                <w:bCs/>
                <w:color w:val="002F59" w:themeColor="text2"/>
                <w:sz w:val="18"/>
                <w:szCs w:val="18"/>
              </w:rPr>
              <w:t xml:space="preserve"> </w:t>
            </w:r>
            <w:r w:rsidR="00640B5D" w:rsidRPr="004475AF">
              <w:rPr>
                <w:sz w:val="18"/>
                <w:szCs w:val="18"/>
              </w:rPr>
              <w:t xml:space="preserve">(ranging from </w:t>
            </w:r>
            <w:r w:rsidR="005A7AC2" w:rsidRPr="004475AF">
              <w:rPr>
                <w:sz w:val="18"/>
                <w:szCs w:val="18"/>
              </w:rPr>
              <w:t>1998-08 to 2018-08)</w:t>
            </w:r>
          </w:p>
          <w:p w14:paraId="7F2A5B95" w14:textId="13ED519F" w:rsidR="008A1F15" w:rsidRPr="004475AF" w:rsidRDefault="008A1F15" w:rsidP="005A7AC2">
            <w:pPr>
              <w:pStyle w:val="ListParagraph"/>
              <w:numPr>
                <w:ilvl w:val="0"/>
                <w:numId w:val="8"/>
              </w:numPr>
              <w:rPr>
                <w:b/>
                <w:bCs/>
                <w:color w:val="002F59" w:themeColor="text2"/>
                <w:sz w:val="18"/>
                <w:szCs w:val="18"/>
              </w:rPr>
            </w:pPr>
            <w:r w:rsidRPr="004475AF">
              <w:rPr>
                <w:b/>
                <w:bCs/>
                <w:color w:val="002F59" w:themeColor="text2"/>
                <w:sz w:val="18"/>
                <w:szCs w:val="18"/>
              </w:rPr>
              <w:t xml:space="preserve">Year of </w:t>
            </w:r>
            <w:r w:rsidR="00265194" w:rsidRPr="004475AF">
              <w:rPr>
                <w:b/>
                <w:bCs/>
                <w:color w:val="002F59" w:themeColor="text2"/>
                <w:sz w:val="18"/>
                <w:szCs w:val="18"/>
              </w:rPr>
              <w:t>arrival</w:t>
            </w:r>
            <w:r w:rsidR="00A109CE" w:rsidRPr="004475AF">
              <w:rPr>
                <w:b/>
                <w:bCs/>
                <w:color w:val="002F59" w:themeColor="text2"/>
                <w:sz w:val="18"/>
                <w:szCs w:val="18"/>
              </w:rPr>
              <w:t xml:space="preserve"> </w:t>
            </w:r>
            <w:r w:rsidR="00A109CE" w:rsidRPr="004475AF">
              <w:rPr>
                <w:sz w:val="18"/>
                <w:szCs w:val="18"/>
              </w:rPr>
              <w:t>(ranging from 1998 to 2018)</w:t>
            </w:r>
          </w:p>
          <w:p w14:paraId="2D0CAF1A" w14:textId="0339B4C7" w:rsidR="008A1F15" w:rsidRPr="004475AF" w:rsidRDefault="008A1F15" w:rsidP="005A7AC2">
            <w:pPr>
              <w:pStyle w:val="ListParagraph"/>
              <w:numPr>
                <w:ilvl w:val="0"/>
                <w:numId w:val="8"/>
              </w:numPr>
              <w:rPr>
                <w:b/>
                <w:bCs/>
                <w:color w:val="002F59" w:themeColor="text2"/>
                <w:sz w:val="18"/>
                <w:szCs w:val="18"/>
              </w:rPr>
            </w:pPr>
            <w:r w:rsidRPr="004475AF">
              <w:rPr>
                <w:b/>
                <w:bCs/>
                <w:color w:val="002F59" w:themeColor="text2"/>
                <w:sz w:val="18"/>
                <w:szCs w:val="18"/>
              </w:rPr>
              <w:t>Month</w:t>
            </w:r>
            <w:r w:rsidR="00265194" w:rsidRPr="004475AF">
              <w:rPr>
                <w:b/>
                <w:bCs/>
                <w:color w:val="002F59" w:themeColor="text2"/>
                <w:sz w:val="18"/>
                <w:szCs w:val="18"/>
              </w:rPr>
              <w:t xml:space="preserve">-Year </w:t>
            </w:r>
            <w:r w:rsidRPr="004475AF">
              <w:rPr>
                <w:b/>
                <w:bCs/>
                <w:color w:val="002F59" w:themeColor="text2"/>
                <w:sz w:val="18"/>
                <w:szCs w:val="18"/>
              </w:rPr>
              <w:t xml:space="preserve">of </w:t>
            </w:r>
            <w:r w:rsidR="00265194" w:rsidRPr="004475AF">
              <w:rPr>
                <w:b/>
                <w:bCs/>
                <w:color w:val="002F59" w:themeColor="text2"/>
                <w:sz w:val="18"/>
                <w:szCs w:val="18"/>
              </w:rPr>
              <w:t xml:space="preserve">arrival </w:t>
            </w:r>
            <w:r w:rsidR="00265194" w:rsidRPr="004475AF">
              <w:rPr>
                <w:sz w:val="18"/>
                <w:szCs w:val="18"/>
              </w:rPr>
              <w:t>(ranging from 1998-08 to 2018-08)</w:t>
            </w:r>
          </w:p>
          <w:p w14:paraId="192945AC" w14:textId="7ECF1DD5" w:rsidR="008A1F15" w:rsidRPr="004475AF" w:rsidRDefault="008A1F15" w:rsidP="005A7AC2">
            <w:pPr>
              <w:pStyle w:val="ListParagraph"/>
              <w:numPr>
                <w:ilvl w:val="0"/>
                <w:numId w:val="8"/>
              </w:numPr>
              <w:rPr>
                <w:b/>
                <w:bCs/>
                <w:color w:val="002F59" w:themeColor="text2"/>
                <w:sz w:val="18"/>
                <w:szCs w:val="18"/>
              </w:rPr>
            </w:pPr>
            <w:r w:rsidRPr="004475AF">
              <w:rPr>
                <w:b/>
                <w:bCs/>
                <w:color w:val="002F59" w:themeColor="text2"/>
                <w:sz w:val="18"/>
                <w:szCs w:val="18"/>
              </w:rPr>
              <w:t>Region of displacement</w:t>
            </w:r>
            <w:r w:rsidR="00767A9D" w:rsidRPr="004475AF">
              <w:rPr>
                <w:b/>
                <w:bCs/>
                <w:color w:val="002F59" w:themeColor="text2"/>
                <w:sz w:val="18"/>
                <w:szCs w:val="18"/>
              </w:rPr>
              <w:t xml:space="preserve"> </w:t>
            </w:r>
            <w:r w:rsidR="00767A9D" w:rsidRPr="004475AF">
              <w:rPr>
                <w:color w:val="002F59" w:themeColor="text2"/>
                <w:sz w:val="18"/>
                <w:szCs w:val="18"/>
              </w:rPr>
              <w:t>(Adamawa, Bauchi, Borno, Gombe, Taraba, Yobe)</w:t>
            </w:r>
          </w:p>
          <w:p w14:paraId="2CB76C41" w14:textId="1F05524C" w:rsidR="008A1F15" w:rsidRPr="004475AF" w:rsidRDefault="008A1F15" w:rsidP="005A7AC2">
            <w:pPr>
              <w:pStyle w:val="ListParagraph"/>
              <w:numPr>
                <w:ilvl w:val="0"/>
                <w:numId w:val="8"/>
              </w:numPr>
              <w:rPr>
                <w:sz w:val="18"/>
                <w:szCs w:val="18"/>
              </w:rPr>
            </w:pPr>
            <w:r w:rsidRPr="004475AF">
              <w:rPr>
                <w:b/>
                <w:bCs/>
                <w:color w:val="002F59" w:themeColor="text2"/>
                <w:sz w:val="18"/>
                <w:szCs w:val="18"/>
              </w:rPr>
              <w:t>Region of origin</w:t>
            </w:r>
            <w:r w:rsidR="00CE624C" w:rsidRPr="004475AF">
              <w:rPr>
                <w:b/>
                <w:bCs/>
                <w:color w:val="002F59" w:themeColor="text2"/>
                <w:sz w:val="18"/>
                <w:szCs w:val="18"/>
              </w:rPr>
              <w:t xml:space="preserve"> </w:t>
            </w:r>
            <w:r w:rsidR="00CE624C" w:rsidRPr="004475AF">
              <w:rPr>
                <w:sz w:val="18"/>
                <w:szCs w:val="18"/>
              </w:rPr>
              <w:t>(Different state in Nigeria, Outside Nigeria, Same local government area, Same state, Same ward)</w:t>
            </w:r>
          </w:p>
          <w:p w14:paraId="54EB59BD" w14:textId="2596FF95" w:rsidR="007B267A" w:rsidRPr="004475AF" w:rsidRDefault="007B267A" w:rsidP="00D301AB">
            <w:pPr>
              <w:pStyle w:val="ListParagraph"/>
              <w:jc w:val="both"/>
              <w:rPr>
                <w:sz w:val="18"/>
                <w:szCs w:val="18"/>
              </w:rPr>
            </w:pPr>
          </w:p>
        </w:tc>
      </w:tr>
    </w:tbl>
    <w:p w14:paraId="1DCA6BEC" w14:textId="652D8DB4" w:rsidR="00DB0D3E" w:rsidRPr="00755F6A" w:rsidRDefault="00A02291" w:rsidP="00B66D8A">
      <w:pPr>
        <w:jc w:val="both"/>
      </w:pPr>
      <w:r>
        <w:t>F</w:t>
      </w:r>
      <w:r w:rsidR="00FF6576">
        <w:t>inally, a</w:t>
      </w:r>
      <w:r w:rsidR="00F546DE">
        <w:t xml:space="preserve"> regression-based approach </w:t>
      </w:r>
      <w:r w:rsidR="00941103">
        <w:t xml:space="preserve">does not require additional </w:t>
      </w:r>
      <w:r w:rsidR="00FC0BA2">
        <w:t xml:space="preserve">preparatory steps but requires a methodological decision </w:t>
      </w:r>
      <w:r w:rsidR="00E11122">
        <w:t xml:space="preserve">how to classify an IDP household as more similar to other IDPs (and hence </w:t>
      </w:r>
      <w:r w:rsidR="00E3619F">
        <w:t>as still vulnerable</w:t>
      </w:r>
      <w:r w:rsidR="00E11122">
        <w:t>)</w:t>
      </w:r>
      <w:r w:rsidR="00E3619F">
        <w:t xml:space="preserve"> or more similar to host households (hence exiting the IDP stock). </w:t>
      </w:r>
      <w:r w:rsidR="00F6308F">
        <w:t>In this assessment a logistic classifier was fitted to determine whether a household is similar to an IDP household or a host community household. After fitting a regression, households with a predicted probability above 0.5 were</w:t>
      </w:r>
      <w:r w:rsidR="003B0C66">
        <w:t xml:space="preserve"> classified as still being vulnerable. IDP households with a predicted probability below 0.5 were classified as having overcome their vulnerabilities as they are more similar to the host community. Further assessment</w:t>
      </w:r>
      <w:r w:rsidR="00B66D8A">
        <w:t>s</w:t>
      </w:r>
      <w:r w:rsidR="003B0C66">
        <w:t xml:space="preserve"> are needed to refine this cut-off point. </w:t>
      </w:r>
    </w:p>
    <w:p w14:paraId="54219406" w14:textId="1247F3B4" w:rsidR="002E6A59" w:rsidRDefault="00755F6A" w:rsidP="002E6A59">
      <w:pPr>
        <w:pStyle w:val="Heading2"/>
      </w:pPr>
      <w:bookmarkStart w:id="9" w:name="_Toc63432136"/>
      <w:r>
        <w:t xml:space="preserve">Step 4: </w:t>
      </w:r>
      <w:r w:rsidR="0054101D">
        <w:t xml:space="preserve">Iteratively simulating the </w:t>
      </w:r>
      <w:r w:rsidR="00460B61">
        <w:t>indicator and metric choice</w:t>
      </w:r>
      <w:bookmarkEnd w:id="9"/>
    </w:p>
    <w:p w14:paraId="4ABFA640" w14:textId="00536924" w:rsidR="002D5AB2" w:rsidRDefault="00997818" w:rsidP="00275A0C">
      <w:pPr>
        <w:jc w:val="both"/>
      </w:pPr>
      <w:r>
        <w:t>After identifying the indicators for this assessment in each survey</w:t>
      </w:r>
      <w:r w:rsidR="00B66D8A">
        <w:t xml:space="preserve"> and preparing the indicators for analysis</w:t>
      </w:r>
      <w:r>
        <w:t xml:space="preserve">, iterative simulations following the scheme in Figure 1 were run.  </w:t>
      </w:r>
      <w:r w:rsidR="00183C5C">
        <w:t xml:space="preserve">For each dataset, </w:t>
      </w:r>
      <w:r w:rsidR="001E61CA">
        <w:t>each possible</w:t>
      </w:r>
      <w:r w:rsidR="00183C5C">
        <w:t xml:space="preserve"> combination of 10 indicator</w:t>
      </w:r>
      <w:r w:rsidR="009A35CC">
        <w:t>s</w:t>
      </w:r>
      <w:r w:rsidR="0058186D">
        <w:t xml:space="preserve"> (one for each of</w:t>
      </w:r>
      <w:r w:rsidR="009A35CC">
        <w:t xml:space="preserve"> the</w:t>
      </w:r>
      <w:r w:rsidR="00183C5C">
        <w:t xml:space="preserve"> sub-criteria</w:t>
      </w:r>
      <w:r w:rsidR="0058186D">
        <w:t>)</w:t>
      </w:r>
      <w:r>
        <w:t xml:space="preserve"> </w:t>
      </w:r>
      <w:r w:rsidR="001E61CA">
        <w:t xml:space="preserve">was assessed using </w:t>
      </w:r>
      <w:r w:rsidR="00FE6AA7">
        <w:t>all</w:t>
      </w:r>
      <w:r w:rsidR="002D5AB2">
        <w:t xml:space="preserve"> </w:t>
      </w:r>
      <w:r w:rsidR="00FE6AA7">
        <w:t>five</w:t>
      </w:r>
      <w:r w:rsidR="002D5AB2">
        <w:t xml:space="preserve"> metric options outlined above. To be able to compare the </w:t>
      </w:r>
      <w:r w:rsidR="00FE6AA7">
        <w:t xml:space="preserve">five </w:t>
      </w:r>
      <w:r w:rsidR="002D5AB2">
        <w:t>possible metric options to a simple pass/fail approach</w:t>
      </w:r>
      <w:r w:rsidR="00FE6AA7">
        <w:t xml:space="preserve">, the simulations also included this option. </w:t>
      </w:r>
    </w:p>
    <w:p w14:paraId="3EC77766" w14:textId="2F738218" w:rsidR="00356771" w:rsidRDefault="00FE6AA7" w:rsidP="00356771">
      <w:pPr>
        <w:jc w:val="both"/>
      </w:pPr>
      <w:r>
        <w:t xml:space="preserve">In each simulation (given a set of indicators and the chosen metric), </w:t>
      </w:r>
      <w:r w:rsidR="00FB4AB5">
        <w:t xml:space="preserve">we report the number of IDPs </w:t>
      </w:r>
      <w:r w:rsidR="00E21374">
        <w:t>overcoming their displacement-related vulnerabilities</w:t>
      </w:r>
      <w:r w:rsidR="00FB4AB5">
        <w:t xml:space="preserve">. </w:t>
      </w:r>
      <w:r w:rsidR="00551AED">
        <w:t xml:space="preserve">After all </w:t>
      </w:r>
      <w:r w:rsidR="00A64F39">
        <w:t>combinations of indicators and</w:t>
      </w:r>
      <w:r w:rsidR="00322E2F">
        <w:t xml:space="preserve"> metrics</w:t>
      </w:r>
      <w:r w:rsidR="00A64F39">
        <w:t xml:space="preserve"> were analyzed, it is possible to assess to what exten</w:t>
      </w:r>
      <w:r w:rsidR="00322E2F">
        <w:t>t</w:t>
      </w:r>
      <w:r w:rsidR="00A64F39">
        <w:t xml:space="preserve"> a single indicator affects the number of IDPs exciting the stock in each metric type </w:t>
      </w:r>
      <w:r w:rsidR="00617C76">
        <w:t>by running linear regressions.</w:t>
      </w:r>
      <w:r w:rsidR="000B4DC8">
        <w:rPr>
          <w:rStyle w:val="FootnoteReference"/>
        </w:rPr>
        <w:footnoteReference w:id="13"/>
      </w:r>
    </w:p>
    <w:p w14:paraId="6E3673A3" w14:textId="77777777" w:rsidR="00E15F90" w:rsidRDefault="00E15F90" w:rsidP="00356771">
      <w:pPr>
        <w:jc w:val="both"/>
      </w:pPr>
    </w:p>
    <w:p w14:paraId="0D99497C" w14:textId="77777777" w:rsidR="00E15F90" w:rsidRDefault="00E15F90" w:rsidP="00356771">
      <w:pPr>
        <w:jc w:val="both"/>
      </w:pPr>
    </w:p>
    <w:p w14:paraId="09EAF34B" w14:textId="77777777" w:rsidR="00E15F90" w:rsidRDefault="00E15F90" w:rsidP="00356771">
      <w:pPr>
        <w:jc w:val="both"/>
      </w:pPr>
    </w:p>
    <w:p w14:paraId="6822391C" w14:textId="77CF8F1A" w:rsidR="00E15F90" w:rsidRDefault="00E15F90" w:rsidP="00E15F90">
      <w:pPr>
        <w:pStyle w:val="TabFigSW"/>
      </w:pPr>
      <w:r>
        <w:t xml:space="preserve">Figure </w:t>
      </w:r>
      <w:r>
        <w:fldChar w:fldCharType="begin"/>
      </w:r>
      <w:r>
        <w:instrText>SEQ Figure \* ARABIC</w:instrText>
      </w:r>
      <w:r>
        <w:fldChar w:fldCharType="separate"/>
      </w:r>
      <w:r>
        <w:rPr>
          <w:noProof/>
        </w:rPr>
        <w:t>1</w:t>
      </w:r>
      <w:r>
        <w:fldChar w:fldCharType="end"/>
      </w:r>
      <w:r>
        <w:t>: Simulation approach</w:t>
      </w:r>
    </w:p>
    <w:p w14:paraId="425E25A1" w14:textId="65BF9372" w:rsidR="00FE6AA7" w:rsidRDefault="00576083" w:rsidP="00E365F9">
      <w:pPr>
        <w:pStyle w:val="TabFigSW"/>
      </w:pPr>
      <w:r>
        <w:rPr>
          <w:noProof/>
        </w:rPr>
        <mc:AlternateContent>
          <mc:Choice Requires="wps">
            <w:drawing>
              <wp:anchor distT="0" distB="0" distL="114300" distR="114300" simplePos="0" relativeHeight="251658244" behindDoc="0" locked="0" layoutInCell="1" allowOverlap="1" wp14:anchorId="6F32A2F8" wp14:editId="3F8D5DD0">
                <wp:simplePos x="0" y="0"/>
                <wp:positionH relativeFrom="column">
                  <wp:posOffset>3549577</wp:posOffset>
                </wp:positionH>
                <wp:positionV relativeFrom="paragraph">
                  <wp:posOffset>1208429</wp:posOffset>
                </wp:positionV>
                <wp:extent cx="167690" cy="2116454"/>
                <wp:effectExtent l="0" t="2540" r="20320" b="96520"/>
                <wp:wrapNone/>
                <wp:docPr id="5" name="Right Brace 5"/>
                <wp:cNvGraphicFramePr/>
                <a:graphic xmlns:a="http://schemas.openxmlformats.org/drawingml/2006/main">
                  <a:graphicData uri="http://schemas.microsoft.com/office/word/2010/wordprocessingShape">
                    <wps:wsp>
                      <wps:cNvSpPr/>
                      <wps:spPr>
                        <a:xfrm rot="5400000">
                          <a:off x="0" y="0"/>
                          <a:ext cx="167690" cy="2116454"/>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9FC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79.5pt;margin-top:95.15pt;width:13.2pt;height:166.6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" adj="143" strokecolor="black [3200]" strokeweight="1pt">
                <v:stroke joinstyle="miter"/>
              </v:shape>
            </w:pict>
          </mc:Fallback>
        </mc:AlternateContent>
      </w:r>
      <w:r w:rsidR="00E365F9">
        <w:rPr>
          <w:noProof/>
        </w:rPr>
        <mc:AlternateContent>
          <mc:Choice Requires="wps">
            <w:drawing>
              <wp:anchor distT="0" distB="0" distL="114300" distR="114300" simplePos="0" relativeHeight="251658240" behindDoc="0" locked="0" layoutInCell="1" allowOverlap="1" wp14:anchorId="6345B922" wp14:editId="6725C752">
                <wp:simplePos x="0" y="0"/>
                <wp:positionH relativeFrom="margin">
                  <wp:posOffset>2269214</wp:posOffset>
                </wp:positionH>
                <wp:positionV relativeFrom="paragraph">
                  <wp:posOffset>2328849</wp:posOffset>
                </wp:positionV>
                <wp:extent cx="2822713" cy="421392"/>
                <wp:effectExtent l="0" t="0" r="0" b="0"/>
                <wp:wrapNone/>
                <wp:docPr id="4" name="Text Box 4"/>
                <wp:cNvGraphicFramePr/>
                <a:graphic xmlns:a="http://schemas.openxmlformats.org/drawingml/2006/main">
                  <a:graphicData uri="http://schemas.microsoft.com/office/word/2010/wordprocessingShape">
                    <wps:wsp>
                      <wps:cNvSpPr txBox="1"/>
                      <wps:spPr>
                        <a:xfrm>
                          <a:off x="0" y="0"/>
                          <a:ext cx="2822713" cy="421392"/>
                        </a:xfrm>
                        <a:prstGeom prst="rect">
                          <a:avLst/>
                        </a:prstGeom>
                        <a:noFill/>
                        <a:ln w="6350">
                          <a:noFill/>
                        </a:ln>
                      </wps:spPr>
                      <wps:txbx>
                        <w:txbxContent>
                          <w:p w14:paraId="30D66F86" w14:textId="77777777" w:rsidR="003C1804" w:rsidRPr="005C148F" w:rsidRDefault="003C1804" w:rsidP="00FE6AA7">
                            <w:pPr>
                              <w:rPr>
                                <w:color w:val="002F59" w:themeColor="text2"/>
                                <w:sz w:val="14"/>
                                <w:szCs w:val="14"/>
                              </w:rPr>
                            </w:pPr>
                            <w:r w:rsidRPr="005C148F">
                              <w:rPr>
                                <w:color w:val="002F59" w:themeColor="text2"/>
                                <w:sz w:val="14"/>
                                <w:szCs w:val="14"/>
                              </w:rPr>
                              <w:t>Assess effect of indicator and metric selection in linear regressions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45B922" id="_x0000_t202" coordsize="21600,21600" o:spt="202" path="m,l,21600r21600,l21600,xe">
                <v:stroke joinstyle="miter"/>
                <v:path gradientshapeok="t" o:connecttype="rect"/>
              </v:shapetype>
              <v:shape id="Text Box 4" o:spid="_x0000_s1026" type="#_x0000_t202" style="position:absolute;left:0;text-align:left;margin-left:178.7pt;margin-top:183.35pt;width:222.25pt;height:33.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" filled="f" stroked="f" strokeweight=".5pt">
                <v:textbox>
                  <w:txbxContent>
                    <w:p w14:paraId="30D66F86" w14:textId="77777777" w:rsidR="003C1804" w:rsidRPr="005C148F" w:rsidRDefault="003C1804" w:rsidP="00FE6AA7">
                      <w:pPr>
                        <w:rPr>
                          <w:color w:val="002F59" w:themeColor="text2"/>
                          <w:sz w:val="14"/>
                          <w:szCs w:val="14"/>
                        </w:rPr>
                      </w:pPr>
                      <w:r w:rsidRPr="005C148F">
                        <w:rPr>
                          <w:color w:val="002F59" w:themeColor="text2"/>
                          <w:sz w:val="14"/>
                          <w:szCs w:val="14"/>
                        </w:rPr>
                        <w:t>Assess effect of indicator and metric selection in linear regressions</w:t>
                      </w:r>
                    </w:p>
                  </w:txbxContent>
                </v:textbox>
                <w10:wrap anchorx="margin"/>
              </v:shape>
            </w:pict>
          </mc:Fallback>
        </mc:AlternateContent>
      </w:r>
      <w:r w:rsidR="00FE6AA7">
        <w:rPr>
          <w:noProof/>
        </w:rPr>
        <w:drawing>
          <wp:inline distT="0" distB="0" distL="0" distR="0" wp14:anchorId="4728ABF8" wp14:editId="52C9DDA6">
            <wp:extent cx="5107026" cy="2490526"/>
            <wp:effectExtent l="0" t="1905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6EDD27" w14:textId="00F7DD81" w:rsidR="0065504A" w:rsidRPr="0065504A" w:rsidRDefault="000B0A57" w:rsidP="00310E61">
      <w:pPr>
        <w:pStyle w:val="Heading1"/>
      </w:pPr>
      <w:bookmarkStart w:id="10" w:name="_Toc63432137"/>
      <w:r>
        <w:t>Findings</w:t>
      </w:r>
      <w:bookmarkEnd w:id="10"/>
    </w:p>
    <w:p w14:paraId="69D9918B" w14:textId="21CF6608" w:rsidR="00196666" w:rsidRDefault="001C75C2" w:rsidP="000819A0">
      <w:pPr>
        <w:pStyle w:val="Heading2"/>
      </w:pPr>
      <w:bookmarkStart w:id="11" w:name="_Toc63432138"/>
      <w:r>
        <w:t>Simulation results for Hargeisa (UNH</w:t>
      </w:r>
      <w:r w:rsidR="00453691">
        <w:t>C</w:t>
      </w:r>
      <w:r>
        <w:t>R 2015)</w:t>
      </w:r>
      <w:bookmarkEnd w:id="11"/>
    </w:p>
    <w:p w14:paraId="293A7985" w14:textId="6A8801B9" w:rsidR="00737699" w:rsidRDefault="00737699" w:rsidP="00737699">
      <w:pPr>
        <w:jc w:val="both"/>
      </w:pPr>
      <w:r>
        <w:t xml:space="preserve">The IDP profiling in Hargeisa covered a total of 4,780 IDPs that could be compared directly to their hosts. On average across all simulated indicators and </w:t>
      </w:r>
      <w:r w:rsidR="00696818">
        <w:t>metrics</w:t>
      </w:r>
      <w:r>
        <w:t>,</w:t>
      </w:r>
      <w:r w:rsidRPr="00646C8D">
        <w:t xml:space="preserve"> 505.36</w:t>
      </w:r>
      <w:r>
        <w:t xml:space="preserve"> IDPs have overcome their vulnerabilities and exit the IDP stock. According to this assessment, an average of </w:t>
      </w:r>
      <w:r w:rsidRPr="00807C46">
        <w:t>10.57</w:t>
      </w:r>
      <w:r>
        <w:t xml:space="preserve">% of the sampled IDP population in Hargeisa could exit the stock for statistical purposes. This percentage includes some IDP households that could not be assessed as the IRIS recommends that no assessment should take place if data is missing for at least one of the 10 sub-criteria. This was the case for 1.8% of the data in the IDP profiling in Hargeisa. </w:t>
      </w:r>
    </w:p>
    <w:p w14:paraId="600EAE14" w14:textId="69C9867A" w:rsidR="00965133" w:rsidRPr="001C75C2" w:rsidRDefault="00965133" w:rsidP="00965133">
      <w:pPr>
        <w:jc w:val="both"/>
        <w:rPr>
          <w:i/>
          <w:iCs/>
        </w:rPr>
      </w:pPr>
      <w:r w:rsidRPr="001C75C2">
        <w:rPr>
          <w:i/>
          <w:iCs/>
        </w:rPr>
        <w:t xml:space="preserve">Importance of indicator selection </w:t>
      </w:r>
    </w:p>
    <w:p w14:paraId="2CADD891" w14:textId="784D25BC" w:rsidR="00AA06E4" w:rsidRDefault="004C329C" w:rsidP="001D3C03">
      <w:pPr>
        <w:jc w:val="both"/>
      </w:pPr>
      <w:r>
        <w:t xml:space="preserve">The first question this assessment aims to address is how much difference there is between using different operationalizations of the 10 sub-criteria. </w:t>
      </w:r>
      <w:r w:rsidR="008951E3">
        <w:t>To address the question of selecting statistical indicators, table 4 summarizes</w:t>
      </w:r>
      <w:r w:rsidR="00AA06E4">
        <w:t xml:space="preserve"> the relevance of the indicator choice in Hargeisa. The table lists all indicators </w:t>
      </w:r>
      <w:r w:rsidR="00B366BE">
        <w:t>that are present in the data and provides information on the average effec</w:t>
      </w:r>
      <w:r w:rsidR="009B574E">
        <w:t xml:space="preserve">t of choosing one indicator over the other across all </w:t>
      </w:r>
      <w:r w:rsidR="00696818">
        <w:t>metrics</w:t>
      </w:r>
      <w:r w:rsidR="009B574E">
        <w:t xml:space="preserve">. For example, choosing </w:t>
      </w:r>
      <w:r w:rsidR="003800EF">
        <w:t xml:space="preserve">an indicator that covers the ability to pay for food as opposed to an indicator that counts whether an IDP household had more meals than the average IDP household decreases the </w:t>
      </w:r>
      <w:r w:rsidR="0068325B">
        <w:t xml:space="preserve">percentage of IDPs exiting the stock by </w:t>
      </w:r>
      <w:r w:rsidR="00B14B73">
        <w:t xml:space="preserve">an average of </w:t>
      </w:r>
      <w:r w:rsidR="0068325B">
        <w:t>0.19 percentage points</w:t>
      </w:r>
      <w:r w:rsidR="005147B1">
        <w:t xml:space="preserve"> across all metrics in this simulation</w:t>
      </w:r>
      <w:r w:rsidR="0068325B">
        <w:t xml:space="preserve">. Expressed differently, the ability to pay for one’s own food is a higher bar to pass than </w:t>
      </w:r>
      <w:r w:rsidR="00F52760">
        <w:t>consuming above-average meals</w:t>
      </w:r>
      <w:r w:rsidR="00B14B73">
        <w:t xml:space="preserve">, which means that less IDPs will overcome their vulnerabilities. The last column of the table gives a verbal summary of the </w:t>
      </w:r>
      <w:r w:rsidR="00EF2B1F">
        <w:t>average effect of indicator selections across all metrics</w:t>
      </w:r>
      <w:r w:rsidR="004E626C">
        <w:t xml:space="preserve">. </w:t>
      </w:r>
    </w:p>
    <w:p w14:paraId="249D6EDC" w14:textId="0E0E5C62" w:rsidR="00BA6F2F" w:rsidRDefault="00BA6F2F" w:rsidP="00457FA6">
      <w:pPr>
        <w:pStyle w:val="TabFigSW"/>
      </w:pPr>
      <w:r>
        <w:t xml:space="preserve">Table </w:t>
      </w:r>
      <w:r>
        <w:fldChar w:fldCharType="begin"/>
      </w:r>
      <w:r>
        <w:instrText>SEQ Table \* ARABIC</w:instrText>
      </w:r>
      <w:r>
        <w:fldChar w:fldCharType="separate"/>
      </w:r>
      <w:r w:rsidR="00A44A6F">
        <w:rPr>
          <w:noProof/>
        </w:rPr>
        <w:t>4</w:t>
      </w:r>
      <w:r>
        <w:fldChar w:fldCharType="end"/>
      </w:r>
      <w:r>
        <w:t xml:space="preserve">: </w:t>
      </w:r>
      <w:r w:rsidR="006B701C">
        <w:t>Average r</w:t>
      </w:r>
      <w:r w:rsidR="0065653F">
        <w:t>elevance of i</w:t>
      </w:r>
      <w:r>
        <w:t xml:space="preserve">ndicator choice </w:t>
      </w:r>
      <w:r w:rsidR="0065653F">
        <w:t xml:space="preserve">across </w:t>
      </w:r>
      <w:r w:rsidR="00696818">
        <w:t>metrics</w:t>
      </w:r>
      <w:r w:rsidR="00DB3732">
        <w:t xml:space="preserve"> (Hargeisa)</w:t>
      </w:r>
    </w:p>
    <w:tbl>
      <w:tblPr>
        <w:tblStyle w:val="PlainTable2"/>
        <w:tblW w:w="5000" w:type="pct"/>
        <w:tblLook w:val="04A0" w:firstRow="1" w:lastRow="0" w:firstColumn="1" w:lastColumn="0" w:noHBand="0" w:noVBand="1"/>
      </w:tblPr>
      <w:tblGrid>
        <w:gridCol w:w="1927"/>
        <w:gridCol w:w="2932"/>
        <w:gridCol w:w="1170"/>
        <w:gridCol w:w="2997"/>
      </w:tblGrid>
      <w:tr w:rsidR="001D58B8" w:rsidRPr="00F051D7" w14:paraId="1934B888" w14:textId="77777777" w:rsidTr="00A679EA">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67" w:type="pct"/>
          </w:tcPr>
          <w:p w14:paraId="62FE52A0" w14:textId="77777777" w:rsidR="001D58B8" w:rsidRPr="00F051D7" w:rsidRDefault="001D58B8" w:rsidP="00B00051">
            <w:pPr>
              <w:pStyle w:val="NoSpacing"/>
              <w:rPr>
                <w:b w:val="0"/>
                <w:bCs w:val="0"/>
                <w:sz w:val="18"/>
                <w:szCs w:val="18"/>
                <w:lang w:eastAsia="en-GB"/>
              </w:rPr>
            </w:pPr>
            <w:r w:rsidRPr="00F051D7">
              <w:rPr>
                <w:sz w:val="18"/>
                <w:szCs w:val="18"/>
                <w:lang w:eastAsia="en-GB"/>
              </w:rPr>
              <w:t xml:space="preserve">Sub-criteria </w:t>
            </w:r>
          </w:p>
          <w:p w14:paraId="51B4C2C1" w14:textId="77777777" w:rsidR="001D58B8" w:rsidRPr="00F051D7" w:rsidRDefault="001D58B8" w:rsidP="00B00051">
            <w:pPr>
              <w:pStyle w:val="NoSpacing"/>
              <w:rPr>
                <w:b w:val="0"/>
                <w:bCs w:val="0"/>
                <w:sz w:val="18"/>
                <w:szCs w:val="18"/>
                <w:lang w:eastAsia="en-GB"/>
              </w:rPr>
            </w:pPr>
            <w:r w:rsidRPr="00F051D7">
              <w:rPr>
                <w:sz w:val="18"/>
                <w:szCs w:val="18"/>
                <w:lang w:eastAsia="en-GB"/>
              </w:rPr>
              <w:t>(IRIS)</w:t>
            </w:r>
          </w:p>
        </w:tc>
        <w:tc>
          <w:tcPr>
            <w:tcW w:w="1625" w:type="pct"/>
          </w:tcPr>
          <w:p w14:paraId="1EA03EE8" w14:textId="77777777" w:rsidR="001D58B8" w:rsidRPr="00F051D7" w:rsidRDefault="001D58B8" w:rsidP="00B00051">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sidRPr="00F051D7">
              <w:rPr>
                <w:sz w:val="18"/>
                <w:szCs w:val="18"/>
                <w:lang w:eastAsia="en-GB"/>
              </w:rPr>
              <w:t>Indicators from Hargeisa (UNHCR 2015)</w:t>
            </w:r>
          </w:p>
        </w:tc>
        <w:tc>
          <w:tcPr>
            <w:tcW w:w="648" w:type="pct"/>
          </w:tcPr>
          <w:p w14:paraId="711D9322" w14:textId="15B86CFF" w:rsidR="001D58B8" w:rsidRPr="00F051D7" w:rsidRDefault="00052ECE" w:rsidP="00B00051">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Pr>
                <w:sz w:val="18"/>
                <w:szCs w:val="18"/>
                <w:lang w:eastAsia="en-GB"/>
              </w:rPr>
              <w:t>Average e</w:t>
            </w:r>
            <w:r w:rsidR="001D58B8" w:rsidRPr="00F051D7">
              <w:rPr>
                <w:sz w:val="18"/>
                <w:szCs w:val="18"/>
                <w:lang w:eastAsia="en-GB"/>
              </w:rPr>
              <w:t>ffect size on stock</w:t>
            </w:r>
            <w:r>
              <w:rPr>
                <w:sz w:val="18"/>
                <w:szCs w:val="18"/>
                <w:lang w:eastAsia="en-GB"/>
              </w:rPr>
              <w:t xml:space="preserve"> </w:t>
            </w:r>
          </w:p>
        </w:tc>
        <w:tc>
          <w:tcPr>
            <w:tcW w:w="1660" w:type="pct"/>
          </w:tcPr>
          <w:p w14:paraId="24101CFC" w14:textId="2717101F" w:rsidR="001D58B8" w:rsidRPr="00F051D7" w:rsidRDefault="001D58B8" w:rsidP="00B00051">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sidRPr="00F051D7">
              <w:rPr>
                <w:sz w:val="18"/>
                <w:szCs w:val="18"/>
                <w:lang w:eastAsia="en-GB"/>
              </w:rPr>
              <w:t>Description of variation</w:t>
            </w:r>
          </w:p>
        </w:tc>
      </w:tr>
      <w:tr w:rsidR="004659CB" w:rsidRPr="00F051D7" w14:paraId="1000DEB1" w14:textId="77777777" w:rsidTr="00A679E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5CCD4029"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1.1 Victims of violence </w:t>
            </w:r>
          </w:p>
        </w:tc>
        <w:tc>
          <w:tcPr>
            <w:tcW w:w="1625" w:type="pct"/>
          </w:tcPr>
          <w:p w14:paraId="492343D4" w14:textId="1DAF93C6" w:rsidR="00B51C4E" w:rsidRPr="00F051D7" w:rsidRDefault="00594DC9"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B51C4E" w:rsidRPr="00F051D7">
              <w:rPr>
                <w:rFonts w:asciiTheme="majorHAnsi" w:hAnsiTheme="majorHAnsi" w:cstheme="majorHAnsi"/>
                <w:sz w:val="18"/>
                <w:szCs w:val="18"/>
                <w:lang w:eastAsia="en-GB"/>
              </w:rPr>
              <w:t>Experience of security incident</w:t>
            </w:r>
            <w:r w:rsidR="00780C32" w:rsidRPr="00F051D7">
              <w:rPr>
                <w:rFonts w:asciiTheme="majorHAnsi" w:hAnsiTheme="majorHAnsi" w:cstheme="majorHAnsi"/>
                <w:sz w:val="18"/>
                <w:szCs w:val="18"/>
                <w:lang w:eastAsia="en-GB"/>
              </w:rPr>
              <w:t xml:space="preserve"> (baseline)</w:t>
            </w:r>
          </w:p>
          <w:p w14:paraId="70627A9E" w14:textId="6A03B24F" w:rsidR="00B51C4E" w:rsidRPr="00F051D7" w:rsidRDefault="00594DC9"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 xml:space="preserve">Feeling of safety </w:t>
            </w:r>
          </w:p>
          <w:p w14:paraId="0CC9BB0D" w14:textId="0545FE20" w:rsidR="00C41294" w:rsidRPr="00F051D7" w:rsidRDefault="00594DC9"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lastRenderedPageBreak/>
              <w:t xml:space="preserve">3. </w:t>
            </w:r>
            <w:r w:rsidR="005A52B1" w:rsidRPr="00F051D7">
              <w:rPr>
                <w:rFonts w:asciiTheme="majorHAnsi" w:hAnsiTheme="majorHAnsi" w:cstheme="majorHAnsi"/>
                <w:sz w:val="18"/>
                <w:szCs w:val="18"/>
                <w:lang w:eastAsia="en-GB"/>
              </w:rPr>
              <w:t>Worried about security incidents</w:t>
            </w:r>
          </w:p>
        </w:tc>
        <w:tc>
          <w:tcPr>
            <w:tcW w:w="648" w:type="pct"/>
          </w:tcPr>
          <w:p w14:paraId="3219A310" w14:textId="4B500577" w:rsidR="00B51C4E" w:rsidRPr="00F051D7" w:rsidRDefault="00C6258A"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lastRenderedPageBreak/>
              <w:t>-</w:t>
            </w:r>
            <w:r w:rsidR="0007441C" w:rsidRPr="00F051D7">
              <w:rPr>
                <w:rFonts w:asciiTheme="majorHAnsi" w:eastAsia="Times New Roman" w:hAnsiTheme="majorHAnsi" w:cstheme="majorHAnsi"/>
                <w:color w:val="000000"/>
                <w:sz w:val="18"/>
                <w:szCs w:val="18"/>
                <w:lang w:eastAsia="en-GB"/>
              </w:rPr>
              <w:t>0.1</w:t>
            </w:r>
            <w:r w:rsidR="00B22904">
              <w:rPr>
                <w:rFonts w:asciiTheme="majorHAnsi" w:eastAsia="Times New Roman" w:hAnsiTheme="majorHAnsi" w:cstheme="majorHAnsi"/>
                <w:color w:val="000000"/>
                <w:sz w:val="18"/>
                <w:szCs w:val="18"/>
                <w:lang w:eastAsia="en-GB"/>
              </w:rPr>
              <w:t>2</w:t>
            </w:r>
            <w:r w:rsidR="0007441C" w:rsidRPr="00F051D7">
              <w:rPr>
                <w:rFonts w:asciiTheme="majorHAnsi" w:eastAsia="Times New Roman" w:hAnsiTheme="majorHAnsi" w:cstheme="majorHAnsi"/>
                <w:color w:val="000000"/>
                <w:sz w:val="18"/>
                <w:szCs w:val="18"/>
                <w:lang w:eastAsia="en-GB"/>
              </w:rPr>
              <w:t xml:space="preserve"> </w:t>
            </w:r>
            <w:r w:rsidR="00F01C5B" w:rsidRPr="00F051D7">
              <w:rPr>
                <w:rFonts w:asciiTheme="majorHAnsi" w:eastAsia="Times New Roman" w:hAnsiTheme="majorHAnsi" w:cstheme="majorHAnsi"/>
                <w:color w:val="000000"/>
                <w:sz w:val="18"/>
                <w:szCs w:val="18"/>
                <w:lang w:eastAsia="en-GB"/>
              </w:rPr>
              <w:t>to 0</w:t>
            </w:r>
            <w:r w:rsidR="00AF2125" w:rsidRPr="00F051D7">
              <w:rPr>
                <w:rFonts w:asciiTheme="majorHAnsi" w:eastAsia="Times New Roman" w:hAnsiTheme="majorHAnsi" w:cstheme="majorHAnsi"/>
                <w:color w:val="000000"/>
                <w:sz w:val="18"/>
                <w:szCs w:val="18"/>
                <w:lang w:eastAsia="en-GB"/>
              </w:rPr>
              <w:t xml:space="preserve"> </w:t>
            </w:r>
            <w:r w:rsidR="0007441C" w:rsidRPr="00F051D7">
              <w:rPr>
                <w:rFonts w:asciiTheme="majorHAnsi" w:eastAsia="Times New Roman" w:hAnsiTheme="majorHAnsi" w:cstheme="majorHAnsi"/>
                <w:color w:val="000000"/>
                <w:sz w:val="18"/>
                <w:szCs w:val="18"/>
                <w:lang w:eastAsia="en-GB"/>
              </w:rPr>
              <w:t>percentage points</w:t>
            </w:r>
          </w:p>
        </w:tc>
        <w:tc>
          <w:tcPr>
            <w:tcW w:w="1660" w:type="pct"/>
          </w:tcPr>
          <w:p w14:paraId="1C915F47" w14:textId="5775B884" w:rsidR="00B51C4E" w:rsidRPr="00F051D7" w:rsidRDefault="004F1E9E"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Hardly any discernable difference between </w:t>
            </w:r>
            <w:r w:rsidR="00501E16">
              <w:rPr>
                <w:rFonts w:asciiTheme="majorHAnsi" w:eastAsia="Times New Roman" w:hAnsiTheme="majorHAnsi" w:cstheme="majorHAnsi"/>
                <w:color w:val="000000"/>
                <w:sz w:val="18"/>
                <w:szCs w:val="18"/>
                <w:lang w:eastAsia="en-GB"/>
              </w:rPr>
              <w:t xml:space="preserve">different indicators for victimization and violence. </w:t>
            </w:r>
          </w:p>
        </w:tc>
      </w:tr>
      <w:tr w:rsidR="004659CB" w:rsidRPr="00F051D7" w14:paraId="5DE81E5D" w14:textId="77777777" w:rsidTr="00501E16">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0C6BF31D" w14:textId="77777777" w:rsidR="004659CB" w:rsidRPr="00F051D7" w:rsidRDefault="004659CB"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1.2 Freedom of movement </w:t>
            </w:r>
          </w:p>
        </w:tc>
        <w:tc>
          <w:tcPr>
            <w:tcW w:w="3933" w:type="pct"/>
            <w:gridSpan w:val="3"/>
          </w:tcPr>
          <w:p w14:paraId="7309E6CC" w14:textId="59ED0A12" w:rsidR="004659CB" w:rsidRPr="00F051D7" w:rsidRDefault="004659CB"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Only available indicator was whether IDPs are free to visit public places. No assessment of indicator choice. </w:t>
            </w:r>
          </w:p>
        </w:tc>
      </w:tr>
      <w:tr w:rsidR="004659CB" w:rsidRPr="00F051D7" w14:paraId="439FAEB1" w14:textId="77777777" w:rsidTr="00A679E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2CE1B22C"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2.1 Food security </w:t>
            </w:r>
          </w:p>
        </w:tc>
        <w:tc>
          <w:tcPr>
            <w:tcW w:w="1625" w:type="pct"/>
          </w:tcPr>
          <w:p w14:paraId="6F5FE2B3" w14:textId="052C2924" w:rsidR="00780C32" w:rsidRPr="00F051D7" w:rsidRDefault="00347807"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780C32" w:rsidRPr="00F051D7">
              <w:rPr>
                <w:rFonts w:asciiTheme="majorHAnsi" w:hAnsiTheme="majorHAnsi" w:cstheme="majorHAnsi"/>
                <w:sz w:val="18"/>
                <w:szCs w:val="18"/>
                <w:lang w:eastAsia="en-GB"/>
              </w:rPr>
              <w:t>More meals per day than average (baseline)</w:t>
            </w:r>
          </w:p>
          <w:p w14:paraId="7F6AA1C7" w14:textId="21EB8A77" w:rsidR="00B51C4E" w:rsidRPr="00F051D7" w:rsidRDefault="00780C32"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Ability to pay for food</w:t>
            </w:r>
          </w:p>
        </w:tc>
        <w:tc>
          <w:tcPr>
            <w:tcW w:w="648" w:type="pct"/>
          </w:tcPr>
          <w:p w14:paraId="38CD509F" w14:textId="5F7FBB22" w:rsidR="00F84408" w:rsidRPr="00F051D7" w:rsidRDefault="00931288"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hAnsiTheme="majorHAnsi" w:cstheme="majorHAnsi"/>
                <w:color w:val="000000"/>
                <w:sz w:val="18"/>
                <w:szCs w:val="18"/>
              </w:rPr>
              <w:t>-</w:t>
            </w:r>
            <w:r w:rsidR="009A6C64" w:rsidRPr="00F051D7">
              <w:rPr>
                <w:rFonts w:asciiTheme="majorHAnsi" w:hAnsiTheme="majorHAnsi" w:cstheme="majorHAnsi"/>
                <w:color w:val="000000"/>
                <w:sz w:val="18"/>
                <w:szCs w:val="18"/>
              </w:rPr>
              <w:t>0.1</w:t>
            </w:r>
            <w:r>
              <w:rPr>
                <w:rFonts w:asciiTheme="majorHAnsi" w:hAnsiTheme="majorHAnsi" w:cstheme="majorHAnsi"/>
                <w:color w:val="000000"/>
                <w:sz w:val="18"/>
                <w:szCs w:val="18"/>
              </w:rPr>
              <w:t>3</w:t>
            </w:r>
            <w:r w:rsidR="009A6C64" w:rsidRPr="00F051D7">
              <w:rPr>
                <w:rFonts w:asciiTheme="majorHAnsi" w:hAnsiTheme="majorHAnsi" w:cstheme="majorHAnsi"/>
                <w:color w:val="000000"/>
                <w:sz w:val="18"/>
                <w:szCs w:val="18"/>
              </w:rPr>
              <w:t xml:space="preserve"> percentage points</w:t>
            </w:r>
          </w:p>
        </w:tc>
        <w:tc>
          <w:tcPr>
            <w:tcW w:w="1660" w:type="pct"/>
          </w:tcPr>
          <w:p w14:paraId="379AAB05" w14:textId="7677B8B7" w:rsidR="00B51C4E" w:rsidRPr="00F051D7" w:rsidRDefault="00B51C4E"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Hardly any</w:t>
            </w:r>
            <w:r w:rsidR="0025452D">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sidR="0025452D">
              <w:rPr>
                <w:rFonts w:asciiTheme="majorHAnsi" w:eastAsia="Times New Roman" w:hAnsiTheme="majorHAnsi" w:cstheme="majorHAnsi"/>
                <w:color w:val="000000"/>
                <w:sz w:val="18"/>
                <w:szCs w:val="18"/>
                <w:lang w:eastAsia="en-GB"/>
              </w:rPr>
              <w:t>different indicators for food security</w:t>
            </w:r>
            <w:r w:rsidR="00F84408" w:rsidRPr="00F051D7">
              <w:rPr>
                <w:rFonts w:asciiTheme="majorHAnsi" w:eastAsia="Times New Roman" w:hAnsiTheme="majorHAnsi" w:cstheme="majorHAnsi"/>
                <w:color w:val="000000"/>
                <w:sz w:val="18"/>
                <w:szCs w:val="18"/>
                <w:lang w:eastAsia="en-GB"/>
              </w:rPr>
              <w:t xml:space="preserve">. </w:t>
            </w:r>
          </w:p>
        </w:tc>
      </w:tr>
      <w:tr w:rsidR="004659CB" w:rsidRPr="00F051D7" w14:paraId="6CE15469" w14:textId="77777777" w:rsidTr="00A679EA">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5FFD87E7"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2.2 Shelter and housing </w:t>
            </w:r>
          </w:p>
        </w:tc>
        <w:tc>
          <w:tcPr>
            <w:tcW w:w="1625" w:type="pct"/>
          </w:tcPr>
          <w:p w14:paraId="1370A0C8" w14:textId="4E2DD5A9" w:rsidR="00623D13" w:rsidRDefault="008B172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64797B">
              <w:rPr>
                <w:rFonts w:asciiTheme="majorHAnsi" w:hAnsiTheme="majorHAnsi" w:cstheme="majorHAnsi"/>
                <w:sz w:val="18"/>
                <w:szCs w:val="18"/>
                <w:lang w:eastAsia="en-GB"/>
              </w:rPr>
              <w:t>Access to bathroom (baseline)</w:t>
            </w:r>
          </w:p>
          <w:p w14:paraId="0D145183" w14:textId="77777777" w:rsidR="0064797B" w:rsidRDefault="0064797B"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2. </w:t>
            </w:r>
            <w:r w:rsidR="008B1723" w:rsidRPr="00F051D7">
              <w:rPr>
                <w:rFonts w:asciiTheme="majorHAnsi" w:hAnsiTheme="majorHAnsi" w:cstheme="majorHAnsi"/>
                <w:sz w:val="18"/>
                <w:szCs w:val="18"/>
                <w:lang w:eastAsia="en-GB"/>
              </w:rPr>
              <w:t xml:space="preserve">Electricity in house </w:t>
            </w:r>
          </w:p>
          <w:p w14:paraId="6CF88173" w14:textId="77777777" w:rsidR="0064797B" w:rsidRDefault="0064797B"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3. </w:t>
            </w:r>
            <w:r w:rsidRPr="00F051D7">
              <w:rPr>
                <w:rFonts w:asciiTheme="majorHAnsi" w:hAnsiTheme="majorHAnsi" w:cstheme="majorHAnsi"/>
                <w:sz w:val="18"/>
                <w:szCs w:val="18"/>
                <w:lang w:eastAsia="en-GB"/>
              </w:rPr>
              <w:t>Inadequate housing (in risk zones)</w:t>
            </w:r>
          </w:p>
          <w:p w14:paraId="1C538D53" w14:textId="07B59C59" w:rsidR="00B51C4E" w:rsidRPr="00F051D7" w:rsidRDefault="0064797B"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4. </w:t>
            </w:r>
            <w:r w:rsidR="00B51C4E" w:rsidRPr="00F051D7">
              <w:rPr>
                <w:rFonts w:asciiTheme="majorHAnsi" w:hAnsiTheme="majorHAnsi" w:cstheme="majorHAnsi"/>
                <w:sz w:val="18"/>
                <w:szCs w:val="18"/>
                <w:lang w:eastAsia="en-GB"/>
              </w:rPr>
              <w:t>Living in overcrowded space</w:t>
            </w:r>
          </w:p>
          <w:p w14:paraId="4C616BEA" w14:textId="26DC27AB" w:rsidR="00B51C4E" w:rsidRDefault="00401FCE"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5</w:t>
            </w:r>
            <w:r w:rsidR="008B1723" w:rsidRPr="00F051D7">
              <w:rPr>
                <w:rFonts w:asciiTheme="majorHAnsi" w:hAnsiTheme="majorHAnsi" w:cstheme="majorHAnsi"/>
                <w:sz w:val="18"/>
                <w:szCs w:val="18"/>
                <w:lang w:eastAsia="en-GB"/>
              </w:rPr>
              <w:t xml:space="preserve">. </w:t>
            </w:r>
            <w:r w:rsidR="00463D42">
              <w:rPr>
                <w:rFonts w:asciiTheme="majorHAnsi" w:hAnsiTheme="majorHAnsi" w:cstheme="majorHAnsi"/>
                <w:sz w:val="18"/>
                <w:szCs w:val="18"/>
                <w:lang w:eastAsia="en-GB"/>
              </w:rPr>
              <w:t>Access to water from a tank</w:t>
            </w:r>
          </w:p>
          <w:p w14:paraId="66EA91DA" w14:textId="37495522" w:rsidR="00401FCE" w:rsidRPr="00F051D7" w:rsidRDefault="00401FCE"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6. Access to toilet</w:t>
            </w:r>
          </w:p>
          <w:p w14:paraId="5075C3C7" w14:textId="73A099FC" w:rsidR="00B51C4E" w:rsidRPr="00F051D7" w:rsidRDefault="00B51C4E"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p>
        </w:tc>
        <w:tc>
          <w:tcPr>
            <w:tcW w:w="648" w:type="pct"/>
          </w:tcPr>
          <w:p w14:paraId="50E485FB" w14:textId="7619701D" w:rsidR="00B51C4E" w:rsidRPr="00580CB3" w:rsidRDefault="00580CB3"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hAnsiTheme="majorHAnsi" w:cstheme="majorHAnsi"/>
                <w:color w:val="000000"/>
                <w:sz w:val="18"/>
                <w:szCs w:val="18"/>
              </w:rPr>
              <w:t>-</w:t>
            </w:r>
            <w:r w:rsidRPr="00580CB3">
              <w:rPr>
                <w:rFonts w:asciiTheme="majorHAnsi" w:hAnsiTheme="majorHAnsi" w:cstheme="majorHAnsi"/>
                <w:color w:val="000000"/>
                <w:sz w:val="18"/>
                <w:szCs w:val="18"/>
              </w:rPr>
              <w:t>0.02</w:t>
            </w:r>
            <w:r w:rsidR="000D578B" w:rsidRPr="00580CB3">
              <w:rPr>
                <w:rFonts w:asciiTheme="majorHAnsi" w:hAnsiTheme="majorHAnsi" w:cstheme="majorHAnsi"/>
                <w:color w:val="000000"/>
                <w:sz w:val="18"/>
                <w:szCs w:val="18"/>
              </w:rPr>
              <w:t xml:space="preserve"> to </w:t>
            </w:r>
            <w:r w:rsidRPr="00580CB3">
              <w:rPr>
                <w:rFonts w:asciiTheme="majorHAnsi" w:hAnsiTheme="majorHAnsi" w:cstheme="majorHAnsi"/>
                <w:color w:val="000000"/>
                <w:sz w:val="18"/>
                <w:szCs w:val="18"/>
              </w:rPr>
              <w:t>1.3</w:t>
            </w:r>
            <w:r w:rsidR="000D578B" w:rsidRPr="00580CB3">
              <w:rPr>
                <w:rFonts w:asciiTheme="majorHAnsi" w:hAnsiTheme="majorHAnsi" w:cstheme="majorHAnsi"/>
                <w:color w:val="000000"/>
                <w:sz w:val="18"/>
                <w:szCs w:val="18"/>
              </w:rPr>
              <w:t xml:space="preserve"> percentage points</w:t>
            </w:r>
            <w:r w:rsidR="00B51C4E" w:rsidRPr="00580CB3">
              <w:rPr>
                <w:rFonts w:asciiTheme="majorHAnsi" w:hAnsiTheme="majorHAnsi" w:cstheme="majorHAnsi"/>
                <w:color w:val="000000"/>
                <w:sz w:val="18"/>
                <w:szCs w:val="18"/>
              </w:rPr>
              <w:t xml:space="preserve"> </w:t>
            </w:r>
          </w:p>
        </w:tc>
        <w:tc>
          <w:tcPr>
            <w:tcW w:w="1660" w:type="pct"/>
          </w:tcPr>
          <w:p w14:paraId="69F4BC1B" w14:textId="6D43F48B" w:rsidR="00B51C4E" w:rsidRPr="00F051D7" w:rsidRDefault="00580CB3"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Hardly any discernable</w:t>
            </w:r>
            <w:r w:rsidR="00673D70">
              <w:rPr>
                <w:rFonts w:asciiTheme="majorHAnsi" w:eastAsia="Times New Roman" w:hAnsiTheme="majorHAnsi" w:cstheme="majorHAnsi"/>
                <w:color w:val="000000"/>
                <w:sz w:val="18"/>
                <w:szCs w:val="18"/>
                <w:lang w:eastAsia="en-GB"/>
              </w:rPr>
              <w:t xml:space="preserve"> difference between access to bathroom</w:t>
            </w:r>
            <w:r w:rsidR="00401FCE">
              <w:rPr>
                <w:rFonts w:asciiTheme="majorHAnsi" w:eastAsia="Times New Roman" w:hAnsiTheme="majorHAnsi" w:cstheme="majorHAnsi"/>
                <w:color w:val="000000"/>
                <w:sz w:val="18"/>
                <w:szCs w:val="18"/>
                <w:lang w:eastAsia="en-GB"/>
              </w:rPr>
              <w:t xml:space="preserve"> or toilet and</w:t>
            </w:r>
            <w:r w:rsidR="00673D70">
              <w:rPr>
                <w:rFonts w:asciiTheme="majorHAnsi" w:eastAsia="Times New Roman" w:hAnsiTheme="majorHAnsi" w:cstheme="majorHAnsi"/>
                <w:color w:val="000000"/>
                <w:sz w:val="18"/>
                <w:szCs w:val="18"/>
                <w:lang w:eastAsia="en-GB"/>
              </w:rPr>
              <w:t xml:space="preserve"> overcrowded housing.</w:t>
            </w:r>
            <w:r w:rsidR="00FB613A">
              <w:rPr>
                <w:rFonts w:asciiTheme="majorHAnsi" w:eastAsia="Times New Roman" w:hAnsiTheme="majorHAnsi" w:cstheme="majorHAnsi"/>
                <w:color w:val="000000"/>
                <w:sz w:val="18"/>
                <w:szCs w:val="18"/>
                <w:lang w:eastAsia="en-GB"/>
              </w:rPr>
              <w:t xml:space="preserve"> Some difference when using electricity and adequate</w:t>
            </w:r>
            <w:r w:rsidR="000E0244">
              <w:rPr>
                <w:rFonts w:asciiTheme="majorHAnsi" w:eastAsia="Times New Roman" w:hAnsiTheme="majorHAnsi" w:cstheme="majorHAnsi"/>
                <w:color w:val="000000"/>
                <w:sz w:val="18"/>
                <w:szCs w:val="18"/>
                <w:lang w:eastAsia="en-GB"/>
              </w:rPr>
              <w:t xml:space="preserve"> housing</w:t>
            </w:r>
            <w:r w:rsidR="00FB613A">
              <w:rPr>
                <w:rFonts w:asciiTheme="majorHAnsi" w:eastAsia="Times New Roman" w:hAnsiTheme="majorHAnsi" w:cstheme="majorHAnsi"/>
                <w:color w:val="000000"/>
                <w:sz w:val="18"/>
                <w:szCs w:val="18"/>
                <w:lang w:eastAsia="en-GB"/>
              </w:rPr>
              <w:t xml:space="preserve">. A </w:t>
            </w:r>
            <w:r w:rsidR="00FB613A" w:rsidRPr="001F7E2E">
              <w:rPr>
                <w:rFonts w:asciiTheme="majorHAnsi" w:eastAsia="Times New Roman" w:hAnsiTheme="majorHAnsi" w:cstheme="majorHAnsi"/>
                <w:b/>
                <w:bCs/>
                <w:color w:val="000000"/>
                <w:sz w:val="18"/>
                <w:szCs w:val="18"/>
                <w:lang w:eastAsia="en-GB"/>
              </w:rPr>
              <w:t xml:space="preserve">notable difference </w:t>
            </w:r>
            <w:r w:rsidR="000E0244" w:rsidRPr="001F7E2E">
              <w:rPr>
                <w:rFonts w:asciiTheme="majorHAnsi" w:eastAsia="Times New Roman" w:hAnsiTheme="majorHAnsi" w:cstheme="majorHAnsi"/>
                <w:b/>
                <w:bCs/>
                <w:color w:val="000000"/>
                <w:sz w:val="18"/>
                <w:szCs w:val="18"/>
                <w:lang w:eastAsia="en-GB"/>
              </w:rPr>
              <w:t>when using access to water</w:t>
            </w:r>
            <w:r w:rsidR="000E0244">
              <w:rPr>
                <w:rFonts w:asciiTheme="majorHAnsi" w:eastAsia="Times New Roman" w:hAnsiTheme="majorHAnsi" w:cstheme="majorHAnsi"/>
                <w:color w:val="000000"/>
                <w:sz w:val="18"/>
                <w:szCs w:val="18"/>
                <w:lang w:eastAsia="en-GB"/>
              </w:rPr>
              <w:t xml:space="preserve"> as an overage of 1.3</w:t>
            </w:r>
            <w:r w:rsidR="00A679EA">
              <w:rPr>
                <w:rFonts w:asciiTheme="majorHAnsi" w:eastAsia="Times New Roman" w:hAnsiTheme="majorHAnsi" w:cstheme="majorHAnsi"/>
                <w:color w:val="000000"/>
                <w:sz w:val="18"/>
                <w:szCs w:val="18"/>
                <w:lang w:eastAsia="en-GB"/>
              </w:rPr>
              <w:t xml:space="preserve"> percentage points</w:t>
            </w:r>
            <w:r w:rsidR="000E0244">
              <w:rPr>
                <w:rFonts w:asciiTheme="majorHAnsi" w:eastAsia="Times New Roman" w:hAnsiTheme="majorHAnsi" w:cstheme="majorHAnsi"/>
                <w:color w:val="000000"/>
                <w:sz w:val="18"/>
                <w:szCs w:val="18"/>
                <w:lang w:eastAsia="en-GB"/>
              </w:rPr>
              <w:t xml:space="preserve"> </w:t>
            </w:r>
            <w:r w:rsidR="00F4517F">
              <w:rPr>
                <w:rFonts w:asciiTheme="majorHAnsi" w:eastAsia="Times New Roman" w:hAnsiTheme="majorHAnsi" w:cstheme="majorHAnsi"/>
                <w:color w:val="000000"/>
                <w:sz w:val="18"/>
                <w:szCs w:val="18"/>
                <w:lang w:eastAsia="en-GB"/>
              </w:rPr>
              <w:t xml:space="preserve">more IDPs overcome their vulnerabilities. </w:t>
            </w:r>
          </w:p>
        </w:tc>
      </w:tr>
      <w:tr w:rsidR="004659CB" w:rsidRPr="00F051D7" w14:paraId="06092C27" w14:textId="77777777" w:rsidTr="00A679E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1B7042F9"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2.3 Medical services </w:t>
            </w:r>
          </w:p>
        </w:tc>
        <w:tc>
          <w:tcPr>
            <w:tcW w:w="1625" w:type="pct"/>
          </w:tcPr>
          <w:p w14:paraId="6198E1CD" w14:textId="1E00E093" w:rsidR="00E23713" w:rsidRPr="00F051D7" w:rsidRDefault="00E23713"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Access to medical services if ill</w:t>
            </w:r>
            <w:r w:rsidR="00FE0FF7" w:rsidRPr="00F051D7">
              <w:rPr>
                <w:rFonts w:asciiTheme="majorHAnsi" w:hAnsiTheme="majorHAnsi" w:cstheme="majorHAnsi"/>
                <w:sz w:val="18"/>
                <w:szCs w:val="18"/>
                <w:lang w:eastAsia="en-GB"/>
              </w:rPr>
              <w:t xml:space="preserve"> (baseline)</w:t>
            </w:r>
          </w:p>
          <w:p w14:paraId="54453464" w14:textId="752F9C1C" w:rsidR="00E23713" w:rsidRPr="00F051D7" w:rsidRDefault="00F4517F"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2</w:t>
            </w:r>
            <w:r w:rsidR="00E23713" w:rsidRPr="00F051D7">
              <w:rPr>
                <w:rFonts w:asciiTheme="majorHAnsi" w:hAnsiTheme="majorHAnsi" w:cstheme="majorHAnsi"/>
                <w:sz w:val="18"/>
                <w:szCs w:val="18"/>
                <w:lang w:eastAsia="en-GB"/>
              </w:rPr>
              <w:t>. Birth attended by medical staff</w:t>
            </w:r>
          </w:p>
          <w:p w14:paraId="4CF16C28" w14:textId="06B5BC8F" w:rsidR="00B51C4E" w:rsidRPr="00F051D7" w:rsidRDefault="00F4517F"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3</w:t>
            </w:r>
            <w:r w:rsidR="00566657" w:rsidRPr="00F051D7">
              <w:rPr>
                <w:rFonts w:asciiTheme="majorHAnsi" w:hAnsiTheme="majorHAnsi" w:cstheme="majorHAnsi"/>
                <w:sz w:val="18"/>
                <w:szCs w:val="18"/>
                <w:lang w:eastAsia="en-GB"/>
              </w:rPr>
              <w:t xml:space="preserve">. Child vaccinated </w:t>
            </w:r>
          </w:p>
        </w:tc>
        <w:tc>
          <w:tcPr>
            <w:tcW w:w="648" w:type="pct"/>
          </w:tcPr>
          <w:p w14:paraId="64CF1079" w14:textId="69EBC39A" w:rsidR="008A0532" w:rsidRPr="00F051D7" w:rsidRDefault="00B51C4E"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w:t>
            </w:r>
            <w:r w:rsidR="000443FC">
              <w:rPr>
                <w:rFonts w:asciiTheme="majorHAnsi" w:eastAsia="Times New Roman" w:hAnsiTheme="majorHAnsi" w:cstheme="majorHAnsi"/>
                <w:color w:val="000000"/>
                <w:sz w:val="18"/>
                <w:szCs w:val="18"/>
                <w:lang w:eastAsia="en-GB"/>
              </w:rPr>
              <w:t xml:space="preserve">0.46 to </w:t>
            </w:r>
            <w:r w:rsidR="001F7E2E">
              <w:rPr>
                <w:rFonts w:asciiTheme="majorHAnsi" w:eastAsia="Times New Roman" w:hAnsiTheme="majorHAnsi" w:cstheme="majorHAnsi"/>
                <w:color w:val="000000"/>
                <w:sz w:val="18"/>
                <w:szCs w:val="18"/>
                <w:lang w:eastAsia="en-GB"/>
              </w:rPr>
              <w:t xml:space="preserve">0.65 percentage points </w:t>
            </w:r>
          </w:p>
        </w:tc>
        <w:tc>
          <w:tcPr>
            <w:tcW w:w="1660" w:type="pct"/>
          </w:tcPr>
          <w:p w14:paraId="76B7D8E8" w14:textId="256A3D4D" w:rsidR="00B51C4E" w:rsidRPr="00F051D7" w:rsidRDefault="002050CC"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Some difference </w:t>
            </w:r>
            <w:r w:rsidR="001F7E2E">
              <w:rPr>
                <w:rFonts w:asciiTheme="majorHAnsi" w:eastAsia="Times New Roman" w:hAnsiTheme="majorHAnsi" w:cstheme="majorHAnsi"/>
                <w:color w:val="000000"/>
                <w:sz w:val="18"/>
                <w:szCs w:val="18"/>
                <w:lang w:eastAsia="en-GB"/>
              </w:rPr>
              <w:t>between indicators for medical services.</w:t>
            </w:r>
          </w:p>
        </w:tc>
      </w:tr>
      <w:tr w:rsidR="004659CB" w:rsidRPr="00F051D7" w14:paraId="4B53D1FD" w14:textId="77777777" w:rsidTr="00A679EA">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28EF8EFD"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2.4 Education </w:t>
            </w:r>
          </w:p>
        </w:tc>
        <w:tc>
          <w:tcPr>
            <w:tcW w:w="1625" w:type="pct"/>
          </w:tcPr>
          <w:p w14:paraId="1105F40F" w14:textId="7CF7E517" w:rsidR="00FE0FF7" w:rsidRPr="00F051D7" w:rsidRDefault="00FE0FF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Child currently attends school (baseline)</w:t>
            </w:r>
          </w:p>
          <w:p w14:paraId="094D49F1" w14:textId="022071BB" w:rsidR="00B51C4E" w:rsidRPr="00F051D7" w:rsidRDefault="00FE0FF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Child able to read and write</w:t>
            </w:r>
          </w:p>
          <w:p w14:paraId="751A67B5" w14:textId="5F179B39" w:rsidR="00B51C4E" w:rsidRPr="00F051D7" w:rsidRDefault="00FE0FF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B51C4E" w:rsidRPr="00F051D7">
              <w:rPr>
                <w:rFonts w:asciiTheme="majorHAnsi" w:hAnsiTheme="majorHAnsi" w:cstheme="majorHAnsi"/>
                <w:sz w:val="18"/>
                <w:szCs w:val="18"/>
                <w:lang w:eastAsia="en-GB"/>
              </w:rPr>
              <w:t>Child ever attended school</w:t>
            </w:r>
          </w:p>
          <w:p w14:paraId="4670B1E7" w14:textId="77777777" w:rsidR="00EA2503" w:rsidRPr="00F051D7" w:rsidRDefault="00EA250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4. Household owns mobile phone </w:t>
            </w:r>
          </w:p>
          <w:p w14:paraId="790B1154" w14:textId="20836F38" w:rsidR="00B51C4E" w:rsidRPr="00F051D7" w:rsidRDefault="00EA250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5. </w:t>
            </w:r>
            <w:r w:rsidR="00B51C4E" w:rsidRPr="00F051D7">
              <w:rPr>
                <w:rFonts w:asciiTheme="majorHAnsi" w:hAnsiTheme="majorHAnsi" w:cstheme="majorHAnsi"/>
                <w:sz w:val="18"/>
                <w:szCs w:val="18"/>
                <w:lang w:eastAsia="en-GB"/>
              </w:rPr>
              <w:t>Child attends secondary school</w:t>
            </w:r>
          </w:p>
        </w:tc>
        <w:tc>
          <w:tcPr>
            <w:tcW w:w="648" w:type="pct"/>
          </w:tcPr>
          <w:p w14:paraId="38A4BA47" w14:textId="71184F2F" w:rsidR="00EA2503" w:rsidRPr="00F051D7" w:rsidRDefault="00A9468B"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-0.</w:t>
            </w:r>
            <w:r w:rsidR="00042D26">
              <w:rPr>
                <w:rFonts w:asciiTheme="majorHAnsi" w:eastAsia="Times New Roman" w:hAnsiTheme="majorHAnsi" w:cstheme="majorHAnsi"/>
                <w:color w:val="000000"/>
                <w:sz w:val="18"/>
                <w:szCs w:val="18"/>
                <w:lang w:eastAsia="en-GB"/>
              </w:rPr>
              <w:t>1</w:t>
            </w:r>
            <w:r w:rsidRPr="00F051D7">
              <w:rPr>
                <w:rFonts w:asciiTheme="majorHAnsi" w:eastAsia="Times New Roman" w:hAnsiTheme="majorHAnsi" w:cstheme="majorHAnsi"/>
                <w:color w:val="000000"/>
                <w:sz w:val="18"/>
                <w:szCs w:val="18"/>
                <w:lang w:eastAsia="en-GB"/>
              </w:rPr>
              <w:t xml:space="preserve"> to </w:t>
            </w:r>
            <w:r w:rsidR="00835923" w:rsidRPr="00F051D7">
              <w:rPr>
                <w:rFonts w:asciiTheme="majorHAnsi" w:eastAsia="Times New Roman" w:hAnsiTheme="majorHAnsi" w:cstheme="majorHAnsi"/>
                <w:color w:val="000000"/>
                <w:sz w:val="18"/>
                <w:szCs w:val="18"/>
                <w:lang w:eastAsia="en-GB"/>
              </w:rPr>
              <w:t>-</w:t>
            </w:r>
            <w:r w:rsidRPr="00F051D7">
              <w:rPr>
                <w:rFonts w:asciiTheme="majorHAnsi" w:eastAsia="Times New Roman" w:hAnsiTheme="majorHAnsi" w:cstheme="majorHAnsi"/>
                <w:color w:val="000000"/>
                <w:sz w:val="18"/>
                <w:szCs w:val="18"/>
                <w:lang w:eastAsia="en-GB"/>
              </w:rPr>
              <w:t>0.</w:t>
            </w:r>
            <w:r w:rsidR="00835923" w:rsidRPr="00F051D7">
              <w:rPr>
                <w:rFonts w:asciiTheme="majorHAnsi" w:eastAsia="Times New Roman" w:hAnsiTheme="majorHAnsi" w:cstheme="majorHAnsi"/>
                <w:color w:val="000000"/>
                <w:sz w:val="18"/>
                <w:szCs w:val="18"/>
                <w:lang w:eastAsia="en-GB"/>
              </w:rPr>
              <w:t>0</w:t>
            </w:r>
            <w:r w:rsidR="00042D26">
              <w:rPr>
                <w:rFonts w:asciiTheme="majorHAnsi" w:eastAsia="Times New Roman" w:hAnsiTheme="majorHAnsi" w:cstheme="majorHAnsi"/>
                <w:color w:val="000000"/>
                <w:sz w:val="18"/>
                <w:szCs w:val="18"/>
                <w:lang w:eastAsia="en-GB"/>
              </w:rPr>
              <w:t>3</w:t>
            </w:r>
            <w:r w:rsidR="00835923" w:rsidRPr="00F051D7">
              <w:rPr>
                <w:rFonts w:asciiTheme="majorHAnsi" w:eastAsia="Times New Roman" w:hAnsiTheme="majorHAnsi" w:cstheme="majorHAnsi"/>
                <w:color w:val="000000"/>
                <w:sz w:val="18"/>
                <w:szCs w:val="18"/>
                <w:lang w:eastAsia="en-GB"/>
              </w:rPr>
              <w:t xml:space="preserve"> </w:t>
            </w:r>
            <w:r w:rsidRPr="00F051D7">
              <w:rPr>
                <w:rFonts w:asciiTheme="majorHAnsi" w:eastAsia="Times New Roman" w:hAnsiTheme="majorHAnsi" w:cstheme="majorHAnsi"/>
                <w:color w:val="000000"/>
                <w:sz w:val="18"/>
                <w:szCs w:val="18"/>
                <w:lang w:eastAsia="en-GB"/>
              </w:rPr>
              <w:t>percentage points</w:t>
            </w:r>
          </w:p>
        </w:tc>
        <w:tc>
          <w:tcPr>
            <w:tcW w:w="1660" w:type="pct"/>
          </w:tcPr>
          <w:p w14:paraId="228B0BE3" w14:textId="56275A15" w:rsidR="00B51C4E" w:rsidRPr="00F051D7" w:rsidRDefault="00BF0C3D"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Hardly any di</w:t>
            </w:r>
            <w:r w:rsidR="00042D26">
              <w:rPr>
                <w:rFonts w:asciiTheme="majorHAnsi" w:eastAsia="Times New Roman" w:hAnsiTheme="majorHAnsi" w:cstheme="majorHAnsi"/>
                <w:color w:val="000000"/>
                <w:sz w:val="18"/>
                <w:szCs w:val="18"/>
                <w:lang w:eastAsia="en-GB"/>
              </w:rPr>
              <w:t xml:space="preserve">scernable difference between indicators for education. </w:t>
            </w:r>
          </w:p>
        </w:tc>
      </w:tr>
      <w:tr w:rsidR="006F599D" w:rsidRPr="00F051D7" w14:paraId="1DC25E95" w14:textId="77777777" w:rsidTr="00501E1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69ABBE89" w14:textId="77777777" w:rsidR="006F599D" w:rsidRPr="00F051D7" w:rsidRDefault="006F599D"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3.1 Employment and livelihoods </w:t>
            </w:r>
          </w:p>
        </w:tc>
        <w:tc>
          <w:tcPr>
            <w:tcW w:w="3933" w:type="pct"/>
            <w:gridSpan w:val="3"/>
          </w:tcPr>
          <w:p w14:paraId="39702183" w14:textId="75BD4155" w:rsidR="006F599D" w:rsidRPr="00F051D7" w:rsidRDefault="006F599D"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Only available indicator was whether IDP household has a breadwinner or not. No assessment of indicator choice.</w:t>
            </w:r>
          </w:p>
        </w:tc>
      </w:tr>
      <w:tr w:rsidR="004659CB" w:rsidRPr="00F051D7" w14:paraId="1601A16E" w14:textId="77777777" w:rsidTr="00A679EA">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44B33240"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3.2 Economic security </w:t>
            </w:r>
          </w:p>
        </w:tc>
        <w:tc>
          <w:tcPr>
            <w:tcW w:w="1625" w:type="pct"/>
          </w:tcPr>
          <w:p w14:paraId="299B9CF7" w14:textId="37BF8F83" w:rsidR="00B51C4E" w:rsidRPr="00F051D7" w:rsidRDefault="00D919E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Number of durable assets</w:t>
            </w:r>
            <w:r w:rsidR="0093068D" w:rsidRPr="00F051D7">
              <w:rPr>
                <w:rFonts w:asciiTheme="majorHAnsi" w:hAnsiTheme="majorHAnsi" w:cstheme="majorHAnsi"/>
                <w:sz w:val="18"/>
                <w:szCs w:val="18"/>
                <w:lang w:eastAsia="en-GB"/>
              </w:rPr>
              <w:t xml:space="preserve"> above average</w:t>
            </w:r>
            <w:r w:rsidRPr="00F051D7">
              <w:rPr>
                <w:rFonts w:asciiTheme="majorHAnsi" w:hAnsiTheme="majorHAnsi" w:cstheme="majorHAnsi"/>
                <w:sz w:val="18"/>
                <w:szCs w:val="18"/>
                <w:lang w:eastAsia="en-GB"/>
              </w:rPr>
              <w:t xml:space="preserve"> (baseline)</w:t>
            </w:r>
          </w:p>
          <w:p w14:paraId="5664BD10" w14:textId="25CF8FCA" w:rsidR="00D919E3" w:rsidRPr="00F051D7" w:rsidRDefault="00D919E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2. Problems paying rent</w:t>
            </w:r>
          </w:p>
          <w:p w14:paraId="51E16FCB" w14:textId="23EAD4CD" w:rsidR="00B51C4E" w:rsidRPr="00F051D7" w:rsidRDefault="00D919E3"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B51C4E" w:rsidRPr="00F051D7">
              <w:rPr>
                <w:rFonts w:asciiTheme="majorHAnsi" w:hAnsiTheme="majorHAnsi" w:cstheme="majorHAnsi"/>
                <w:sz w:val="18"/>
                <w:szCs w:val="18"/>
                <w:lang w:eastAsia="en-GB"/>
              </w:rPr>
              <w:t>Able to cover unexpected expenses</w:t>
            </w:r>
          </w:p>
          <w:p w14:paraId="71CA101E" w14:textId="7ED77244" w:rsidR="00B51C4E" w:rsidRPr="00F051D7" w:rsidRDefault="00B51C4E"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p>
        </w:tc>
        <w:tc>
          <w:tcPr>
            <w:tcW w:w="648" w:type="pct"/>
          </w:tcPr>
          <w:p w14:paraId="6FD935B3" w14:textId="194B6B17" w:rsidR="00301BD4" w:rsidRPr="00F051D7" w:rsidRDefault="00197484"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0.03</w:t>
            </w:r>
            <w:r w:rsidR="00301BD4" w:rsidRPr="00F051D7">
              <w:rPr>
                <w:rFonts w:asciiTheme="majorHAnsi" w:eastAsia="Times New Roman" w:hAnsiTheme="majorHAnsi" w:cstheme="majorHAnsi"/>
                <w:color w:val="000000"/>
                <w:sz w:val="18"/>
                <w:szCs w:val="18"/>
                <w:lang w:eastAsia="en-GB"/>
              </w:rPr>
              <w:t xml:space="preserve"> to </w:t>
            </w:r>
            <w:r w:rsidR="0093068D" w:rsidRPr="00F051D7">
              <w:rPr>
                <w:rFonts w:asciiTheme="majorHAnsi" w:eastAsia="Times New Roman" w:hAnsiTheme="majorHAnsi" w:cstheme="majorHAnsi"/>
                <w:color w:val="000000"/>
                <w:sz w:val="18"/>
                <w:szCs w:val="18"/>
                <w:lang w:eastAsia="en-GB"/>
              </w:rPr>
              <w:t>0.</w:t>
            </w:r>
            <w:r>
              <w:rPr>
                <w:rFonts w:asciiTheme="majorHAnsi" w:eastAsia="Times New Roman" w:hAnsiTheme="majorHAnsi" w:cstheme="majorHAnsi"/>
                <w:color w:val="000000"/>
                <w:sz w:val="18"/>
                <w:szCs w:val="18"/>
                <w:lang w:eastAsia="en-GB"/>
              </w:rPr>
              <w:t>48</w:t>
            </w:r>
            <w:r w:rsidR="0093068D" w:rsidRPr="00F051D7">
              <w:rPr>
                <w:rFonts w:asciiTheme="majorHAnsi" w:eastAsia="Times New Roman" w:hAnsiTheme="majorHAnsi" w:cstheme="majorHAnsi"/>
                <w:color w:val="000000"/>
                <w:sz w:val="18"/>
                <w:szCs w:val="18"/>
                <w:lang w:eastAsia="en-GB"/>
              </w:rPr>
              <w:t xml:space="preserve"> percentage points)</w:t>
            </w:r>
          </w:p>
        </w:tc>
        <w:tc>
          <w:tcPr>
            <w:tcW w:w="1660" w:type="pct"/>
          </w:tcPr>
          <w:p w14:paraId="7AEDF5F5" w14:textId="605253C2" w:rsidR="00B51C4E" w:rsidRPr="00F051D7" w:rsidRDefault="00197484"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Hardly any discernable difference between number of durable assets and </w:t>
            </w:r>
            <w:r w:rsidR="00425775">
              <w:rPr>
                <w:rFonts w:asciiTheme="majorHAnsi" w:eastAsia="Times New Roman" w:hAnsiTheme="majorHAnsi" w:cstheme="majorHAnsi"/>
                <w:color w:val="000000"/>
                <w:sz w:val="18"/>
                <w:szCs w:val="18"/>
                <w:lang w:eastAsia="en-GB"/>
              </w:rPr>
              <w:t xml:space="preserve">ability to cover unexpected expenses. </w:t>
            </w:r>
            <w:r w:rsidR="007B3041" w:rsidRPr="00F051D7">
              <w:rPr>
                <w:rFonts w:asciiTheme="majorHAnsi" w:eastAsia="Times New Roman" w:hAnsiTheme="majorHAnsi" w:cstheme="majorHAnsi"/>
                <w:color w:val="000000"/>
                <w:sz w:val="18"/>
                <w:szCs w:val="18"/>
                <w:lang w:eastAsia="en-GB"/>
              </w:rPr>
              <w:t xml:space="preserve">Some difference </w:t>
            </w:r>
            <w:r w:rsidR="00425775">
              <w:rPr>
                <w:rFonts w:asciiTheme="majorHAnsi" w:eastAsia="Times New Roman" w:hAnsiTheme="majorHAnsi" w:cstheme="majorHAnsi"/>
                <w:color w:val="000000"/>
                <w:sz w:val="18"/>
                <w:szCs w:val="18"/>
                <w:lang w:eastAsia="en-GB"/>
              </w:rPr>
              <w:t xml:space="preserve">when using an indicator for problems paying rent. </w:t>
            </w:r>
            <w:r w:rsidR="00B51C4E" w:rsidRPr="00F051D7">
              <w:rPr>
                <w:rFonts w:asciiTheme="majorHAnsi" w:eastAsia="Times New Roman" w:hAnsiTheme="majorHAnsi" w:cstheme="majorHAnsi"/>
                <w:color w:val="000000"/>
                <w:sz w:val="18"/>
                <w:szCs w:val="18"/>
                <w:lang w:eastAsia="en-GB"/>
              </w:rPr>
              <w:t xml:space="preserve"> </w:t>
            </w:r>
          </w:p>
        </w:tc>
      </w:tr>
      <w:tr w:rsidR="004659CB" w:rsidRPr="00F051D7" w14:paraId="1FE40C49" w14:textId="77777777" w:rsidTr="00A679E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67" w:type="pct"/>
            <w:hideMark/>
          </w:tcPr>
          <w:p w14:paraId="579AC251" w14:textId="6F5CCB81"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4.1 Property restitution an</w:t>
            </w:r>
            <w:r w:rsidR="007D70C6">
              <w:rPr>
                <w:rFonts w:asciiTheme="majorHAnsi" w:eastAsia="Times New Roman" w:hAnsiTheme="majorHAnsi" w:cstheme="majorHAnsi"/>
                <w:color w:val="000000"/>
                <w:sz w:val="18"/>
                <w:szCs w:val="18"/>
                <w:lang w:eastAsia="en-GB"/>
              </w:rPr>
              <w:t>d</w:t>
            </w:r>
            <w:r w:rsidRPr="00F051D7">
              <w:rPr>
                <w:rFonts w:asciiTheme="majorHAnsi" w:eastAsia="Times New Roman" w:hAnsiTheme="majorHAnsi" w:cstheme="majorHAnsi"/>
                <w:color w:val="000000"/>
                <w:sz w:val="18"/>
                <w:szCs w:val="18"/>
                <w:lang w:eastAsia="en-GB"/>
              </w:rPr>
              <w:t xml:space="preserve"> compensation </w:t>
            </w:r>
          </w:p>
        </w:tc>
        <w:tc>
          <w:tcPr>
            <w:tcW w:w="1625" w:type="pct"/>
          </w:tcPr>
          <w:p w14:paraId="682CD5B6" w14:textId="7DFF387E" w:rsidR="00005976" w:rsidRPr="00F051D7" w:rsidRDefault="00005976"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Access to recompensating mechanism for lost HLP (baseline)</w:t>
            </w:r>
          </w:p>
          <w:p w14:paraId="671D7098" w14:textId="329BF555" w:rsidR="00B51C4E" w:rsidRPr="00F051D7" w:rsidRDefault="00005976"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Documentation for HLP</w:t>
            </w:r>
          </w:p>
          <w:p w14:paraId="06459500" w14:textId="4EE7FCDE" w:rsidR="00B51C4E" w:rsidRPr="00F051D7" w:rsidRDefault="00CE58C2" w:rsidP="00B00051">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B51C4E" w:rsidRPr="00F051D7">
              <w:rPr>
                <w:rFonts w:asciiTheme="majorHAnsi" w:hAnsiTheme="majorHAnsi" w:cstheme="majorHAnsi"/>
                <w:sz w:val="18"/>
                <w:szCs w:val="18"/>
                <w:lang w:eastAsia="en-GB"/>
              </w:rPr>
              <w:t>Access to HLP restored</w:t>
            </w:r>
          </w:p>
        </w:tc>
        <w:tc>
          <w:tcPr>
            <w:tcW w:w="648" w:type="pct"/>
          </w:tcPr>
          <w:p w14:paraId="3671CDE2" w14:textId="27B7B155" w:rsidR="00232C2C" w:rsidRPr="00F051D7" w:rsidRDefault="00232C2C"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0.</w:t>
            </w:r>
            <w:r w:rsidR="006247D7">
              <w:rPr>
                <w:rFonts w:asciiTheme="majorHAnsi" w:eastAsia="Times New Roman" w:hAnsiTheme="majorHAnsi" w:cstheme="majorHAnsi"/>
                <w:color w:val="000000"/>
                <w:sz w:val="18"/>
                <w:szCs w:val="18"/>
                <w:lang w:eastAsia="en-GB"/>
              </w:rPr>
              <w:t>72</w:t>
            </w:r>
            <w:r w:rsidRPr="00F051D7">
              <w:rPr>
                <w:rFonts w:asciiTheme="majorHAnsi" w:eastAsia="Times New Roman" w:hAnsiTheme="majorHAnsi" w:cstheme="majorHAnsi"/>
                <w:color w:val="000000"/>
                <w:sz w:val="18"/>
                <w:szCs w:val="18"/>
                <w:lang w:eastAsia="en-GB"/>
              </w:rPr>
              <w:t xml:space="preserve"> to 0.</w:t>
            </w:r>
            <w:r w:rsidR="006247D7">
              <w:rPr>
                <w:rFonts w:asciiTheme="majorHAnsi" w:eastAsia="Times New Roman" w:hAnsiTheme="majorHAnsi" w:cstheme="majorHAnsi"/>
                <w:color w:val="000000"/>
                <w:sz w:val="18"/>
                <w:szCs w:val="18"/>
                <w:lang w:eastAsia="en-GB"/>
              </w:rPr>
              <w:t>74</w:t>
            </w:r>
            <w:r w:rsidR="00F220B7" w:rsidRPr="00F051D7">
              <w:rPr>
                <w:rFonts w:asciiTheme="majorHAnsi" w:eastAsia="Times New Roman" w:hAnsiTheme="majorHAnsi" w:cstheme="majorHAnsi"/>
                <w:color w:val="000000"/>
                <w:sz w:val="18"/>
                <w:szCs w:val="18"/>
                <w:lang w:eastAsia="en-GB"/>
              </w:rPr>
              <w:t xml:space="preserve"> percentage points)</w:t>
            </w:r>
          </w:p>
        </w:tc>
        <w:tc>
          <w:tcPr>
            <w:tcW w:w="1660" w:type="pct"/>
          </w:tcPr>
          <w:p w14:paraId="46F4295F" w14:textId="14FDE1EF" w:rsidR="00B51C4E" w:rsidRPr="00F051D7" w:rsidRDefault="00CE58C2" w:rsidP="00B00051">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Some difference</w:t>
            </w:r>
            <w:r w:rsidR="006247D7">
              <w:rPr>
                <w:rFonts w:asciiTheme="majorHAnsi" w:eastAsia="Times New Roman" w:hAnsiTheme="majorHAnsi" w:cstheme="majorHAnsi"/>
                <w:color w:val="000000"/>
                <w:sz w:val="18"/>
                <w:szCs w:val="18"/>
                <w:lang w:eastAsia="en-GB"/>
              </w:rPr>
              <w:t>s</w:t>
            </w:r>
            <w:r w:rsidR="00B51C4E" w:rsidRPr="00F051D7">
              <w:rPr>
                <w:rFonts w:asciiTheme="majorHAnsi" w:eastAsia="Times New Roman" w:hAnsiTheme="majorHAnsi" w:cstheme="majorHAnsi"/>
                <w:color w:val="000000"/>
                <w:sz w:val="18"/>
                <w:szCs w:val="18"/>
                <w:lang w:eastAsia="en-GB"/>
              </w:rPr>
              <w:t xml:space="preserve"> between </w:t>
            </w:r>
            <w:r w:rsidR="006247D7">
              <w:rPr>
                <w:rFonts w:asciiTheme="majorHAnsi" w:eastAsia="Times New Roman" w:hAnsiTheme="majorHAnsi" w:cstheme="majorHAnsi"/>
                <w:color w:val="000000"/>
                <w:sz w:val="18"/>
                <w:szCs w:val="18"/>
                <w:lang w:eastAsia="en-GB"/>
              </w:rPr>
              <w:t xml:space="preserve">indicators for property restitution and compensation. </w:t>
            </w:r>
            <w:r w:rsidR="00232C2C" w:rsidRPr="00F051D7">
              <w:rPr>
                <w:rFonts w:asciiTheme="majorHAnsi" w:eastAsia="Times New Roman" w:hAnsiTheme="majorHAnsi" w:cstheme="majorHAnsi"/>
                <w:color w:val="000000"/>
                <w:sz w:val="18"/>
                <w:szCs w:val="18"/>
                <w:lang w:eastAsia="en-GB"/>
              </w:rPr>
              <w:t xml:space="preserve"> </w:t>
            </w:r>
          </w:p>
        </w:tc>
      </w:tr>
      <w:tr w:rsidR="004659CB" w:rsidRPr="00F051D7" w14:paraId="2D0B3A7D" w14:textId="77777777" w:rsidTr="00A679EA">
        <w:trPr>
          <w:trHeight w:val="282"/>
        </w:trPr>
        <w:tc>
          <w:tcPr>
            <w:cnfStyle w:val="001000000000" w:firstRow="0" w:lastRow="0" w:firstColumn="1" w:lastColumn="0" w:oddVBand="0" w:evenVBand="0" w:oddHBand="0" w:evenHBand="0" w:firstRowFirstColumn="0" w:firstRowLastColumn="0" w:lastRowFirstColumn="0" w:lastRowLastColumn="0"/>
            <w:tcW w:w="1067" w:type="pct"/>
            <w:hideMark/>
          </w:tcPr>
          <w:p w14:paraId="0AB82025" w14:textId="77777777" w:rsidR="00B51C4E" w:rsidRPr="00F051D7" w:rsidRDefault="00B51C4E" w:rsidP="00B00051">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5.1. Documentation </w:t>
            </w:r>
          </w:p>
        </w:tc>
        <w:tc>
          <w:tcPr>
            <w:tcW w:w="1625" w:type="pct"/>
          </w:tcPr>
          <w:p w14:paraId="08AAC901" w14:textId="4EF50BAC" w:rsidR="002F0AA7" w:rsidRPr="00F051D7" w:rsidRDefault="002F0AA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Possession of birth certificate (baseline) </w:t>
            </w:r>
          </w:p>
          <w:p w14:paraId="54B5D3D4" w14:textId="3DFE7FDD" w:rsidR="00B51C4E" w:rsidRPr="00F051D7" w:rsidRDefault="002F0AA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B51C4E" w:rsidRPr="00F051D7">
              <w:rPr>
                <w:rFonts w:asciiTheme="majorHAnsi" w:hAnsiTheme="majorHAnsi" w:cstheme="majorHAnsi"/>
                <w:sz w:val="18"/>
                <w:szCs w:val="18"/>
                <w:lang w:eastAsia="en-GB"/>
              </w:rPr>
              <w:t>Possession of ID documents</w:t>
            </w:r>
          </w:p>
          <w:p w14:paraId="45D3DA91" w14:textId="5606CF18" w:rsidR="00B51C4E" w:rsidRPr="00F051D7" w:rsidRDefault="002F0AA7" w:rsidP="00B0005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B51C4E" w:rsidRPr="00F051D7">
              <w:rPr>
                <w:rFonts w:asciiTheme="majorHAnsi" w:hAnsiTheme="majorHAnsi" w:cstheme="majorHAnsi"/>
                <w:sz w:val="18"/>
                <w:szCs w:val="18"/>
                <w:lang w:eastAsia="en-GB"/>
              </w:rPr>
              <w:t>Ability to restore ID documents</w:t>
            </w:r>
          </w:p>
        </w:tc>
        <w:tc>
          <w:tcPr>
            <w:tcW w:w="648" w:type="pct"/>
          </w:tcPr>
          <w:p w14:paraId="6B74D02E" w14:textId="29159397" w:rsidR="00B51C4E" w:rsidRPr="00F051D7" w:rsidRDefault="00485704"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-0.06 to </w:t>
            </w:r>
            <w:r w:rsidR="006247D7">
              <w:rPr>
                <w:rFonts w:asciiTheme="majorHAnsi" w:eastAsia="Times New Roman" w:hAnsiTheme="majorHAnsi" w:cstheme="majorHAnsi"/>
                <w:color w:val="000000"/>
                <w:sz w:val="18"/>
                <w:szCs w:val="18"/>
                <w:lang w:eastAsia="en-GB"/>
              </w:rPr>
              <w:t>1.18</w:t>
            </w:r>
            <w:r w:rsidRPr="00F051D7">
              <w:rPr>
                <w:rFonts w:asciiTheme="majorHAnsi" w:eastAsia="Times New Roman" w:hAnsiTheme="majorHAnsi" w:cstheme="majorHAnsi"/>
                <w:color w:val="000000"/>
                <w:sz w:val="18"/>
                <w:szCs w:val="18"/>
                <w:lang w:eastAsia="en-GB"/>
              </w:rPr>
              <w:t xml:space="preserve"> percentage points</w:t>
            </w:r>
          </w:p>
        </w:tc>
        <w:tc>
          <w:tcPr>
            <w:tcW w:w="1660" w:type="pct"/>
          </w:tcPr>
          <w:p w14:paraId="7B6356F0" w14:textId="062B5EE1" w:rsidR="00B51C4E" w:rsidRPr="00F051D7" w:rsidRDefault="00A679EA" w:rsidP="00B00051">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Hardly any difference between possession of birth certificates and ability to restore ID. A </w:t>
            </w:r>
            <w:r w:rsidRPr="001F7E2E">
              <w:rPr>
                <w:rFonts w:asciiTheme="majorHAnsi" w:eastAsia="Times New Roman" w:hAnsiTheme="majorHAnsi" w:cstheme="majorHAnsi"/>
                <w:b/>
                <w:bCs/>
                <w:color w:val="000000"/>
                <w:sz w:val="18"/>
                <w:szCs w:val="18"/>
                <w:lang w:eastAsia="en-GB"/>
              </w:rPr>
              <w:t xml:space="preserve">notable difference when using </w:t>
            </w:r>
            <w:r>
              <w:rPr>
                <w:rFonts w:asciiTheme="majorHAnsi" w:eastAsia="Times New Roman" w:hAnsiTheme="majorHAnsi" w:cstheme="majorHAnsi"/>
                <w:b/>
                <w:bCs/>
                <w:color w:val="000000"/>
                <w:sz w:val="18"/>
                <w:szCs w:val="18"/>
                <w:lang w:eastAsia="en-GB"/>
              </w:rPr>
              <w:t>the possession of any ID document</w:t>
            </w:r>
            <w:r>
              <w:rPr>
                <w:rFonts w:asciiTheme="majorHAnsi" w:eastAsia="Times New Roman" w:hAnsiTheme="majorHAnsi" w:cstheme="majorHAnsi"/>
                <w:color w:val="000000"/>
                <w:sz w:val="18"/>
                <w:szCs w:val="18"/>
                <w:lang w:eastAsia="en-GB"/>
              </w:rPr>
              <w:t xml:space="preserve"> as an overage of 1.8 percentage points more IDPs overcome their vulnerabilities.</w:t>
            </w:r>
          </w:p>
        </w:tc>
      </w:tr>
    </w:tbl>
    <w:p w14:paraId="7558EE74" w14:textId="77777777" w:rsidR="001C6763" w:rsidRDefault="001C6763" w:rsidP="004E626C">
      <w:pPr>
        <w:jc w:val="both"/>
      </w:pPr>
    </w:p>
    <w:p w14:paraId="65459F8B" w14:textId="6DA402AA" w:rsidR="004E626C" w:rsidRDefault="004E626C" w:rsidP="004E626C">
      <w:pPr>
        <w:jc w:val="both"/>
      </w:pPr>
      <w:r>
        <w:t>As the table summarizes, for most of the 10 sub-criteria, the exact indicator choice does not matter</w:t>
      </w:r>
      <w:r w:rsidR="00991FDD">
        <w:t xml:space="preserve"> across the different metrics. There is no discernable difference in the indicators for </w:t>
      </w:r>
      <w:r w:rsidR="007D70C6" w:rsidRPr="00A957F0">
        <w:rPr>
          <w:i/>
          <w:iCs/>
        </w:rPr>
        <w:t>1.1. Victims of violence</w:t>
      </w:r>
      <w:r w:rsidR="007D70C6">
        <w:t xml:space="preserve">, </w:t>
      </w:r>
      <w:r w:rsidR="007D70C6" w:rsidRPr="00A957F0">
        <w:rPr>
          <w:i/>
          <w:iCs/>
        </w:rPr>
        <w:t>2.1. Food security</w:t>
      </w:r>
      <w:r w:rsidR="007D70C6">
        <w:t>,</w:t>
      </w:r>
      <w:r w:rsidR="00A957F0">
        <w:t xml:space="preserve"> and</w:t>
      </w:r>
      <w:r w:rsidR="007D70C6">
        <w:t xml:space="preserve"> </w:t>
      </w:r>
      <w:r w:rsidR="007D70C6" w:rsidRPr="00A957F0">
        <w:rPr>
          <w:i/>
          <w:iCs/>
        </w:rPr>
        <w:t>2.4. Education</w:t>
      </w:r>
      <w:r w:rsidR="00A957F0">
        <w:t xml:space="preserve">. </w:t>
      </w:r>
      <w:r w:rsidR="00B52035">
        <w:t>For</w:t>
      </w:r>
      <w:r w:rsidR="00A957F0">
        <w:t xml:space="preserve"> the sub-</w:t>
      </w:r>
      <w:r w:rsidR="00A957F0" w:rsidRPr="00B52035">
        <w:rPr>
          <w:i/>
          <w:iCs/>
        </w:rPr>
        <w:t>criteria 2.3. Medical services</w:t>
      </w:r>
      <w:r w:rsidR="00A957F0">
        <w:t xml:space="preserve">, </w:t>
      </w:r>
      <w:r w:rsidR="003F0254" w:rsidRPr="00B52035">
        <w:rPr>
          <w:i/>
          <w:iCs/>
        </w:rPr>
        <w:t>3.2. Economic security</w:t>
      </w:r>
      <w:r w:rsidR="003F0254">
        <w:t xml:space="preserve">, and </w:t>
      </w:r>
      <w:r w:rsidR="003F0254" w:rsidRPr="00B52035">
        <w:rPr>
          <w:i/>
          <w:iCs/>
        </w:rPr>
        <w:t>4.1. Property restitution and compensation</w:t>
      </w:r>
      <w:r w:rsidR="003F0254">
        <w:t xml:space="preserve">, there are some differences between the </w:t>
      </w:r>
      <w:r w:rsidR="00003D8A">
        <w:t>choice between one indicator o</w:t>
      </w:r>
      <w:r w:rsidR="00005A76">
        <w:t xml:space="preserve">ver </w:t>
      </w:r>
      <w:r w:rsidR="00003D8A">
        <w:t>the other. However, in substantive terms</w:t>
      </w:r>
      <w:r w:rsidR="00005A76">
        <w:t>,</w:t>
      </w:r>
      <w:r w:rsidR="00003D8A">
        <w:t xml:space="preserve"> the difference between these indicators increases or decreases the exit from the IDP stock by less than 1 percentage points. The difference can hence also be seen as neglectable. </w:t>
      </w:r>
    </w:p>
    <w:p w14:paraId="2E2DEE86" w14:textId="2E048CD0" w:rsidR="00AD1B13" w:rsidRDefault="00D96B48" w:rsidP="004E626C">
      <w:pPr>
        <w:jc w:val="both"/>
      </w:pPr>
      <w:r>
        <w:t xml:space="preserve">For two sub-criteria, the </w:t>
      </w:r>
      <w:r w:rsidR="00FF1ACF">
        <w:t xml:space="preserve">simulations reveal some notable differences between indicators that can increase or decrease the exit from the IDP by more than 1 percentage point. This is the </w:t>
      </w:r>
      <w:r w:rsidR="00FF1ACF">
        <w:lastRenderedPageBreak/>
        <w:t xml:space="preserve">case for </w:t>
      </w:r>
      <w:r w:rsidR="006E70C7" w:rsidRPr="006E70C7">
        <w:rPr>
          <w:i/>
          <w:iCs/>
        </w:rPr>
        <w:t>2.2. Shelter and housing</w:t>
      </w:r>
      <w:r w:rsidR="006E70C7">
        <w:t xml:space="preserve">. When using an indicator of access to water from a tank, </w:t>
      </w:r>
      <w:r w:rsidR="00687A79">
        <w:t xml:space="preserve">1.3 percentage point more IDPs overcome their vulnerabilities as this is a lower threshold than other indicators for shelter and housing. </w:t>
      </w:r>
      <w:r w:rsidR="00B54F39">
        <w:t>For example, when a composite index across all sub</w:t>
      </w:r>
      <w:r w:rsidR="0093782B">
        <w:t xml:space="preserve">-criteria is used, up to 132 more IDPs overcome their vulnerabilities and exit the IDP stock if they only </w:t>
      </w:r>
      <w:r w:rsidR="005E0031">
        <w:t>require</w:t>
      </w:r>
      <w:r w:rsidR="0093782B">
        <w:t xml:space="preserve"> access to water rather than access to </w:t>
      </w:r>
      <w:r w:rsidR="008804B3">
        <w:t xml:space="preserve">adequate and non-crowded housing. </w:t>
      </w:r>
      <w:r w:rsidR="005E0031">
        <w:t>Measuring</w:t>
      </w:r>
      <w:r w:rsidR="004E626C">
        <w:t xml:space="preserve"> whether IDPs </w:t>
      </w:r>
      <w:r w:rsidR="00A411FF">
        <w:t>are in the possession of an ID document is a</w:t>
      </w:r>
      <w:r w:rsidR="005E0031">
        <w:t xml:space="preserve">lso a </w:t>
      </w:r>
      <w:r w:rsidR="00A411FF">
        <w:t xml:space="preserve">more lenient indicator for </w:t>
      </w:r>
      <w:r w:rsidR="00A411FF" w:rsidRPr="00A411FF">
        <w:rPr>
          <w:i/>
          <w:iCs/>
        </w:rPr>
        <w:t>5.1. Documentation</w:t>
      </w:r>
      <w:r w:rsidR="00A411FF">
        <w:t xml:space="preserve"> than the requirement to have a birth certificate or to be able to restore documentation. Using the </w:t>
      </w:r>
      <w:r w:rsidR="00820562">
        <w:t>possession of any ID document can lead to a</w:t>
      </w:r>
      <w:r w:rsidR="0063395C">
        <w:t xml:space="preserve">n </w:t>
      </w:r>
      <w:r w:rsidR="001C6763">
        <w:t>average 1.8</w:t>
      </w:r>
      <w:r w:rsidR="00820562">
        <w:t xml:space="preserve"> percentage point increase in the number of IDPs exiting the stock as opposed to other indicators.</w:t>
      </w:r>
      <w:r w:rsidR="00AD1B13">
        <w:t xml:space="preserve"> In a volatile metric, for example when using one composite index across all sub-criteria, this can lead to</w:t>
      </w:r>
      <w:r w:rsidR="003A341C">
        <w:t xml:space="preserve"> up to</w:t>
      </w:r>
      <w:r w:rsidR="00AD1B13">
        <w:t xml:space="preserve"> </w:t>
      </w:r>
      <w:r w:rsidR="00AD1B13" w:rsidRPr="00AD1B13">
        <w:t xml:space="preserve">1078 </w:t>
      </w:r>
      <w:r w:rsidR="00AD1B13">
        <w:t xml:space="preserve">more IDPs exiting the stock. </w:t>
      </w:r>
    </w:p>
    <w:p w14:paraId="01301872" w14:textId="6DA1B646" w:rsidR="002F6FD9" w:rsidRPr="00DD20D2" w:rsidRDefault="005970FF" w:rsidP="00DD20D2">
      <w:pPr>
        <w:jc w:val="both"/>
      </w:pPr>
      <w:r>
        <w:t xml:space="preserve">To visualize the results of this indicator assessment, figure </w:t>
      </w:r>
      <w:r w:rsidR="00F82827">
        <w:t xml:space="preserve">2 displays the average effect of choosing one indicator over the other </w:t>
      </w:r>
      <w:r w:rsidR="00EC7D7C">
        <w:t xml:space="preserve">averaged across all assessed metric options. To facilitate the interpretation, the </w:t>
      </w:r>
      <w:r w:rsidR="00206D05">
        <w:t>effects indicated in green are hardly discernable from one another, meaning that the indicator choice does not matter</w:t>
      </w:r>
      <w:r w:rsidR="007A2F59">
        <w:t xml:space="preserve"> in practical terms</w:t>
      </w:r>
      <w:r w:rsidR="00206D05">
        <w:t xml:space="preserve">. </w:t>
      </w:r>
      <w:r w:rsidR="00E0328A">
        <w:t>The two cases w</w:t>
      </w:r>
      <w:r w:rsidR="00FD233C">
        <w:t>h</w:t>
      </w:r>
      <w:r w:rsidR="00E0328A">
        <w:t xml:space="preserve">ere the indicator choice may lead to more than one percentage point increase </w:t>
      </w:r>
      <w:r w:rsidR="009D6F43">
        <w:t xml:space="preserve">in the IDP exit are marked in blue. All effects must be understood in relation to a reference </w:t>
      </w:r>
      <w:r w:rsidR="00DD20D2">
        <w:t>indicator</w:t>
      </w:r>
      <w:r w:rsidR="00964B3A">
        <w:t xml:space="preserve"> (see table 4)</w:t>
      </w:r>
      <w:r w:rsidR="00DD20D2">
        <w:t>.</w:t>
      </w:r>
    </w:p>
    <w:p w14:paraId="5E983E3A" w14:textId="66B4BC29" w:rsidR="00E95681" w:rsidRDefault="00685914" w:rsidP="00826F91">
      <w:pPr>
        <w:jc w:val="both"/>
      </w:pPr>
      <w:r>
        <w:rPr>
          <w:noProof/>
        </w:rPr>
        <mc:AlternateContent>
          <mc:Choice Requires="wps">
            <w:drawing>
              <wp:anchor distT="0" distB="0" distL="114300" distR="114300" simplePos="0" relativeHeight="251658242" behindDoc="1" locked="0" layoutInCell="1" allowOverlap="1" wp14:anchorId="1805B077" wp14:editId="338AE179">
                <wp:simplePos x="0" y="0"/>
                <wp:positionH relativeFrom="column">
                  <wp:posOffset>217170</wp:posOffset>
                </wp:positionH>
                <wp:positionV relativeFrom="paragraph">
                  <wp:posOffset>3335020</wp:posOffset>
                </wp:positionV>
                <wp:extent cx="573151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FB6E576" w14:textId="520D7EDF" w:rsidR="003C1804" w:rsidRDefault="003C1804" w:rsidP="005970FF">
                            <w:pPr>
                              <w:pStyle w:val="TabFigSW"/>
                              <w:rPr>
                                <w:noProof/>
                              </w:rPr>
                            </w:pPr>
                            <w:r>
                              <w:t xml:space="preserve">Figure </w:t>
                            </w:r>
                            <w:fldSimple w:instr=" SEQ Figure \* ARABIC ">
                              <w:r w:rsidR="001C6763">
                                <w:rPr>
                                  <w:noProof/>
                                </w:rPr>
                                <w:t>2</w:t>
                              </w:r>
                            </w:fldSimple>
                            <w:r>
                              <w:t>: Average effect of indicator selection across metrics in Hargeisa on percentage of IDPs exiting the 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5B077" id="Text Box 1" o:spid="_x0000_s1027" type="#_x0000_t202" style="position:absolute;left:0;text-align:left;margin-left:17.1pt;margin-top:262.6pt;width:451.3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" stroked="f">
                <v:textbox style="mso-fit-shape-to-text:t" inset="0,0,0,0">
                  <w:txbxContent>
                    <w:p w14:paraId="6FB6E576" w14:textId="520D7EDF" w:rsidR="003C1804" w:rsidRDefault="003C1804" w:rsidP="005970FF">
                      <w:pPr>
                        <w:pStyle w:val="TabFigSW"/>
                        <w:rPr>
                          <w:noProof/>
                        </w:rPr>
                      </w:pPr>
                      <w:r>
                        <w:t xml:space="preserve">Figure </w:t>
                      </w:r>
                      <w:fldSimple w:instr=" SEQ Figure \* ARABIC ">
                        <w:r w:rsidR="001C6763">
                          <w:rPr>
                            <w:noProof/>
                          </w:rPr>
                          <w:t>2</w:t>
                        </w:r>
                      </w:fldSimple>
                      <w:r>
                        <w:t>: Average effect of indicator selection across metrics in Hargeisa on percentage of IDPs exiting the stock</w:t>
                      </w:r>
                    </w:p>
                  </w:txbxContent>
                </v:textbox>
                <w10:wrap type="tight"/>
              </v:shape>
            </w:pict>
          </mc:Fallback>
        </mc:AlternateContent>
      </w:r>
      <w:r>
        <w:rPr>
          <w:noProof/>
        </w:rPr>
        <w:drawing>
          <wp:anchor distT="0" distB="0" distL="114300" distR="114300" simplePos="0" relativeHeight="251658241" behindDoc="1" locked="0" layoutInCell="1" allowOverlap="1" wp14:anchorId="2C75B602" wp14:editId="787A83C4">
            <wp:simplePos x="0" y="0"/>
            <wp:positionH relativeFrom="margin">
              <wp:align>center</wp:align>
            </wp:positionH>
            <wp:positionV relativeFrom="paragraph">
              <wp:posOffset>19050</wp:posOffset>
            </wp:positionV>
            <wp:extent cx="5228590" cy="3266440"/>
            <wp:effectExtent l="19050" t="19050" r="10160"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8590" cy="3266440"/>
                    </a:xfrm>
                    <a:prstGeom prst="rect">
                      <a:avLst/>
                    </a:prstGeom>
                    <a:noFill/>
                    <a:ln w="12700">
                      <a:solidFill>
                        <a:schemeClr val="tx2"/>
                      </a:solidFill>
                    </a:ln>
                  </pic:spPr>
                </pic:pic>
              </a:graphicData>
            </a:graphic>
            <wp14:sizeRelH relativeFrom="margin">
              <wp14:pctWidth>0</wp14:pctWidth>
            </wp14:sizeRelH>
            <wp14:sizeRelV relativeFrom="margin">
              <wp14:pctHeight>0</wp14:pctHeight>
            </wp14:sizeRelV>
          </wp:anchor>
        </w:drawing>
      </w:r>
      <w:r w:rsidR="00917991">
        <w:t xml:space="preserve">Overall, even if there are some differences in these two sub-criteria, and the indicator selection tends to matter more, the </w:t>
      </w:r>
      <w:r w:rsidR="008A1750">
        <w:t>simulations in the context of</w:t>
      </w:r>
      <w:r w:rsidR="00917991">
        <w:t xml:space="preserve"> Hargeisa suggest</w:t>
      </w:r>
      <w:r w:rsidR="008A1750">
        <w:t xml:space="preserve">s </w:t>
      </w:r>
      <w:r w:rsidR="00917991">
        <w:t>that the average effect of choosing one indicator over the other is often neglectable in practice. In this indicator assessment, the most relevant choice was whether to use all kinds of IDs as proof of documentation and whether to use water tanks as indication for safe housing conditions.</w:t>
      </w:r>
    </w:p>
    <w:p w14:paraId="4D3BBA30" w14:textId="0A080A35" w:rsidR="001C75C2" w:rsidRPr="001C75C2" w:rsidRDefault="001C75C2" w:rsidP="00826F91">
      <w:pPr>
        <w:jc w:val="both"/>
        <w:rPr>
          <w:i/>
          <w:iCs/>
        </w:rPr>
      </w:pPr>
      <w:r w:rsidRPr="001C75C2">
        <w:rPr>
          <w:i/>
          <w:iCs/>
        </w:rPr>
        <w:t xml:space="preserve">Importance of </w:t>
      </w:r>
      <w:r w:rsidR="00A804A9">
        <w:rPr>
          <w:i/>
          <w:iCs/>
        </w:rPr>
        <w:t>metric selection</w:t>
      </w:r>
    </w:p>
    <w:p w14:paraId="7BAB6E01" w14:textId="7A7974D1" w:rsidR="00B145D1" w:rsidRDefault="0039532A" w:rsidP="001C6763">
      <w:pPr>
        <w:jc w:val="both"/>
      </w:pPr>
      <w:r>
        <w:t xml:space="preserve">The simulation approach </w:t>
      </w:r>
      <w:r w:rsidR="00DA6702">
        <w:t xml:space="preserve">is also intended to </w:t>
      </w:r>
      <w:r w:rsidR="003549E2">
        <w:t xml:space="preserve">answer a second question that is to what extent the </w:t>
      </w:r>
      <w:r w:rsidR="00BD4FD4">
        <w:t>different metric options differ</w:t>
      </w:r>
      <w:r w:rsidR="00A804A9">
        <w:t xml:space="preserve"> and produce varying estimates of the exit from the IDP stock.</w:t>
      </w:r>
      <w:r w:rsidR="00ED2E8F">
        <w:t xml:space="preserve"> </w:t>
      </w:r>
      <w:r w:rsidR="00656B9F">
        <w:t xml:space="preserve">Table 5 summarizes the key findings related to the range of IDPs that exit the stock across all </w:t>
      </w:r>
      <w:r w:rsidR="00656B9F">
        <w:lastRenderedPageBreak/>
        <w:t>metrics (how much variation there is in results), and how important the choice of</w:t>
      </w:r>
      <w:r w:rsidR="00ED2E8F">
        <w:t xml:space="preserve"> individual</w:t>
      </w:r>
      <w:r w:rsidR="00656B9F">
        <w:t xml:space="preserve"> indicators is in each approach. </w:t>
      </w:r>
      <w:r w:rsidR="00837F51">
        <w:t xml:space="preserve">The table also provides the mean number of IDPs exiting the stock. </w:t>
      </w:r>
      <w:r>
        <w:t>I</w:t>
      </w:r>
      <w:r w:rsidR="00656B9F">
        <w:t xml:space="preserve">t </w:t>
      </w:r>
      <w:r>
        <w:t xml:space="preserve">can be </w:t>
      </w:r>
      <w:r w:rsidR="00637BAA">
        <w:t xml:space="preserve">generally </w:t>
      </w:r>
      <w:r>
        <w:t>said that the choice which indicators are used matters in some metr</w:t>
      </w:r>
      <w:r w:rsidR="00BD0D5F">
        <w:t xml:space="preserve">ics </w:t>
      </w:r>
      <w:r>
        <w:t>more than in others</w:t>
      </w:r>
      <w:r w:rsidR="00837F51">
        <w:t xml:space="preserve"> as some metrics are more volatile than others. </w:t>
      </w:r>
    </w:p>
    <w:p w14:paraId="1F1A6FE4" w14:textId="60E024ED" w:rsidR="00B145D1" w:rsidRPr="00DB3732" w:rsidRDefault="00B145D1" w:rsidP="00457FA6">
      <w:pPr>
        <w:pStyle w:val="TabFigSW"/>
      </w:pPr>
    </w:p>
    <w:p w14:paraId="31A17C1F" w14:textId="3D50CC1D" w:rsidR="000E4E80" w:rsidRDefault="00DB3732" w:rsidP="00457FA6">
      <w:pPr>
        <w:pStyle w:val="TabFigSW"/>
      </w:pPr>
      <w:r>
        <w:t xml:space="preserve">Table </w:t>
      </w:r>
      <w:r>
        <w:fldChar w:fldCharType="begin"/>
      </w:r>
      <w:r>
        <w:instrText>SEQ Table \* ARABIC</w:instrText>
      </w:r>
      <w:r>
        <w:fldChar w:fldCharType="separate"/>
      </w:r>
      <w:r w:rsidR="00A44A6F">
        <w:rPr>
          <w:noProof/>
        </w:rPr>
        <w:t>5</w:t>
      </w:r>
      <w:r>
        <w:fldChar w:fldCharType="end"/>
      </w:r>
      <w:r>
        <w:t xml:space="preserve">: Summary of simulation results for Hargeisa across all </w:t>
      </w:r>
      <w:r w:rsidR="00696818">
        <w:t>metrics</w:t>
      </w:r>
      <w:r w:rsidR="00B02A1A">
        <w:t xml:space="preserve"> </w:t>
      </w:r>
    </w:p>
    <w:p w14:paraId="7A450F64" w14:textId="37D18416" w:rsidR="00DB3732" w:rsidRPr="00531480" w:rsidRDefault="00B02A1A" w:rsidP="00457FA6">
      <w:pPr>
        <w:pStyle w:val="TabFigSW"/>
      </w:pPr>
      <w:r w:rsidRPr="00531480">
        <w:t>(Total sample of IDP</w:t>
      </w:r>
      <w:r w:rsidR="000E4E80" w:rsidRPr="00531480">
        <w:t>s</w:t>
      </w:r>
      <w:r w:rsidRPr="00531480">
        <w:t xml:space="preserve">: </w:t>
      </w:r>
      <w:r w:rsidR="000E4E80" w:rsidRPr="00531480">
        <w:t>4</w:t>
      </w:r>
      <w:r w:rsidR="007B29D0">
        <w:t>,</w:t>
      </w:r>
      <w:r w:rsidR="000E4E80" w:rsidRPr="00531480">
        <w:t>780 households</w:t>
      </w:r>
      <w:r w:rsidRPr="00531480">
        <w:t>)</w:t>
      </w:r>
    </w:p>
    <w:tbl>
      <w:tblPr>
        <w:tblStyle w:val="PlainTable2"/>
        <w:tblW w:w="0" w:type="auto"/>
        <w:tblLayout w:type="fixed"/>
        <w:tblLook w:val="04A0" w:firstRow="1" w:lastRow="0" w:firstColumn="1" w:lastColumn="0" w:noHBand="0" w:noVBand="1"/>
      </w:tblPr>
      <w:tblGrid>
        <w:gridCol w:w="1440"/>
        <w:gridCol w:w="1264"/>
        <w:gridCol w:w="1264"/>
        <w:gridCol w:w="1265"/>
        <w:gridCol w:w="1157"/>
        <w:gridCol w:w="1440"/>
        <w:gridCol w:w="1196"/>
      </w:tblGrid>
      <w:tr w:rsidR="004A3AEE" w:rsidRPr="00703B65" w14:paraId="5F900F0D" w14:textId="7F01DFC9" w:rsidTr="00D52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77C7D21" w14:textId="77777777" w:rsidR="001229E0" w:rsidRPr="00DB3732" w:rsidRDefault="001229E0" w:rsidP="00934FF7">
            <w:pPr>
              <w:rPr>
                <w:color w:val="002F59" w:themeColor="text2"/>
                <w:sz w:val="18"/>
                <w:szCs w:val="18"/>
              </w:rPr>
            </w:pPr>
          </w:p>
        </w:tc>
        <w:tc>
          <w:tcPr>
            <w:tcW w:w="1264" w:type="dxa"/>
          </w:tcPr>
          <w:p w14:paraId="4DD90D7D" w14:textId="2E656E94" w:rsidR="001229E0" w:rsidRPr="00DB3732" w:rsidRDefault="0062258E"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Pass/fail</w:t>
            </w:r>
            <w:r w:rsidR="00FD7EAB">
              <w:rPr>
                <w:color w:val="002F59" w:themeColor="text2"/>
                <w:sz w:val="18"/>
                <w:szCs w:val="18"/>
              </w:rPr>
              <w:t xml:space="preserve"> (no comparison to hosts!)</w:t>
            </w:r>
          </w:p>
        </w:tc>
        <w:tc>
          <w:tcPr>
            <w:tcW w:w="1264" w:type="dxa"/>
          </w:tcPr>
          <w:p w14:paraId="1AE75E96" w14:textId="635BFF10"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1: Composite metric across all criteria</w:t>
            </w:r>
          </w:p>
        </w:tc>
        <w:tc>
          <w:tcPr>
            <w:tcW w:w="1265" w:type="dxa"/>
          </w:tcPr>
          <w:p w14:paraId="392462BB" w14:textId="5B54F887"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2: Composite metric at the criterion level</w:t>
            </w:r>
          </w:p>
        </w:tc>
        <w:tc>
          <w:tcPr>
            <w:tcW w:w="1157" w:type="dxa"/>
          </w:tcPr>
          <w:p w14:paraId="43EC694A" w14:textId="65CF4C93"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3: Composite metric at sub-criterion level</w:t>
            </w:r>
          </w:p>
        </w:tc>
        <w:tc>
          <w:tcPr>
            <w:tcW w:w="1440" w:type="dxa"/>
          </w:tcPr>
          <w:p w14:paraId="604A441E" w14:textId="2E6A4C4C"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4: homogenous cells</w:t>
            </w:r>
          </w:p>
        </w:tc>
        <w:tc>
          <w:tcPr>
            <w:tcW w:w="1196" w:type="dxa"/>
          </w:tcPr>
          <w:p w14:paraId="05F328BF" w14:textId="5787617C" w:rsidR="001229E0" w:rsidRPr="00DB3732" w:rsidRDefault="001229E0" w:rsidP="00934FF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Option 5: regression-based</w:t>
            </w:r>
          </w:p>
        </w:tc>
      </w:tr>
      <w:tr w:rsidR="004A3AEE" w:rsidRPr="00703B65" w14:paraId="1D9A38DA" w14:textId="77777777" w:rsidTr="00D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62414D4" w14:textId="06E2416F" w:rsidR="00EF16AF" w:rsidRPr="00EF16AF" w:rsidRDefault="00D52407" w:rsidP="00934FF7">
            <w:pPr>
              <w:rPr>
                <w:b w:val="0"/>
                <w:bCs w:val="0"/>
                <w:color w:val="002F59" w:themeColor="text2"/>
                <w:sz w:val="18"/>
                <w:szCs w:val="18"/>
              </w:rPr>
            </w:pPr>
            <w:r>
              <w:rPr>
                <w:color w:val="002F59" w:themeColor="text2"/>
                <w:sz w:val="18"/>
                <w:szCs w:val="18"/>
              </w:rPr>
              <w:t>S</w:t>
            </w:r>
            <w:r w:rsidR="00C92264">
              <w:rPr>
                <w:color w:val="002F59" w:themeColor="text2"/>
                <w:sz w:val="18"/>
                <w:szCs w:val="18"/>
              </w:rPr>
              <w:t>imulations/</w:t>
            </w:r>
            <w:r w:rsidR="00EF16AF">
              <w:rPr>
                <w:color w:val="002F59" w:themeColor="text2"/>
                <w:sz w:val="18"/>
                <w:szCs w:val="18"/>
              </w:rPr>
              <w:t xml:space="preserve"> combinations</w:t>
            </w:r>
          </w:p>
        </w:tc>
        <w:tc>
          <w:tcPr>
            <w:tcW w:w="1264" w:type="dxa"/>
          </w:tcPr>
          <w:p w14:paraId="313FC82E" w14:textId="62062CAC" w:rsidR="00C92264" w:rsidRPr="00EF16AF" w:rsidRDefault="00750524"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EF16AF">
              <w:rPr>
                <w:color w:val="000000" w:themeColor="text1"/>
                <w:sz w:val="18"/>
                <w:szCs w:val="18"/>
              </w:rPr>
              <w:t xml:space="preserve">14,580 </w:t>
            </w:r>
          </w:p>
        </w:tc>
        <w:tc>
          <w:tcPr>
            <w:tcW w:w="1264" w:type="dxa"/>
          </w:tcPr>
          <w:p w14:paraId="76EF6B44" w14:textId="3526EB81" w:rsidR="00C92264" w:rsidRPr="00EF16AF" w:rsidRDefault="00F41313"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14,580</w:t>
            </w:r>
          </w:p>
        </w:tc>
        <w:tc>
          <w:tcPr>
            <w:tcW w:w="1265" w:type="dxa"/>
          </w:tcPr>
          <w:p w14:paraId="59F318BF" w14:textId="64B8EB2F" w:rsidR="00C92264" w:rsidRPr="00EF16AF" w:rsidRDefault="00A46367"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14,580</w:t>
            </w:r>
          </w:p>
        </w:tc>
        <w:tc>
          <w:tcPr>
            <w:tcW w:w="1157" w:type="dxa"/>
          </w:tcPr>
          <w:p w14:paraId="5E0939C4" w14:textId="64AD6D9B" w:rsidR="00C92264" w:rsidRPr="00EF16AF" w:rsidRDefault="000D4164"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200</w:t>
            </w:r>
          </w:p>
        </w:tc>
        <w:tc>
          <w:tcPr>
            <w:tcW w:w="1440" w:type="dxa"/>
          </w:tcPr>
          <w:p w14:paraId="22FA0100" w14:textId="746D6A05" w:rsidR="00C92264" w:rsidRPr="00EF16AF" w:rsidRDefault="008F7321"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4</w:t>
            </w:r>
            <w:r w:rsidR="00E76E8E">
              <w:rPr>
                <w:color w:val="000000" w:themeColor="text1"/>
                <w:sz w:val="18"/>
                <w:szCs w:val="18"/>
              </w:rPr>
              <w:t>0</w:t>
            </w:r>
            <w:r>
              <w:rPr>
                <w:color w:val="000000" w:themeColor="text1"/>
                <w:sz w:val="18"/>
                <w:szCs w:val="18"/>
              </w:rPr>
              <w:t>,000</w:t>
            </w:r>
            <w:r w:rsidR="00287CB1">
              <w:rPr>
                <w:rStyle w:val="FootnoteReference"/>
                <w:color w:val="000000" w:themeColor="text1"/>
                <w:sz w:val="18"/>
                <w:szCs w:val="18"/>
              </w:rPr>
              <w:footnoteReference w:id="14"/>
            </w:r>
            <w:r w:rsidR="00170AB8">
              <w:rPr>
                <w:color w:val="000000" w:themeColor="text1"/>
                <w:sz w:val="18"/>
                <w:szCs w:val="18"/>
              </w:rPr>
              <w:t xml:space="preserve"> </w:t>
            </w:r>
          </w:p>
        </w:tc>
        <w:tc>
          <w:tcPr>
            <w:tcW w:w="1196" w:type="dxa"/>
          </w:tcPr>
          <w:p w14:paraId="6C052CF2" w14:textId="62BE2D14" w:rsidR="00C92264" w:rsidRPr="00EF16AF" w:rsidRDefault="00AC1D03" w:rsidP="00934FF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14,580</w:t>
            </w:r>
          </w:p>
        </w:tc>
      </w:tr>
      <w:tr w:rsidR="00431BE1" w:rsidRPr="00703B65" w14:paraId="03024284" w14:textId="77777777" w:rsidTr="00D52407">
        <w:tc>
          <w:tcPr>
            <w:cnfStyle w:val="001000000000" w:firstRow="0" w:lastRow="0" w:firstColumn="1" w:lastColumn="0" w:oddVBand="0" w:evenVBand="0" w:oddHBand="0" w:evenHBand="0" w:firstRowFirstColumn="0" w:firstRowLastColumn="0" w:lastRowFirstColumn="0" w:lastRowLastColumn="0"/>
            <w:tcW w:w="1440" w:type="dxa"/>
          </w:tcPr>
          <w:p w14:paraId="356235A4" w14:textId="2E021272" w:rsidR="00431BE1" w:rsidRDefault="00431BE1" w:rsidP="00431BE1">
            <w:pPr>
              <w:rPr>
                <w:color w:val="002F59" w:themeColor="text2"/>
                <w:sz w:val="18"/>
                <w:szCs w:val="18"/>
              </w:rPr>
            </w:pPr>
            <w:r>
              <w:rPr>
                <w:color w:val="002F59" w:themeColor="text2"/>
                <w:sz w:val="18"/>
                <w:szCs w:val="18"/>
              </w:rPr>
              <w:t>Mean of IDPs exiting the stock</w:t>
            </w:r>
          </w:p>
        </w:tc>
        <w:tc>
          <w:tcPr>
            <w:tcW w:w="1264" w:type="dxa"/>
          </w:tcPr>
          <w:p w14:paraId="13B0B22B" w14:textId="056F37BA" w:rsidR="00431BE1" w:rsidRPr="00EF16AF"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20AD3">
              <w:rPr>
                <w:color w:val="000000" w:themeColor="text1"/>
                <w:sz w:val="18"/>
                <w:szCs w:val="18"/>
              </w:rPr>
              <w:t>24.61</w:t>
            </w:r>
            <w:r>
              <w:rPr>
                <w:color w:val="000000" w:themeColor="text1"/>
                <w:sz w:val="18"/>
                <w:szCs w:val="18"/>
              </w:rPr>
              <w:t xml:space="preserve"> IDPs (0.51% of stock)</w:t>
            </w:r>
          </w:p>
        </w:tc>
        <w:tc>
          <w:tcPr>
            <w:tcW w:w="1264" w:type="dxa"/>
          </w:tcPr>
          <w:p w14:paraId="7CAFCA13" w14:textId="7983E2FD"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20AD3">
              <w:rPr>
                <w:color w:val="000000" w:themeColor="text1"/>
                <w:sz w:val="18"/>
                <w:szCs w:val="18"/>
              </w:rPr>
              <w:t>1324.84</w:t>
            </w:r>
            <w:r>
              <w:rPr>
                <w:color w:val="000000" w:themeColor="text1"/>
                <w:sz w:val="18"/>
                <w:szCs w:val="18"/>
              </w:rPr>
              <w:t xml:space="preserve"> IDPs (27.72% of stock)</w:t>
            </w:r>
          </w:p>
        </w:tc>
        <w:tc>
          <w:tcPr>
            <w:tcW w:w="1265" w:type="dxa"/>
          </w:tcPr>
          <w:p w14:paraId="7EE82C6A" w14:textId="614D06B0"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8D6708">
              <w:rPr>
                <w:color w:val="000000" w:themeColor="text1"/>
                <w:sz w:val="18"/>
                <w:szCs w:val="18"/>
              </w:rPr>
              <w:t>129.23</w:t>
            </w:r>
            <w:r>
              <w:rPr>
                <w:color w:val="000000" w:themeColor="text1"/>
                <w:sz w:val="18"/>
                <w:szCs w:val="18"/>
              </w:rPr>
              <w:t xml:space="preserve"> IDPs (2.7% of stock)</w:t>
            </w:r>
          </w:p>
        </w:tc>
        <w:tc>
          <w:tcPr>
            <w:tcW w:w="1157" w:type="dxa"/>
          </w:tcPr>
          <w:p w14:paraId="2BFCE5E8" w14:textId="6D9BA731"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70380F">
              <w:rPr>
                <w:color w:val="000000" w:themeColor="text1"/>
                <w:sz w:val="18"/>
                <w:szCs w:val="18"/>
              </w:rPr>
              <w:t>0 IDPs (0% of stock)</w:t>
            </w:r>
          </w:p>
        </w:tc>
        <w:tc>
          <w:tcPr>
            <w:tcW w:w="1440" w:type="dxa"/>
          </w:tcPr>
          <w:p w14:paraId="200CB173" w14:textId="546FB391"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88645B">
              <w:rPr>
                <w:color w:val="000000" w:themeColor="text1"/>
                <w:sz w:val="18"/>
                <w:szCs w:val="18"/>
              </w:rPr>
              <w:t>5.34</w:t>
            </w:r>
            <w:r>
              <w:rPr>
                <w:color w:val="000000" w:themeColor="text1"/>
                <w:sz w:val="18"/>
                <w:szCs w:val="18"/>
              </w:rPr>
              <w:t xml:space="preserve"> IDPs (0.11% of stock)</w:t>
            </w:r>
          </w:p>
        </w:tc>
        <w:tc>
          <w:tcPr>
            <w:tcW w:w="1196" w:type="dxa"/>
          </w:tcPr>
          <w:p w14:paraId="22005D26" w14:textId="69B0CABB" w:rsidR="00431BE1" w:rsidRDefault="00431BE1" w:rsidP="00431BE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44F13">
              <w:rPr>
                <w:color w:val="000000" w:themeColor="text1"/>
                <w:sz w:val="18"/>
                <w:szCs w:val="18"/>
              </w:rPr>
              <w:t>1921.43</w:t>
            </w:r>
            <w:r>
              <w:rPr>
                <w:color w:val="000000" w:themeColor="text1"/>
                <w:sz w:val="18"/>
                <w:szCs w:val="18"/>
              </w:rPr>
              <w:t xml:space="preserve"> IDPs (40.2% of stock)</w:t>
            </w:r>
          </w:p>
        </w:tc>
      </w:tr>
      <w:tr w:rsidR="00431BE1" w:rsidRPr="00703B65" w14:paraId="44E65757" w14:textId="43208423" w:rsidTr="00D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D1D7052" w14:textId="72EA981D" w:rsidR="00431BE1" w:rsidRPr="00DB3732" w:rsidRDefault="00431BE1" w:rsidP="00431BE1">
            <w:pPr>
              <w:rPr>
                <w:color w:val="002F59" w:themeColor="text2"/>
                <w:sz w:val="18"/>
                <w:szCs w:val="18"/>
              </w:rPr>
            </w:pPr>
            <w:r w:rsidRPr="00DB3732">
              <w:rPr>
                <w:color w:val="002F59" w:themeColor="text2"/>
                <w:sz w:val="18"/>
                <w:szCs w:val="18"/>
              </w:rPr>
              <w:t>Range of IDPs ex</w:t>
            </w:r>
            <w:r>
              <w:rPr>
                <w:color w:val="002F59" w:themeColor="text2"/>
                <w:sz w:val="18"/>
                <w:szCs w:val="18"/>
              </w:rPr>
              <w:t>i</w:t>
            </w:r>
            <w:r w:rsidRPr="00DB3732">
              <w:rPr>
                <w:color w:val="002F59" w:themeColor="text2"/>
                <w:sz w:val="18"/>
                <w:szCs w:val="18"/>
              </w:rPr>
              <w:t>ting the stock</w:t>
            </w:r>
          </w:p>
        </w:tc>
        <w:tc>
          <w:tcPr>
            <w:tcW w:w="1264" w:type="dxa"/>
          </w:tcPr>
          <w:p w14:paraId="6D6B0501" w14:textId="035FE3EC"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 xml:space="preserve">0 to </w:t>
            </w:r>
            <w:r>
              <w:rPr>
                <w:sz w:val="18"/>
                <w:szCs w:val="18"/>
              </w:rPr>
              <w:t>943</w:t>
            </w:r>
            <w:r w:rsidRPr="00DB3732">
              <w:rPr>
                <w:sz w:val="18"/>
                <w:szCs w:val="18"/>
              </w:rPr>
              <w:t xml:space="preserve"> IDPs</w:t>
            </w:r>
            <w:r>
              <w:rPr>
                <w:sz w:val="18"/>
                <w:szCs w:val="18"/>
              </w:rPr>
              <w:t xml:space="preserve"> (0 to 19.73% of stock)</w:t>
            </w:r>
          </w:p>
        </w:tc>
        <w:tc>
          <w:tcPr>
            <w:tcW w:w="1264" w:type="dxa"/>
          </w:tcPr>
          <w:p w14:paraId="3DABE416" w14:textId="10B77ABA"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w:t>
            </w:r>
            <w:r w:rsidRPr="00DB3732">
              <w:rPr>
                <w:sz w:val="18"/>
                <w:szCs w:val="18"/>
              </w:rPr>
              <w:t xml:space="preserve"> to 2</w:t>
            </w:r>
            <w:r>
              <w:rPr>
                <w:sz w:val="18"/>
                <w:szCs w:val="18"/>
              </w:rPr>
              <w:t>778</w:t>
            </w:r>
            <w:r w:rsidRPr="00DB3732">
              <w:rPr>
                <w:sz w:val="18"/>
                <w:szCs w:val="18"/>
              </w:rPr>
              <w:t xml:space="preserve"> IDPs</w:t>
            </w:r>
            <w:r>
              <w:rPr>
                <w:sz w:val="18"/>
                <w:szCs w:val="18"/>
              </w:rPr>
              <w:t xml:space="preserve"> (0.88 to 58.12% of stock)</w:t>
            </w:r>
          </w:p>
        </w:tc>
        <w:tc>
          <w:tcPr>
            <w:tcW w:w="1265" w:type="dxa"/>
          </w:tcPr>
          <w:p w14:paraId="0659E90D" w14:textId="69EBE891"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0 to 14</w:t>
            </w:r>
            <w:r>
              <w:rPr>
                <w:sz w:val="18"/>
                <w:szCs w:val="18"/>
              </w:rPr>
              <w:t>40</w:t>
            </w:r>
            <w:r w:rsidRPr="00DB3732">
              <w:rPr>
                <w:sz w:val="18"/>
                <w:szCs w:val="18"/>
              </w:rPr>
              <w:t xml:space="preserve"> IDPs</w:t>
            </w:r>
            <w:r>
              <w:rPr>
                <w:sz w:val="18"/>
                <w:szCs w:val="18"/>
              </w:rPr>
              <w:t xml:space="preserve"> (0 to 30.13% of stock)</w:t>
            </w:r>
          </w:p>
        </w:tc>
        <w:tc>
          <w:tcPr>
            <w:tcW w:w="1157" w:type="dxa"/>
          </w:tcPr>
          <w:p w14:paraId="424E4F05" w14:textId="09AE875B"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0 IDPs (0% of stock)</w:t>
            </w:r>
          </w:p>
        </w:tc>
        <w:tc>
          <w:tcPr>
            <w:tcW w:w="1440" w:type="dxa"/>
          </w:tcPr>
          <w:p w14:paraId="06877FC7" w14:textId="0706B029" w:rsidR="00431BE1"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 to 693 IDPs (0 to 14.5% of stock)</w:t>
            </w:r>
          </w:p>
          <w:p w14:paraId="513A4E9A" w14:textId="6CCCC3FC"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p>
        </w:tc>
        <w:tc>
          <w:tcPr>
            <w:tcW w:w="1196" w:type="dxa"/>
          </w:tcPr>
          <w:p w14:paraId="5179FFBE" w14:textId="26A0CE5E" w:rsidR="00431BE1"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 to 4071 IDPs (2.36 to 85.16% of stock)</w:t>
            </w:r>
          </w:p>
        </w:tc>
      </w:tr>
      <w:tr w:rsidR="00431BE1" w:rsidRPr="00703B65" w14:paraId="500D37C8" w14:textId="146ED7B4" w:rsidTr="00D52407">
        <w:tc>
          <w:tcPr>
            <w:cnfStyle w:val="001000000000" w:firstRow="0" w:lastRow="0" w:firstColumn="1" w:lastColumn="0" w:oddVBand="0" w:evenVBand="0" w:oddHBand="0" w:evenHBand="0" w:firstRowFirstColumn="0" w:firstRowLastColumn="0" w:lastRowFirstColumn="0" w:lastRowLastColumn="0"/>
            <w:tcW w:w="1440" w:type="dxa"/>
          </w:tcPr>
          <w:p w14:paraId="74F8FBE2" w14:textId="7F5834DD" w:rsidR="00431BE1" w:rsidRPr="00DB3732" w:rsidRDefault="00431BE1" w:rsidP="00431BE1">
            <w:pPr>
              <w:rPr>
                <w:color w:val="002F59" w:themeColor="text2"/>
                <w:sz w:val="18"/>
                <w:szCs w:val="18"/>
              </w:rPr>
            </w:pPr>
            <w:r w:rsidRPr="00DB3732">
              <w:rPr>
                <w:color w:val="002F59" w:themeColor="text2"/>
                <w:sz w:val="18"/>
                <w:szCs w:val="18"/>
              </w:rPr>
              <w:t xml:space="preserve">Variation in how many IDPs </w:t>
            </w:r>
            <w:r>
              <w:rPr>
                <w:color w:val="002F59" w:themeColor="text2"/>
                <w:sz w:val="18"/>
                <w:szCs w:val="18"/>
              </w:rPr>
              <w:t>exit the stock</w:t>
            </w:r>
          </w:p>
        </w:tc>
        <w:tc>
          <w:tcPr>
            <w:tcW w:w="1264" w:type="dxa"/>
          </w:tcPr>
          <w:p w14:paraId="0EE3F854" w14:textId="2A0504F7"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 xml:space="preserve">Low (SD: </w:t>
            </w:r>
            <w:r>
              <w:rPr>
                <w:sz w:val="18"/>
                <w:szCs w:val="18"/>
              </w:rPr>
              <w:t>76</w:t>
            </w:r>
            <w:r w:rsidRPr="00DB3732">
              <w:rPr>
                <w:sz w:val="18"/>
                <w:szCs w:val="18"/>
              </w:rPr>
              <w:t>)</w:t>
            </w:r>
          </w:p>
        </w:tc>
        <w:tc>
          <w:tcPr>
            <w:tcW w:w="1264" w:type="dxa"/>
          </w:tcPr>
          <w:p w14:paraId="5ABA5F4B" w14:textId="5CF96BDD"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High </w:t>
            </w:r>
            <w:r w:rsidRPr="00DB3732">
              <w:rPr>
                <w:sz w:val="18"/>
                <w:szCs w:val="18"/>
              </w:rPr>
              <w:t>(SD: 6</w:t>
            </w:r>
            <w:r>
              <w:rPr>
                <w:sz w:val="18"/>
                <w:szCs w:val="18"/>
              </w:rPr>
              <w:t>41.02</w:t>
            </w:r>
            <w:r w:rsidRPr="00DB3732">
              <w:rPr>
                <w:sz w:val="18"/>
                <w:szCs w:val="18"/>
              </w:rPr>
              <w:t>)</w:t>
            </w:r>
          </w:p>
        </w:tc>
        <w:tc>
          <w:tcPr>
            <w:tcW w:w="1265" w:type="dxa"/>
          </w:tcPr>
          <w:p w14:paraId="3AE6A39A" w14:textId="5AE2B265"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Middle (SD: 2</w:t>
            </w:r>
            <w:r>
              <w:rPr>
                <w:sz w:val="18"/>
                <w:szCs w:val="18"/>
              </w:rPr>
              <w:t>37.89</w:t>
            </w:r>
            <w:r w:rsidRPr="00DB3732">
              <w:rPr>
                <w:sz w:val="18"/>
                <w:szCs w:val="18"/>
              </w:rPr>
              <w:t>)</w:t>
            </w:r>
          </w:p>
        </w:tc>
        <w:tc>
          <w:tcPr>
            <w:tcW w:w="1157" w:type="dxa"/>
          </w:tcPr>
          <w:p w14:paraId="3D1F1F3D" w14:textId="079448AE"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No variation</w:t>
            </w:r>
          </w:p>
        </w:tc>
        <w:tc>
          <w:tcPr>
            <w:tcW w:w="1440" w:type="dxa"/>
          </w:tcPr>
          <w:p w14:paraId="6DFE4E42" w14:textId="1BE7A457" w:rsidR="00431BE1" w:rsidRPr="00DB3732"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Very low (SD: 27.25)</w:t>
            </w:r>
          </w:p>
        </w:tc>
        <w:tc>
          <w:tcPr>
            <w:tcW w:w="1196" w:type="dxa"/>
          </w:tcPr>
          <w:p w14:paraId="7B55D487" w14:textId="3DE37D78" w:rsidR="00431BE1" w:rsidRDefault="00431BE1" w:rsidP="00431B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Very high (SD: 1311.93)</w:t>
            </w:r>
          </w:p>
        </w:tc>
      </w:tr>
      <w:tr w:rsidR="00431BE1" w:rsidRPr="00703B65" w14:paraId="43B07F6D" w14:textId="145D6514" w:rsidTr="00D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8D11ED3" w14:textId="29ABAF6F" w:rsidR="00431BE1" w:rsidRPr="00DB3732" w:rsidRDefault="00431BE1" w:rsidP="00431BE1">
            <w:pPr>
              <w:rPr>
                <w:color w:val="002F59" w:themeColor="text2"/>
                <w:sz w:val="18"/>
                <w:szCs w:val="18"/>
              </w:rPr>
            </w:pPr>
            <w:r>
              <w:rPr>
                <w:color w:val="002F59" w:themeColor="text2"/>
                <w:sz w:val="18"/>
                <w:szCs w:val="18"/>
              </w:rPr>
              <w:t>Effect of most important indicator</w:t>
            </w:r>
            <w:r w:rsidRPr="00DB3732">
              <w:rPr>
                <w:color w:val="002F59" w:themeColor="text2"/>
                <w:sz w:val="18"/>
                <w:szCs w:val="18"/>
              </w:rPr>
              <w:t xml:space="preserve"> </w:t>
            </w:r>
          </w:p>
        </w:tc>
        <w:tc>
          <w:tcPr>
            <w:tcW w:w="1264" w:type="dxa"/>
          </w:tcPr>
          <w:p w14:paraId="4998482A" w14:textId="35E5DBF5"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Low (</w:t>
            </w:r>
            <w:r>
              <w:rPr>
                <w:sz w:val="18"/>
                <w:szCs w:val="18"/>
              </w:rPr>
              <w:t>choosing between water and other housing indicators increases exit by more than 1.3 percentage points)</w:t>
            </w:r>
            <w:r w:rsidRPr="00DB3732">
              <w:rPr>
                <w:rFonts w:ascii="Segoe UI" w:hAnsi="Segoe UI" w:cs="Segoe UI"/>
                <w:color w:val="000000"/>
                <w:sz w:val="18"/>
                <w:szCs w:val="18"/>
                <w:shd w:val="clear" w:color="auto" w:fill="FFFFFF"/>
              </w:rPr>
              <w:t xml:space="preserve"> </w:t>
            </w:r>
          </w:p>
        </w:tc>
        <w:tc>
          <w:tcPr>
            <w:tcW w:w="1264" w:type="dxa"/>
          </w:tcPr>
          <w:p w14:paraId="72153FFB" w14:textId="63376E99"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High (</w:t>
            </w:r>
            <w:r>
              <w:rPr>
                <w:sz w:val="18"/>
                <w:szCs w:val="18"/>
              </w:rPr>
              <w:t>choosing between HLP document and other property indicators increases exit by more than 22.56 percentage points)</w:t>
            </w:r>
          </w:p>
        </w:tc>
        <w:tc>
          <w:tcPr>
            <w:tcW w:w="1265" w:type="dxa"/>
          </w:tcPr>
          <w:p w14:paraId="34448063" w14:textId="395C808E"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Middle </w:t>
            </w:r>
            <w:r w:rsidRPr="00DB3732">
              <w:rPr>
                <w:sz w:val="18"/>
                <w:szCs w:val="18"/>
              </w:rPr>
              <w:t>(</w:t>
            </w:r>
            <w:r>
              <w:rPr>
                <w:sz w:val="18"/>
                <w:szCs w:val="18"/>
              </w:rPr>
              <w:t>choosing between ID possession and other document indicators increases exit by more than 6.17 percentage points</w:t>
            </w:r>
            <w:r w:rsidRPr="00DB3732">
              <w:rPr>
                <w:sz w:val="18"/>
                <w:szCs w:val="18"/>
              </w:rPr>
              <w:t>)</w:t>
            </w:r>
          </w:p>
        </w:tc>
        <w:tc>
          <w:tcPr>
            <w:tcW w:w="1157" w:type="dxa"/>
          </w:tcPr>
          <w:p w14:paraId="42FE27B6" w14:textId="5EFBFEAF"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t>No differences across simulations</w:t>
            </w:r>
          </w:p>
        </w:tc>
        <w:tc>
          <w:tcPr>
            <w:tcW w:w="1440" w:type="dxa"/>
          </w:tcPr>
          <w:p w14:paraId="2B46517A" w14:textId="54825BB2" w:rsidR="00431BE1" w:rsidRPr="00DB3732"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low (choosing between ID possession and other document indicators increases exit by 0.21 percentage points)</w:t>
            </w:r>
          </w:p>
        </w:tc>
        <w:tc>
          <w:tcPr>
            <w:tcW w:w="1196" w:type="dxa"/>
          </w:tcPr>
          <w:p w14:paraId="5DFB6430" w14:textId="3BD86122" w:rsidR="00431BE1" w:rsidRDefault="00431BE1" w:rsidP="00431B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high (choosing restoration of HLP rights over other property indicators increases exit by 56.15 percentage points)</w:t>
            </w:r>
          </w:p>
        </w:tc>
      </w:tr>
    </w:tbl>
    <w:p w14:paraId="05E1C211" w14:textId="77777777" w:rsidR="00837F51" w:rsidRDefault="00837F51" w:rsidP="006224C1">
      <w:pPr>
        <w:jc w:val="both"/>
      </w:pPr>
    </w:p>
    <w:p w14:paraId="655583CE" w14:textId="0C11F54B" w:rsidR="006224C1" w:rsidRDefault="006224C1" w:rsidP="00ED4E03">
      <w:pPr>
        <w:jc w:val="both"/>
      </w:pPr>
      <w:r>
        <w:t>When using one composite metric across all criteria (all 10 indicators for each sub-criterion are summarized into one index) and when using a regression-based approach, the choice of indicators matters the most</w:t>
      </w:r>
      <w:r w:rsidR="00FD7EAB">
        <w:t xml:space="preserve"> and the metric yields high variation</w:t>
      </w:r>
      <w:r>
        <w:t xml:space="preserve">. In the case of one composite metric, measuring the sub-criterion </w:t>
      </w:r>
      <w:r>
        <w:rPr>
          <w:i/>
          <w:iCs/>
        </w:rPr>
        <w:t>4.1. Property restitution and compensation</w:t>
      </w:r>
      <w:r>
        <w:t xml:space="preserve"> by assessing the documentation and restoration of property rather than the access to compensation mechanisms increases the percentage of IDPs overcoming their vulnerabilities by almost 23 percentage points. In the case of a regression-based assessment whether an IDP household is more likely to be similar to other IDPs vs. the host communities, the same indicator can even increase the percentage of IDPs overcoming their vulnerabilities by almost 57 percentage points. Albeit less strongly, the choice which indicators are used is also more </w:t>
      </w:r>
      <w:r>
        <w:lastRenderedPageBreak/>
        <w:t>severe in the case of a composite metric at the criterion level (as up to 6.</w:t>
      </w:r>
      <w:r w:rsidR="00EF31C6">
        <w:t>17</w:t>
      </w:r>
      <w:r>
        <w:t xml:space="preserve"> percentage point difference can be between different indicators). </w:t>
      </w:r>
      <w:r w:rsidR="00ED4E03">
        <w:t xml:space="preserve">For options 1, 2 and 5, it is hence important to note that these metric options create varying estimates of exits from the stock and are very sensitive to the indicator selection. </w:t>
      </w:r>
    </w:p>
    <w:p w14:paraId="047D23D4" w14:textId="3EF142C9" w:rsidR="00636B41" w:rsidRDefault="006224C1" w:rsidP="003C1804">
      <w:pPr>
        <w:jc w:val="both"/>
      </w:pPr>
      <w:r>
        <w:t>For other metric options</w:t>
      </w:r>
      <w:r w:rsidR="00ED4E03">
        <w:t xml:space="preserve">, </w:t>
      </w:r>
      <w:r>
        <w:t>the importance of choosing the right indicator is very diminished</w:t>
      </w:r>
      <w:r w:rsidR="00ED4E03">
        <w:t xml:space="preserve"> as the </w:t>
      </w:r>
      <w:r w:rsidR="005A58BA">
        <w:t>metrics produce very similar estimates of the exit from IDP stocks across all indicators</w:t>
      </w:r>
      <w:r>
        <w:t xml:space="preserve">. As multiple indicators are combined at the sub-criterion level, option 3 </w:t>
      </w:r>
      <w:r w:rsidR="00AF1EDB">
        <w:t>indicates that none of the IDPs exit the stock</w:t>
      </w:r>
      <w:r>
        <w:t xml:space="preserve">. </w:t>
      </w:r>
      <w:r w:rsidR="00AF1EDB">
        <w:t>The option</w:t>
      </w:r>
      <w:r w:rsidR="00323B83">
        <w:t xml:space="preserve"> performs very similar to a pass/fail scenario in which no comparison with the host community takes place.</w:t>
      </w:r>
      <w:r w:rsidR="006F0CA8">
        <w:t xml:space="preserve"> </w:t>
      </w:r>
      <w:r>
        <w:t xml:space="preserve">When IDPs are divided into subgroups and then compared with the host population, the simulation </w:t>
      </w:r>
      <w:r w:rsidR="00323B83">
        <w:t xml:space="preserve">also </w:t>
      </w:r>
      <w:r>
        <w:t xml:space="preserve">revealed that </w:t>
      </w:r>
      <w:r w:rsidR="00323B83">
        <w:t>very few</w:t>
      </w:r>
      <w:r>
        <w:t xml:space="preserve"> IDP subgroups exit the IDP stock</w:t>
      </w:r>
      <w:r w:rsidR="00AF4546">
        <w:t xml:space="preserve"> (see details in Box </w:t>
      </w:r>
      <w:r w:rsidR="00E15F90">
        <w:t>3</w:t>
      </w:r>
      <w:r w:rsidR="00AF4546">
        <w:t>)</w:t>
      </w:r>
      <w:r>
        <w:t xml:space="preserve">. </w:t>
      </w:r>
    </w:p>
    <w:p w14:paraId="39DD709B" w14:textId="0EC1FE63" w:rsidR="00E15F90" w:rsidRDefault="00E15F90" w:rsidP="00E15F90">
      <w:pPr>
        <w:pStyle w:val="TabFigSW"/>
      </w:pPr>
      <w:r>
        <w:t xml:space="preserve">Box </w:t>
      </w:r>
      <w:r w:rsidR="00160CC2">
        <w:t>3</w:t>
      </w:r>
      <w:r>
        <w:t xml:space="preserve">: Effect of grouping of cells </w:t>
      </w:r>
      <w:r w:rsidR="00E55A48">
        <w:t xml:space="preserve">(option 4) </w:t>
      </w:r>
      <w:r>
        <w:t xml:space="preserve">in Hargeisa </w:t>
      </w:r>
    </w:p>
    <w:tbl>
      <w:tblPr>
        <w:tblStyle w:val="TableGrid"/>
        <w:tblW w:w="9263" w:type="dxa"/>
        <w:tblBorders>
          <w:top w:val="single" w:sz="18" w:space="0" w:color="7ECBFF"/>
          <w:left w:val="single" w:sz="18" w:space="0" w:color="7ECBFF"/>
          <w:bottom w:val="single" w:sz="18" w:space="0" w:color="7ECBFF"/>
          <w:right w:val="single" w:sz="18" w:space="0" w:color="7ECBFF"/>
          <w:insideH w:val="none" w:sz="0" w:space="0" w:color="auto"/>
          <w:insideV w:val="none" w:sz="0" w:space="0" w:color="auto"/>
        </w:tblBorders>
        <w:shd w:val="clear" w:color="auto" w:fill="D4EAFF" w:themeFill="text2" w:themeFillTint="1A"/>
        <w:tblLook w:val="04A0" w:firstRow="1" w:lastRow="0" w:firstColumn="1" w:lastColumn="0" w:noHBand="0" w:noVBand="1"/>
      </w:tblPr>
      <w:tblGrid>
        <w:gridCol w:w="9263"/>
      </w:tblGrid>
      <w:tr w:rsidR="003C1804" w14:paraId="73DEA571" w14:textId="77777777" w:rsidTr="003C1804">
        <w:tc>
          <w:tcPr>
            <w:tcW w:w="9263" w:type="dxa"/>
            <w:shd w:val="clear" w:color="auto" w:fill="D4EAFF" w:themeFill="text2" w:themeFillTint="1A"/>
          </w:tcPr>
          <w:p w14:paraId="2AAFE0CD" w14:textId="70615EC8" w:rsidR="003C1804" w:rsidRPr="007A074C" w:rsidRDefault="00BC27C3" w:rsidP="007A074C">
            <w:pPr>
              <w:jc w:val="both"/>
              <w:rPr>
                <w:sz w:val="18"/>
                <w:szCs w:val="18"/>
              </w:rPr>
            </w:pPr>
            <w:r w:rsidRPr="007A074C">
              <w:rPr>
                <w:b/>
                <w:bCs/>
                <w:color w:val="000000" w:themeColor="text1"/>
                <w:sz w:val="18"/>
                <w:szCs w:val="18"/>
              </w:rPr>
              <w:t>Different g</w:t>
            </w:r>
            <w:r w:rsidR="00A5086E" w:rsidRPr="007A074C">
              <w:rPr>
                <w:b/>
                <w:bCs/>
                <w:color w:val="000000" w:themeColor="text1"/>
                <w:sz w:val="18"/>
                <w:szCs w:val="18"/>
              </w:rPr>
              <w:t>rouping</w:t>
            </w:r>
            <w:r w:rsidRPr="007A074C">
              <w:rPr>
                <w:b/>
                <w:bCs/>
                <w:color w:val="000000" w:themeColor="text1"/>
                <w:sz w:val="18"/>
                <w:szCs w:val="18"/>
              </w:rPr>
              <w:t>s</w:t>
            </w:r>
            <w:r w:rsidR="00A5086E" w:rsidRPr="007A074C">
              <w:rPr>
                <w:b/>
                <w:bCs/>
                <w:color w:val="000000" w:themeColor="text1"/>
                <w:sz w:val="18"/>
                <w:szCs w:val="18"/>
              </w:rPr>
              <w:t xml:space="preserve"> of homogenous cells in Hargeisa </w:t>
            </w:r>
            <w:r w:rsidRPr="007A074C">
              <w:rPr>
                <w:color w:val="000000" w:themeColor="text1"/>
                <w:sz w:val="18"/>
                <w:szCs w:val="18"/>
              </w:rPr>
              <w:t>do not strongly affect the exit from the IDP stock. Further assessments of the homogeneity amongst grouped cells would be necessary to fully conclude whether</w:t>
            </w:r>
            <w:r w:rsidR="0072152C" w:rsidRPr="007A074C">
              <w:rPr>
                <w:color w:val="000000" w:themeColor="text1"/>
                <w:sz w:val="18"/>
                <w:szCs w:val="18"/>
              </w:rPr>
              <w:t xml:space="preserve"> grouping variables have a big impact on a potential solutions measure. </w:t>
            </w:r>
          </w:p>
          <w:tbl>
            <w:tblPr>
              <w:tblStyle w:val="PlainTable2"/>
              <w:tblW w:w="0" w:type="auto"/>
              <w:tblLook w:val="04A0" w:firstRow="1" w:lastRow="0" w:firstColumn="1" w:lastColumn="0" w:noHBand="0" w:noVBand="1"/>
            </w:tblPr>
            <w:tblGrid>
              <w:gridCol w:w="1672"/>
              <w:gridCol w:w="1350"/>
              <w:gridCol w:w="1620"/>
              <w:gridCol w:w="2160"/>
              <w:gridCol w:w="2235"/>
            </w:tblGrid>
            <w:tr w:rsidR="00691741" w:rsidRPr="002F1D8C" w14:paraId="797FF94F" w14:textId="77777777" w:rsidTr="007A0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3F73CBEB" w14:textId="6C54438E" w:rsidR="00691741" w:rsidRPr="002F1D8C" w:rsidRDefault="00691741" w:rsidP="007A074C">
                  <w:pPr>
                    <w:rPr>
                      <w:sz w:val="18"/>
                      <w:szCs w:val="18"/>
                    </w:rPr>
                  </w:pPr>
                  <w:r w:rsidRPr="002F1D8C">
                    <w:rPr>
                      <w:sz w:val="18"/>
                      <w:szCs w:val="18"/>
                    </w:rPr>
                    <w:t>Grouping variable 1</w:t>
                  </w:r>
                </w:p>
              </w:tc>
              <w:tc>
                <w:tcPr>
                  <w:tcW w:w="1350" w:type="dxa"/>
                  <w:shd w:val="clear" w:color="auto" w:fill="B9DCFF"/>
                </w:tcPr>
                <w:p w14:paraId="5862DDEC" w14:textId="1F4D6EE6" w:rsidR="00691741" w:rsidRPr="002F1D8C" w:rsidRDefault="00691741" w:rsidP="007A074C">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Grouping variable 2</w:t>
                  </w:r>
                </w:p>
              </w:tc>
              <w:tc>
                <w:tcPr>
                  <w:tcW w:w="1620" w:type="dxa"/>
                  <w:shd w:val="clear" w:color="auto" w:fill="B9DCFF"/>
                </w:tcPr>
                <w:p w14:paraId="63E8819F" w14:textId="0FFC8B1F" w:rsidR="00691741" w:rsidRPr="002F1D8C" w:rsidRDefault="00691741" w:rsidP="007A074C">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Grouping variable 3</w:t>
                  </w:r>
                </w:p>
              </w:tc>
              <w:tc>
                <w:tcPr>
                  <w:tcW w:w="2160" w:type="dxa"/>
                  <w:shd w:val="clear" w:color="auto" w:fill="B9DCFF"/>
                </w:tcPr>
                <w:p w14:paraId="69C19743" w14:textId="2CF78EC2" w:rsidR="00691741" w:rsidRPr="002F1D8C" w:rsidRDefault="00691741" w:rsidP="007A074C">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Average number of IDPs exiting the stock</w:t>
                  </w:r>
                </w:p>
              </w:tc>
              <w:tc>
                <w:tcPr>
                  <w:tcW w:w="2235" w:type="dxa"/>
                  <w:shd w:val="clear" w:color="auto" w:fill="B9DCFF"/>
                </w:tcPr>
                <w:p w14:paraId="42D4D1C3" w14:textId="333786D5" w:rsidR="00691741" w:rsidRPr="002F1D8C" w:rsidRDefault="00691741" w:rsidP="007A074C">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Average percentage of IDPs exiting the stock</w:t>
                  </w:r>
                </w:p>
              </w:tc>
            </w:tr>
            <w:tr w:rsidR="00691741" w:rsidRPr="002F1D8C" w14:paraId="64E1E7D4"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2F3375FB" w14:textId="2A9A762B" w:rsidR="00691741" w:rsidRPr="007A074C" w:rsidRDefault="0019571A"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6441ED4E" w14:textId="4BC74901" w:rsidR="00691741" w:rsidRPr="002F1D8C" w:rsidRDefault="0019571A"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Clan</w:t>
                  </w:r>
                </w:p>
              </w:tc>
              <w:tc>
                <w:tcPr>
                  <w:tcW w:w="1620" w:type="dxa"/>
                  <w:shd w:val="clear" w:color="auto" w:fill="B9DCFF"/>
                </w:tcPr>
                <w:p w14:paraId="5039C258" w14:textId="43714FF5" w:rsidR="00691741" w:rsidRPr="002F1D8C" w:rsidRDefault="0019571A"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Departure period</w:t>
                  </w:r>
                </w:p>
              </w:tc>
              <w:tc>
                <w:tcPr>
                  <w:tcW w:w="2160" w:type="dxa"/>
                </w:tcPr>
                <w:p w14:paraId="52E19138" w14:textId="7DC9AAD5" w:rsidR="00691741" w:rsidRPr="002F1D8C" w:rsidRDefault="00925444"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2.17</w:t>
                  </w:r>
                </w:p>
              </w:tc>
              <w:tc>
                <w:tcPr>
                  <w:tcW w:w="2235" w:type="dxa"/>
                </w:tcPr>
                <w:p w14:paraId="328CF6B9" w14:textId="11BA3C7F" w:rsidR="00691741" w:rsidRPr="002F1D8C" w:rsidRDefault="00F2622E"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0.0</w:t>
                  </w:r>
                  <w:r w:rsidR="000F054A" w:rsidRPr="002F1D8C">
                    <w:rPr>
                      <w:sz w:val="18"/>
                      <w:szCs w:val="18"/>
                    </w:rPr>
                    <w:t>5</w:t>
                  </w:r>
                </w:p>
              </w:tc>
            </w:tr>
            <w:tr w:rsidR="00691741" w:rsidRPr="002F1D8C" w14:paraId="0C63AC20"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304A4942" w14:textId="6C578AE7" w:rsidR="00691741"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2CE92BD0" w14:textId="5EF4AC6B" w:rsidR="00691741" w:rsidRPr="002F1D8C" w:rsidRDefault="00860E4B"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Gender</w:t>
                  </w:r>
                </w:p>
              </w:tc>
              <w:tc>
                <w:tcPr>
                  <w:tcW w:w="1620" w:type="dxa"/>
                  <w:shd w:val="clear" w:color="auto" w:fill="B9DCFF"/>
                </w:tcPr>
                <w:p w14:paraId="0842A54E" w14:textId="371D9B17" w:rsidR="00691741" w:rsidRPr="002F1D8C" w:rsidRDefault="00860E4B"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Clan</w:t>
                  </w:r>
                </w:p>
              </w:tc>
              <w:tc>
                <w:tcPr>
                  <w:tcW w:w="2160" w:type="dxa"/>
                </w:tcPr>
                <w:p w14:paraId="7FCC5389" w14:textId="4D151852" w:rsidR="00691741" w:rsidRPr="002F1D8C" w:rsidRDefault="000F054A"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5.2</w:t>
                  </w:r>
                </w:p>
              </w:tc>
              <w:tc>
                <w:tcPr>
                  <w:tcW w:w="2235" w:type="dxa"/>
                </w:tcPr>
                <w:p w14:paraId="5CADA36E" w14:textId="30AF92DA" w:rsidR="00691741" w:rsidRPr="002F1D8C" w:rsidRDefault="00F2622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0F054A" w:rsidRPr="002F1D8C">
                    <w:rPr>
                      <w:sz w:val="18"/>
                      <w:szCs w:val="18"/>
                    </w:rPr>
                    <w:t>11</w:t>
                  </w:r>
                </w:p>
              </w:tc>
            </w:tr>
            <w:tr w:rsidR="00860E4B" w:rsidRPr="002F1D8C" w14:paraId="37DFDDB4"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4A811C4B" w14:textId="45C60711" w:rsidR="00860E4B"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562748C7" w14:textId="5D18375E" w:rsidR="00860E4B" w:rsidRPr="002F1D8C" w:rsidRDefault="00860E4B"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 xml:space="preserve">Gender </w:t>
                  </w:r>
                </w:p>
              </w:tc>
              <w:tc>
                <w:tcPr>
                  <w:tcW w:w="1620" w:type="dxa"/>
                  <w:shd w:val="clear" w:color="auto" w:fill="B9DCFF"/>
                </w:tcPr>
                <w:p w14:paraId="3C1FEAD6" w14:textId="042BCEF4" w:rsidR="00860E4B" w:rsidRPr="002F1D8C" w:rsidRDefault="00860E4B"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Departure period</w:t>
                  </w:r>
                </w:p>
              </w:tc>
              <w:tc>
                <w:tcPr>
                  <w:tcW w:w="2160" w:type="dxa"/>
                </w:tcPr>
                <w:p w14:paraId="2F80E6D7" w14:textId="744FD90C" w:rsidR="00860E4B" w:rsidRPr="002F1D8C" w:rsidRDefault="000F054A"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p>
              </w:tc>
              <w:tc>
                <w:tcPr>
                  <w:tcW w:w="2235" w:type="dxa"/>
                </w:tcPr>
                <w:p w14:paraId="7F248A70" w14:textId="3646A083" w:rsidR="00860E4B" w:rsidRPr="002F1D8C" w:rsidRDefault="000F054A"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p>
              </w:tc>
            </w:tr>
            <w:tr w:rsidR="00860E4B" w:rsidRPr="002F1D8C" w14:paraId="7AFEC6C8"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7220604E" w14:textId="2DDDD721" w:rsidR="00860E4B"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5F1B8BAB" w14:textId="09898131" w:rsidR="00860E4B" w:rsidRPr="002F1D8C" w:rsidRDefault="00860E4B"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 xml:space="preserve">Gender </w:t>
                  </w:r>
                </w:p>
              </w:tc>
              <w:tc>
                <w:tcPr>
                  <w:tcW w:w="1620" w:type="dxa"/>
                  <w:shd w:val="clear" w:color="auto" w:fill="B9DCFF"/>
                </w:tcPr>
                <w:p w14:paraId="3EC9F85C" w14:textId="074E9221" w:rsidR="00860E4B" w:rsidRPr="002F1D8C" w:rsidRDefault="00860E4B"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Origin district</w:t>
                  </w:r>
                </w:p>
              </w:tc>
              <w:tc>
                <w:tcPr>
                  <w:tcW w:w="2160" w:type="dxa"/>
                </w:tcPr>
                <w:p w14:paraId="6549C812" w14:textId="7B7FAE5E" w:rsidR="00860E4B" w:rsidRPr="002F1D8C" w:rsidRDefault="000F054A"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5.87</w:t>
                  </w:r>
                </w:p>
              </w:tc>
              <w:tc>
                <w:tcPr>
                  <w:tcW w:w="2235" w:type="dxa"/>
                </w:tcPr>
                <w:p w14:paraId="5A8D54E5" w14:textId="1AE87EAE" w:rsidR="00860E4B" w:rsidRPr="002F1D8C" w:rsidRDefault="007437E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0.12</w:t>
                  </w:r>
                </w:p>
              </w:tc>
            </w:tr>
            <w:tr w:rsidR="00860E4B" w:rsidRPr="002F1D8C" w14:paraId="1FC1897F"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5B66483A" w14:textId="4BDD2386" w:rsidR="00860E4B"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7DEDCE7B" w14:textId="10AA4606" w:rsidR="00860E4B" w:rsidRPr="002F1D8C" w:rsidRDefault="00860E4B"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Origin district</w:t>
                  </w:r>
                </w:p>
              </w:tc>
              <w:tc>
                <w:tcPr>
                  <w:tcW w:w="1620" w:type="dxa"/>
                  <w:shd w:val="clear" w:color="auto" w:fill="B9DCFF"/>
                </w:tcPr>
                <w:p w14:paraId="271736BA" w14:textId="6A09726F" w:rsidR="00860E4B" w:rsidRPr="002F1D8C" w:rsidRDefault="00860E4B"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Clan</w:t>
                  </w:r>
                </w:p>
              </w:tc>
              <w:tc>
                <w:tcPr>
                  <w:tcW w:w="2160" w:type="dxa"/>
                </w:tcPr>
                <w:p w14:paraId="409B42BB" w14:textId="20884165" w:rsidR="00860E4B" w:rsidRPr="002F1D8C" w:rsidRDefault="007437EE"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10.66</w:t>
                  </w:r>
                </w:p>
              </w:tc>
              <w:tc>
                <w:tcPr>
                  <w:tcW w:w="2235" w:type="dxa"/>
                </w:tcPr>
                <w:p w14:paraId="1F5BCC83" w14:textId="39C1F786" w:rsidR="00860E4B" w:rsidRPr="002F1D8C" w:rsidRDefault="007437EE"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0.22</w:t>
                  </w:r>
                </w:p>
              </w:tc>
            </w:tr>
            <w:tr w:rsidR="00860E4B" w:rsidRPr="002F1D8C" w14:paraId="7D8E6E2D"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034EFDE5" w14:textId="22094EA6" w:rsidR="00860E4B" w:rsidRPr="007A074C" w:rsidRDefault="00860E4B" w:rsidP="003C1804">
                  <w:pPr>
                    <w:jc w:val="both"/>
                    <w:rPr>
                      <w:b w:val="0"/>
                      <w:bCs w:val="0"/>
                      <w:sz w:val="18"/>
                      <w:szCs w:val="18"/>
                    </w:rPr>
                  </w:pPr>
                  <w:r w:rsidRPr="007A074C">
                    <w:rPr>
                      <w:b w:val="0"/>
                      <w:bCs w:val="0"/>
                      <w:sz w:val="18"/>
                      <w:szCs w:val="18"/>
                    </w:rPr>
                    <w:t>Region of origin</w:t>
                  </w:r>
                </w:p>
              </w:tc>
              <w:tc>
                <w:tcPr>
                  <w:tcW w:w="1350" w:type="dxa"/>
                  <w:shd w:val="clear" w:color="auto" w:fill="B9DCFF"/>
                </w:tcPr>
                <w:p w14:paraId="086EE820" w14:textId="48660CC8" w:rsidR="00860E4B" w:rsidRPr="002F1D8C" w:rsidRDefault="00BD1EF1"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Origin district</w:t>
                  </w:r>
                </w:p>
              </w:tc>
              <w:tc>
                <w:tcPr>
                  <w:tcW w:w="1620" w:type="dxa"/>
                  <w:shd w:val="clear" w:color="auto" w:fill="B9DCFF"/>
                </w:tcPr>
                <w:p w14:paraId="21CBD45E" w14:textId="0F420E36" w:rsidR="00860E4B" w:rsidRPr="002F1D8C" w:rsidRDefault="00BD1EF1"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Departure period</w:t>
                  </w:r>
                </w:p>
              </w:tc>
              <w:tc>
                <w:tcPr>
                  <w:tcW w:w="2160" w:type="dxa"/>
                </w:tcPr>
                <w:p w14:paraId="239EE239" w14:textId="291BCB4C" w:rsidR="00860E4B" w:rsidRPr="002F1D8C" w:rsidRDefault="007437E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3.95</w:t>
                  </w:r>
                </w:p>
              </w:tc>
              <w:tc>
                <w:tcPr>
                  <w:tcW w:w="2235" w:type="dxa"/>
                </w:tcPr>
                <w:p w14:paraId="21596543" w14:textId="26D2B5A5" w:rsidR="00860E4B" w:rsidRPr="002F1D8C" w:rsidRDefault="007437E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0.08</w:t>
                  </w:r>
                </w:p>
              </w:tc>
            </w:tr>
            <w:tr w:rsidR="00BD1EF1" w:rsidRPr="002F1D8C" w14:paraId="71D9BC66"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2C1085DF" w14:textId="7FB170BB" w:rsidR="00BD1EF1" w:rsidRPr="007A074C" w:rsidRDefault="00BD1EF1" w:rsidP="003C1804">
                  <w:pPr>
                    <w:jc w:val="both"/>
                    <w:rPr>
                      <w:b w:val="0"/>
                      <w:bCs w:val="0"/>
                      <w:sz w:val="18"/>
                      <w:szCs w:val="18"/>
                    </w:rPr>
                  </w:pPr>
                  <w:r w:rsidRPr="007A074C">
                    <w:rPr>
                      <w:b w:val="0"/>
                      <w:bCs w:val="0"/>
                      <w:sz w:val="18"/>
                      <w:szCs w:val="18"/>
                    </w:rPr>
                    <w:t>Gender</w:t>
                  </w:r>
                </w:p>
              </w:tc>
              <w:tc>
                <w:tcPr>
                  <w:tcW w:w="1350" w:type="dxa"/>
                  <w:shd w:val="clear" w:color="auto" w:fill="B9DCFF"/>
                </w:tcPr>
                <w:p w14:paraId="10EC8692" w14:textId="521188BD" w:rsidR="00BD1EF1" w:rsidRPr="002F1D8C" w:rsidRDefault="00BD1EF1"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Clan</w:t>
                  </w:r>
                </w:p>
              </w:tc>
              <w:tc>
                <w:tcPr>
                  <w:tcW w:w="1620" w:type="dxa"/>
                  <w:shd w:val="clear" w:color="auto" w:fill="B9DCFF"/>
                </w:tcPr>
                <w:p w14:paraId="5CF33840" w14:textId="03F8CBA0" w:rsidR="00BD1EF1" w:rsidRPr="002F1D8C" w:rsidRDefault="00BD1EF1"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Departure period</w:t>
                  </w:r>
                </w:p>
              </w:tc>
              <w:tc>
                <w:tcPr>
                  <w:tcW w:w="2160" w:type="dxa"/>
                </w:tcPr>
                <w:p w14:paraId="79C1C557" w14:textId="52CA5CEE" w:rsidR="00BD1EF1" w:rsidRPr="002F1D8C" w:rsidRDefault="00D9665D"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0.86</w:t>
                  </w:r>
                </w:p>
              </w:tc>
              <w:tc>
                <w:tcPr>
                  <w:tcW w:w="2235" w:type="dxa"/>
                </w:tcPr>
                <w:p w14:paraId="19BC8F7F" w14:textId="40160E9C" w:rsidR="00BD1EF1" w:rsidRPr="002F1D8C" w:rsidRDefault="00D9665D"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0.02</w:t>
                  </w:r>
                </w:p>
              </w:tc>
            </w:tr>
            <w:tr w:rsidR="00BD1EF1" w:rsidRPr="002F1D8C" w14:paraId="45FD4726"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20A6BC5C" w14:textId="77A84F21" w:rsidR="00BD1EF1" w:rsidRPr="007A074C" w:rsidRDefault="00925444" w:rsidP="003C1804">
                  <w:pPr>
                    <w:jc w:val="both"/>
                    <w:rPr>
                      <w:b w:val="0"/>
                      <w:bCs w:val="0"/>
                      <w:sz w:val="18"/>
                      <w:szCs w:val="18"/>
                    </w:rPr>
                  </w:pPr>
                  <w:r w:rsidRPr="007A074C">
                    <w:rPr>
                      <w:b w:val="0"/>
                      <w:bCs w:val="0"/>
                      <w:sz w:val="18"/>
                      <w:szCs w:val="18"/>
                    </w:rPr>
                    <w:t>Gender</w:t>
                  </w:r>
                </w:p>
              </w:tc>
              <w:tc>
                <w:tcPr>
                  <w:tcW w:w="1350" w:type="dxa"/>
                  <w:shd w:val="clear" w:color="auto" w:fill="B9DCFF"/>
                </w:tcPr>
                <w:p w14:paraId="3794DC88" w14:textId="76F5DFA5" w:rsidR="00BD1EF1" w:rsidRPr="002F1D8C" w:rsidRDefault="00925444"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Origin district</w:t>
                  </w:r>
                </w:p>
              </w:tc>
              <w:tc>
                <w:tcPr>
                  <w:tcW w:w="1620" w:type="dxa"/>
                  <w:shd w:val="clear" w:color="auto" w:fill="B9DCFF"/>
                </w:tcPr>
                <w:p w14:paraId="64DD0F57" w14:textId="5B005269" w:rsidR="00BD1EF1" w:rsidRPr="002F1D8C" w:rsidRDefault="00925444"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Clan</w:t>
                  </w:r>
                </w:p>
              </w:tc>
              <w:tc>
                <w:tcPr>
                  <w:tcW w:w="2160" w:type="dxa"/>
                </w:tcPr>
                <w:p w14:paraId="0FA276D1" w14:textId="68D6ED6B" w:rsidR="00BD1EF1" w:rsidRPr="002F1D8C" w:rsidRDefault="00D9665D"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7.27</w:t>
                  </w:r>
                </w:p>
              </w:tc>
              <w:tc>
                <w:tcPr>
                  <w:tcW w:w="2235" w:type="dxa"/>
                </w:tcPr>
                <w:p w14:paraId="66B4ED37" w14:textId="00ADCC8A" w:rsidR="00BD1EF1" w:rsidRPr="002F1D8C" w:rsidRDefault="00D9665D"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0.15</w:t>
                  </w:r>
                </w:p>
              </w:tc>
            </w:tr>
            <w:tr w:rsidR="00925444" w:rsidRPr="002F1D8C" w14:paraId="65168520" w14:textId="77777777" w:rsidTr="007A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55512549" w14:textId="408D7B76" w:rsidR="00925444" w:rsidRPr="007A074C" w:rsidRDefault="00925444" w:rsidP="003C1804">
                  <w:pPr>
                    <w:jc w:val="both"/>
                    <w:rPr>
                      <w:b w:val="0"/>
                      <w:bCs w:val="0"/>
                      <w:sz w:val="18"/>
                      <w:szCs w:val="18"/>
                    </w:rPr>
                  </w:pPr>
                  <w:r w:rsidRPr="007A074C">
                    <w:rPr>
                      <w:b w:val="0"/>
                      <w:bCs w:val="0"/>
                      <w:sz w:val="18"/>
                      <w:szCs w:val="18"/>
                    </w:rPr>
                    <w:t>Gender</w:t>
                  </w:r>
                </w:p>
              </w:tc>
              <w:tc>
                <w:tcPr>
                  <w:tcW w:w="1350" w:type="dxa"/>
                  <w:shd w:val="clear" w:color="auto" w:fill="B9DCFF"/>
                </w:tcPr>
                <w:p w14:paraId="2510463A" w14:textId="6FC654F2" w:rsidR="00925444" w:rsidRPr="002F1D8C" w:rsidRDefault="00925444"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Origin district</w:t>
                  </w:r>
                </w:p>
              </w:tc>
              <w:tc>
                <w:tcPr>
                  <w:tcW w:w="1620" w:type="dxa"/>
                  <w:shd w:val="clear" w:color="auto" w:fill="B9DCFF"/>
                </w:tcPr>
                <w:p w14:paraId="7C62D757" w14:textId="64F3A92B" w:rsidR="00925444" w:rsidRPr="002F1D8C" w:rsidRDefault="00925444" w:rsidP="003C1804">
                  <w:pPr>
                    <w:jc w:val="both"/>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Departure period</w:t>
                  </w:r>
                </w:p>
              </w:tc>
              <w:tc>
                <w:tcPr>
                  <w:tcW w:w="2160" w:type="dxa"/>
                </w:tcPr>
                <w:p w14:paraId="76EC0E40" w14:textId="0D5DE17A" w:rsidR="00925444" w:rsidRPr="002F1D8C" w:rsidRDefault="00FA2BF4"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6.54</w:t>
                  </w:r>
                </w:p>
              </w:tc>
              <w:tc>
                <w:tcPr>
                  <w:tcW w:w="2235" w:type="dxa"/>
                </w:tcPr>
                <w:p w14:paraId="58EBB1F2" w14:textId="3E705633" w:rsidR="00925444" w:rsidRPr="002F1D8C" w:rsidRDefault="00FA2BF4" w:rsidP="001F2D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0.14</w:t>
                  </w:r>
                </w:p>
              </w:tc>
            </w:tr>
            <w:tr w:rsidR="00925444" w:rsidRPr="002F1D8C" w14:paraId="229FBC63" w14:textId="77777777" w:rsidTr="007A074C">
              <w:tc>
                <w:tcPr>
                  <w:cnfStyle w:val="001000000000" w:firstRow="0" w:lastRow="0" w:firstColumn="1" w:lastColumn="0" w:oddVBand="0" w:evenVBand="0" w:oddHBand="0" w:evenHBand="0" w:firstRowFirstColumn="0" w:firstRowLastColumn="0" w:lastRowFirstColumn="0" w:lastRowLastColumn="0"/>
                  <w:tcW w:w="1672" w:type="dxa"/>
                  <w:shd w:val="clear" w:color="auto" w:fill="B9DCFF"/>
                </w:tcPr>
                <w:p w14:paraId="503D639E" w14:textId="1B1A88E8" w:rsidR="00925444" w:rsidRPr="007A074C" w:rsidRDefault="00925444" w:rsidP="003C1804">
                  <w:pPr>
                    <w:jc w:val="both"/>
                    <w:rPr>
                      <w:b w:val="0"/>
                      <w:bCs w:val="0"/>
                      <w:sz w:val="18"/>
                      <w:szCs w:val="18"/>
                    </w:rPr>
                  </w:pPr>
                  <w:r w:rsidRPr="007A074C">
                    <w:rPr>
                      <w:b w:val="0"/>
                      <w:bCs w:val="0"/>
                      <w:sz w:val="18"/>
                      <w:szCs w:val="18"/>
                    </w:rPr>
                    <w:t>Origin district</w:t>
                  </w:r>
                </w:p>
              </w:tc>
              <w:tc>
                <w:tcPr>
                  <w:tcW w:w="1350" w:type="dxa"/>
                  <w:shd w:val="clear" w:color="auto" w:fill="B9DCFF"/>
                </w:tcPr>
                <w:p w14:paraId="5E23764B" w14:textId="5A493668" w:rsidR="00925444" w:rsidRPr="002F1D8C" w:rsidRDefault="00925444"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Clan</w:t>
                  </w:r>
                </w:p>
              </w:tc>
              <w:tc>
                <w:tcPr>
                  <w:tcW w:w="1620" w:type="dxa"/>
                  <w:shd w:val="clear" w:color="auto" w:fill="B9DCFF"/>
                </w:tcPr>
                <w:p w14:paraId="117E098B" w14:textId="04261C89" w:rsidR="00925444" w:rsidRPr="002F1D8C" w:rsidRDefault="00925444" w:rsidP="003C1804">
                  <w:pPr>
                    <w:jc w:val="both"/>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Departure period</w:t>
                  </w:r>
                </w:p>
              </w:tc>
              <w:tc>
                <w:tcPr>
                  <w:tcW w:w="2160" w:type="dxa"/>
                </w:tcPr>
                <w:p w14:paraId="2B40DB5C" w14:textId="18BD8F56" w:rsidR="00925444" w:rsidRPr="002F1D8C" w:rsidRDefault="00FA2BF4"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10.89</w:t>
                  </w:r>
                </w:p>
              </w:tc>
              <w:tc>
                <w:tcPr>
                  <w:tcW w:w="2235" w:type="dxa"/>
                </w:tcPr>
                <w:p w14:paraId="722C254C" w14:textId="6F0F24CF" w:rsidR="00925444" w:rsidRPr="002F1D8C" w:rsidRDefault="00A5086E" w:rsidP="001F2D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0.23</w:t>
                  </w:r>
                </w:p>
              </w:tc>
            </w:tr>
          </w:tbl>
          <w:p w14:paraId="73969BA9" w14:textId="4895822D" w:rsidR="003C1804" w:rsidRDefault="003C1804" w:rsidP="003C1804">
            <w:pPr>
              <w:jc w:val="both"/>
            </w:pPr>
          </w:p>
        </w:tc>
      </w:tr>
    </w:tbl>
    <w:p w14:paraId="17AFF51A" w14:textId="77777777" w:rsidR="003C1804" w:rsidRDefault="003C1804" w:rsidP="00826F91">
      <w:pPr>
        <w:jc w:val="both"/>
      </w:pPr>
    </w:p>
    <w:p w14:paraId="0C505369" w14:textId="2C6F7F24" w:rsidR="00254503" w:rsidRDefault="001F2D7F" w:rsidP="001C75C2">
      <w:pPr>
        <w:jc w:val="both"/>
        <w:rPr>
          <w:i/>
          <w:iCs/>
        </w:rPr>
      </w:pPr>
      <w:r>
        <w:rPr>
          <w:i/>
          <w:iCs/>
        </w:rPr>
        <w:t>Overall f</w:t>
      </w:r>
      <w:r w:rsidR="001C75C2">
        <w:rPr>
          <w:i/>
          <w:iCs/>
        </w:rPr>
        <w:t>easibility and application of metric options</w:t>
      </w:r>
    </w:p>
    <w:p w14:paraId="6B05FFC6" w14:textId="77777777" w:rsidR="00636B41" w:rsidRDefault="002279AC" w:rsidP="002275FD">
      <w:pPr>
        <w:jc w:val="both"/>
      </w:pPr>
      <w:r>
        <w:t xml:space="preserve">Figure </w:t>
      </w:r>
      <w:r w:rsidR="00A141C4">
        <w:t>3</w:t>
      </w:r>
      <w:r>
        <w:t xml:space="preserve"> displays the density of the conducted simulations for the </w:t>
      </w:r>
      <w:r w:rsidR="002275FD">
        <w:t>5 identified metric options. To allow comparisons, a simple pass/fail measure on the sub-criterion level has been added but readers should note that this does not enable any comparisons with hosts.</w:t>
      </w:r>
      <w:r>
        <w:t xml:space="preserve"> The graph displays on the x-axis what percentage of the IDP population in the dataset has overcome vulnerabilities</w:t>
      </w:r>
      <w:r w:rsidR="00217CF0">
        <w:t xml:space="preserve"> and exits the stock</w:t>
      </w:r>
      <w:r>
        <w:t>. The y-axis displays the density of simulations or how many of the simulations shared the same outcome</w:t>
      </w:r>
      <w:r w:rsidR="006922B0">
        <w:t xml:space="preserve"> (number of IDPs exiting the stock)</w:t>
      </w:r>
      <w:r>
        <w:t xml:space="preserve">. </w:t>
      </w:r>
    </w:p>
    <w:p w14:paraId="685A241E" w14:textId="2A75D014" w:rsidR="001C6763" w:rsidRDefault="00F81B8B" w:rsidP="001C6763">
      <w:pPr>
        <w:jc w:val="both"/>
      </w:pPr>
      <w:r>
        <w:t>Note that the y-axis in the different graphs have their own scaling to make visualization easier</w:t>
      </w:r>
      <w:r w:rsidR="006827F4">
        <w:t xml:space="preserve"> and because the number of simulations was not always identical</w:t>
      </w:r>
      <w:r w:rsidR="00656B9F">
        <w:t xml:space="preserve"> (as combining indicators to indices </w:t>
      </w:r>
      <w:r w:rsidR="009B4AD4">
        <w:t>can increase and decrease</w:t>
      </w:r>
      <w:r w:rsidR="00656B9F">
        <w:t xml:space="preserve"> the number of possible combinations)</w:t>
      </w:r>
      <w:r w:rsidR="006827F4">
        <w:t>.</w:t>
      </w:r>
      <w:r w:rsidR="009B4AD4">
        <w:t xml:space="preserve">While the x-axis is more comparable, the axis is also slightly adjusted for visualization. </w:t>
      </w:r>
    </w:p>
    <w:p w14:paraId="40A03A75" w14:textId="6CB5D0B9" w:rsidR="001C6763" w:rsidRDefault="001C6763" w:rsidP="001C6763">
      <w:pPr>
        <w:jc w:val="both"/>
      </w:pPr>
      <w:r>
        <w:t xml:space="preserve">The first observation from these density plots is that the option to use composite measures at the criterion </w:t>
      </w:r>
      <w:r w:rsidR="004C7D5D">
        <w:t>level has a</w:t>
      </w:r>
      <w:r>
        <w:t xml:space="preserve"> clear peak around 0 percentage</w:t>
      </w:r>
      <w:r w:rsidR="004C7D5D">
        <w:t xml:space="preserve"> of IDPs. For a composite measure at the sub-criterion level, there is no variation and all simulations indicate that no IDP exits the stock. </w:t>
      </w:r>
      <w:r>
        <w:t xml:space="preserve">This means that </w:t>
      </w:r>
      <w:r w:rsidR="004C7D5D">
        <w:t>both</w:t>
      </w:r>
      <w:r>
        <w:t xml:space="preserve"> composite metric options are not strongly dependent on the selected indicators. It also indicates that the metrics are relatively restrictive and classify few IDPs as having overcome their key vulnerabilities. Because of their high threshold to exit IDPs </w:t>
      </w:r>
      <w:r>
        <w:lastRenderedPageBreak/>
        <w:t xml:space="preserve">from the stock, they behave like a pass/fail measure that does not compare IDPs with a comparator population.  </w:t>
      </w:r>
    </w:p>
    <w:p w14:paraId="5DEF698D" w14:textId="53C6C1EF" w:rsidR="001C6763" w:rsidRDefault="001C6763" w:rsidP="001C6763">
      <w:pPr>
        <w:jc w:val="both"/>
      </w:pPr>
      <w:r>
        <w:t xml:space="preserve">Making a regression-based assessment whether a specific household is predicted to be an IDP household or a host community household is an option that has the highest variability, which means that depending on the indicator combination chosen, the resulting number of IDPs exiting the stock can be considerably higher or lower. Keeping all other indicators constant, using an indicator whether IDPs have restored their access to property can classify around </w:t>
      </w:r>
      <w:r w:rsidRPr="00D5409B">
        <w:t>2684</w:t>
      </w:r>
      <w:r>
        <w:t xml:space="preserve"> more IDPs as exiting the stock as opposed to measuring this sub-criterion as access to restoration mechanisms. The simulations reveal a bimodal distribution: many simulations cluster around 0.1-0.2% of the IDP population overcoming their vulnerabilities. At the same time, many simulations center around 0.55% of IDPs overcoming their vulnerabilities. From this distribution, it is hence difficult to assess what the true percentage of </w:t>
      </w:r>
      <w:r w:rsidR="00E66471" w:rsidRPr="00E66471">
        <w:t xml:space="preserve"> </w:t>
      </w:r>
      <w:r>
        <w:t xml:space="preserve">IDPs having achieved a solution in statistical terms might be. </w:t>
      </w:r>
    </w:p>
    <w:p w14:paraId="6595E829" w14:textId="7E6BAE7F" w:rsidR="00412EEA" w:rsidRDefault="00412EEA" w:rsidP="00412EEA">
      <w:pPr>
        <w:pStyle w:val="TabFigSW"/>
      </w:pPr>
      <w:r>
        <w:rPr>
          <w:noProof/>
        </w:rPr>
        <w:drawing>
          <wp:anchor distT="0" distB="0" distL="114300" distR="114300" simplePos="0" relativeHeight="251658249" behindDoc="0" locked="0" layoutInCell="1" allowOverlap="1" wp14:anchorId="6F624A26" wp14:editId="7871AAB1">
            <wp:simplePos x="0" y="0"/>
            <wp:positionH relativeFrom="margin">
              <wp:posOffset>-78740</wp:posOffset>
            </wp:positionH>
            <wp:positionV relativeFrom="paragraph">
              <wp:posOffset>238549</wp:posOffset>
            </wp:positionV>
            <wp:extent cx="5786120" cy="4207510"/>
            <wp:effectExtent l="19050" t="19050" r="24130" b="215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86120" cy="420751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t xml:space="preserve">Figure </w:t>
      </w:r>
      <w:r w:rsidR="00646531">
        <w:fldChar w:fldCharType="begin"/>
      </w:r>
      <w:r w:rsidR="00646531">
        <w:instrText xml:space="preserve"> SEQ Figure \* ARABIC </w:instrText>
      </w:r>
      <w:r w:rsidR="00646531">
        <w:fldChar w:fldCharType="separate"/>
      </w:r>
      <w:r>
        <w:rPr>
          <w:noProof/>
        </w:rPr>
        <w:t>3</w:t>
      </w:r>
      <w:r w:rsidR="00646531">
        <w:rPr>
          <w:noProof/>
        </w:rPr>
        <w:fldChar w:fldCharType="end"/>
      </w:r>
      <w:r>
        <w:t>: Density of simulations in possible metrics (Hargeisa)</w:t>
      </w:r>
    </w:p>
    <w:p w14:paraId="33EFB809" w14:textId="19301CE3" w:rsidR="00412EEA" w:rsidRDefault="00412EEA" w:rsidP="002B5CC6">
      <w:pPr>
        <w:jc w:val="both"/>
      </w:pPr>
    </w:p>
    <w:p w14:paraId="4DDDD6C3" w14:textId="23D35B8B" w:rsidR="002B5CC6" w:rsidRDefault="00F81B8B" w:rsidP="002B5CC6">
      <w:pPr>
        <w:jc w:val="both"/>
      </w:pPr>
      <w:r>
        <w:t xml:space="preserve">Constructing one composite measure across all </w:t>
      </w:r>
      <w:r w:rsidR="002B5CC6">
        <w:t xml:space="preserve">criterion (option 1) is a metric option that has the </w:t>
      </w:r>
      <w:r w:rsidR="004F2B17">
        <w:t xml:space="preserve">second </w:t>
      </w:r>
      <w:r w:rsidR="002B5CC6">
        <w:t>highest variability</w:t>
      </w:r>
      <w:r w:rsidR="004F2B17">
        <w:t xml:space="preserve">. </w:t>
      </w:r>
      <w:r w:rsidR="00016B27">
        <w:t>Keeping all other indicators constant,</w:t>
      </w:r>
      <w:r w:rsidR="003C39C1">
        <w:t xml:space="preserve"> </w:t>
      </w:r>
      <w:r w:rsidR="00D9695C">
        <w:t xml:space="preserve">using an indicator whether IDPs have documentation to prove their property rights can classify around </w:t>
      </w:r>
      <w:r w:rsidR="008D29BE" w:rsidRPr="008D29BE">
        <w:t>1</w:t>
      </w:r>
      <w:r w:rsidR="001C6763">
        <w:t>,</w:t>
      </w:r>
      <w:r w:rsidR="008D29BE" w:rsidRPr="008D29BE">
        <w:t>07</w:t>
      </w:r>
      <w:r w:rsidR="008D29BE">
        <w:t>9</w:t>
      </w:r>
      <w:r w:rsidR="00D9695C">
        <w:t xml:space="preserve"> </w:t>
      </w:r>
      <w:r w:rsidR="00016B27">
        <w:t xml:space="preserve">more IDPs as exiting the stock as opposed to </w:t>
      </w:r>
      <w:r w:rsidR="00C15C11">
        <w:t xml:space="preserve">measuring this sub-criterion as </w:t>
      </w:r>
      <w:r w:rsidR="00C1303D">
        <w:t>access to restoration mechanisms. The conclusion is that i</w:t>
      </w:r>
      <w:r w:rsidR="002B5CC6">
        <w:t xml:space="preserve">f </w:t>
      </w:r>
      <w:r w:rsidR="00C1303D">
        <w:t>data is combined into one index across all criteria</w:t>
      </w:r>
      <w:r w:rsidR="004F2B17">
        <w:t xml:space="preserve"> and if a regression-based approach is used</w:t>
      </w:r>
      <w:r w:rsidR="002B5CC6">
        <w:t>, it is</w:t>
      </w:r>
      <w:r w:rsidR="00C1303D">
        <w:t xml:space="preserve"> strongly</w:t>
      </w:r>
      <w:r w:rsidR="002B5CC6">
        <w:t xml:space="preserve"> advisable to carefully determine a final set of indicators to measure solutions</w:t>
      </w:r>
      <w:r w:rsidR="00643379">
        <w:t xml:space="preserve"> to ensure that data across displacement contexts is </w:t>
      </w:r>
      <w:r w:rsidR="006B3A37">
        <w:t>comparable</w:t>
      </w:r>
      <w:r w:rsidR="00643379">
        <w:t xml:space="preserve">. </w:t>
      </w:r>
    </w:p>
    <w:p w14:paraId="5A6721ED" w14:textId="2E593D14" w:rsidR="00327792" w:rsidRDefault="002B5CC6" w:rsidP="00C24F62">
      <w:pPr>
        <w:jc w:val="both"/>
      </w:pPr>
      <w:r>
        <w:lastRenderedPageBreak/>
        <w:t xml:space="preserve">The fourth possible option to determine how many IDPs have overcome their displacement-related vulnerabilities is to divide the overall IDP population into homogenous IDP cells. In Hargeisa, the simulations </w:t>
      </w:r>
      <w:r w:rsidR="00770A0D">
        <w:t xml:space="preserve">tested </w:t>
      </w:r>
      <w:r w:rsidR="008B0640">
        <w:t xml:space="preserve">10 </w:t>
      </w:r>
      <w:r>
        <w:t xml:space="preserve">different ways of </w:t>
      </w:r>
      <w:r w:rsidR="00DB32B8">
        <w:t>dividing the cells based on the year IDPs departed from their home, their gender, their district of origin, their clan</w:t>
      </w:r>
      <w:r w:rsidR="008B0640">
        <w:t>,</w:t>
      </w:r>
      <w:r w:rsidR="00DB32B8">
        <w:t xml:space="preserve"> and their displacement type</w:t>
      </w:r>
      <w:r w:rsidR="00BB0AD6">
        <w:t xml:space="preserve"> but the grouping did not yield stark differences, ranging from 0 to 11 IDPs exiting the stock. Hence, this </w:t>
      </w:r>
      <w:r w:rsidR="00C24F62">
        <w:t xml:space="preserve">metric option is also not very volatile and neither the indicator choice nor the groupings strongly affect the results. </w:t>
      </w:r>
    </w:p>
    <w:p w14:paraId="2937F525" w14:textId="278CFFA9" w:rsidR="006B3A37" w:rsidRDefault="006B3A37" w:rsidP="006B3A37">
      <w:pPr>
        <w:jc w:val="both"/>
      </w:pPr>
      <w:r>
        <w:t xml:space="preserve">Some metric options turned out to be easier to implement than others in the dataset on IDPs in Hargeisa. In terms of feasibility, the metric option 1, which showed high sensitivity to indicator selection, was easy to implement as the construction of one index is straightforward. </w:t>
      </w:r>
      <w:r w:rsidR="00B504EF">
        <w:t xml:space="preserve">However, a </w:t>
      </w:r>
      <w:r>
        <w:t xml:space="preserve">problem with this metric option is not only its variability but also that elements of the index may be collinear. </w:t>
      </w:r>
    </w:p>
    <w:p w14:paraId="0663AA04" w14:textId="2113521F" w:rsidR="005E15C6" w:rsidRDefault="00CF6123" w:rsidP="00327792">
      <w:pPr>
        <w:jc w:val="both"/>
      </w:pPr>
      <w:r>
        <w:t xml:space="preserve">Regarding the metric options 2 + 3, that both require multiple indices on the criterion and the sub-criterion level, the feasibility of this approach is </w:t>
      </w:r>
      <w:r w:rsidR="00CE26BE">
        <w:t xml:space="preserve">much lower. First, they require more indicators than the other </w:t>
      </w:r>
      <w:r w:rsidR="00696818">
        <w:t>metrics</w:t>
      </w:r>
      <w:r w:rsidR="0067776F">
        <w:t xml:space="preserve"> </w:t>
      </w:r>
      <w:r w:rsidR="00EB6E43">
        <w:t xml:space="preserve">to </w:t>
      </w:r>
      <w:r w:rsidR="0067776F">
        <w:t xml:space="preserve">be able to construct additive indices. </w:t>
      </w:r>
      <w:r w:rsidR="002E6773">
        <w:t xml:space="preserve">For example, in Hargeisa there were simply not more than one indicator available to </w:t>
      </w:r>
      <w:r w:rsidR="002E6773" w:rsidRPr="00656B9F">
        <w:t xml:space="preserve">measure </w:t>
      </w:r>
      <w:r w:rsidR="002E6773" w:rsidRPr="002E6773">
        <w:rPr>
          <w:i/>
          <w:iCs/>
        </w:rPr>
        <w:t>1.2 Freedom of movement</w:t>
      </w:r>
      <w:r w:rsidR="002E6773">
        <w:t xml:space="preserve"> and </w:t>
      </w:r>
      <w:r w:rsidR="002E6773" w:rsidRPr="002E6773">
        <w:rPr>
          <w:i/>
          <w:iCs/>
        </w:rPr>
        <w:t>3.1 Employment and livelihood</w:t>
      </w:r>
      <w:r w:rsidR="002E6773">
        <w:t xml:space="preserve">. It is expected that </w:t>
      </w:r>
      <w:r w:rsidR="00CD7C2F">
        <w:t xml:space="preserve">producers of official statistics may also have challenges to generate the data necessary for these more data hungry indices. </w:t>
      </w:r>
      <w:r w:rsidR="0067776F">
        <w:t>Second, the theoretical conceptualization is not fully advanced yet</w:t>
      </w:r>
      <w:r w:rsidR="00B81374">
        <w:t>. An “ideal” composite index is always made of theoretically distinct elements</w:t>
      </w:r>
      <w:r w:rsidR="00F617CA">
        <w:t xml:space="preserve"> (i.e. we measure different dimensions of displacement-related vulnerabilities)</w:t>
      </w:r>
      <w:r w:rsidR="00DB5609">
        <w:t>.</w:t>
      </w:r>
      <w:r w:rsidR="00F617CA">
        <w:t xml:space="preserve"> However, when multiple indicators that measure very much the same theoretical concept are combined</w:t>
      </w:r>
      <w:r w:rsidR="005A4EB6">
        <w:t xml:space="preserve"> to one index</w:t>
      </w:r>
      <w:r w:rsidR="00F617CA">
        <w:t xml:space="preserve"> at the sub-criterion </w:t>
      </w:r>
      <w:r w:rsidR="00593B6E">
        <w:t xml:space="preserve">level </w:t>
      </w:r>
      <w:r w:rsidR="00F617CA">
        <w:t>(e.g. similar indicators that all measure whether IDPs</w:t>
      </w:r>
      <w:r w:rsidR="000F64B9">
        <w:t>’ shelter and housing conditions</w:t>
      </w:r>
      <w:r w:rsidR="005A4EB6">
        <w:t xml:space="preserve"> are satisfactory),</w:t>
      </w:r>
      <w:r w:rsidR="00593B6E">
        <w:t xml:space="preserve"> the different indicators are likely very much</w:t>
      </w:r>
      <w:r w:rsidR="00BC2FB2">
        <w:t xml:space="preserve"> correlated. An example is that individual living in an overcrowded space </w:t>
      </w:r>
      <w:r w:rsidR="001621F3">
        <w:t xml:space="preserve">very often also live in a makeshift space. This multicollinearity of elements of an index </w:t>
      </w:r>
      <w:r w:rsidR="00E74260">
        <w:t xml:space="preserve">raises questions whether </w:t>
      </w:r>
      <w:r w:rsidR="00A33E68">
        <w:t xml:space="preserve">strongly </w:t>
      </w:r>
      <w:r w:rsidR="00FA7902">
        <w:t xml:space="preserve">correlated </w:t>
      </w:r>
      <w:r w:rsidR="00E74260">
        <w:t xml:space="preserve">elements of </w:t>
      </w:r>
      <w:r w:rsidR="00A33E68">
        <w:t>an</w:t>
      </w:r>
      <w:r w:rsidR="00E74260">
        <w:t xml:space="preserve"> index should be weighted</w:t>
      </w:r>
      <w:r w:rsidR="00A33E68">
        <w:t xml:space="preserve"> </w:t>
      </w:r>
      <w:r w:rsidR="00FA7902">
        <w:t xml:space="preserve">differently </w:t>
      </w:r>
      <w:r w:rsidR="00A33E68">
        <w:t>than other elements</w:t>
      </w:r>
      <w:r w:rsidR="00A90995">
        <w:t xml:space="preserve">. The problem of </w:t>
      </w:r>
      <w:r w:rsidR="00FD1253">
        <w:t xml:space="preserve">developing a theoretically sound index also exists when an index is </w:t>
      </w:r>
      <w:r w:rsidR="00134B4C">
        <w:t>built</w:t>
      </w:r>
      <w:r w:rsidR="00FD1253">
        <w:t xml:space="preserve"> on the </w:t>
      </w:r>
      <w:r w:rsidR="00134B4C">
        <w:t>criterion level. So far, the IRIS already identifies four distinct sub-criteria for</w:t>
      </w:r>
      <w:r w:rsidR="00170289">
        <w:t xml:space="preserve"> the adequate standard of living of IDPs. However, it is not clear if we can theoretically identify more than one dimension to empirically measure </w:t>
      </w:r>
      <w:r w:rsidR="00FA7902">
        <w:t>the</w:t>
      </w:r>
      <w:r w:rsidR="00170289">
        <w:t xml:space="preserve"> criterion</w:t>
      </w:r>
      <w:r w:rsidR="00170289" w:rsidRPr="00FA7902">
        <w:rPr>
          <w:i/>
          <w:iCs/>
        </w:rPr>
        <w:t xml:space="preserve"> </w:t>
      </w:r>
      <w:r w:rsidR="00FA7902" w:rsidRPr="00FA7902">
        <w:rPr>
          <w:i/>
          <w:iCs/>
        </w:rPr>
        <w:t>5. D</w:t>
      </w:r>
      <w:r w:rsidR="00170289" w:rsidRPr="00FA7902">
        <w:rPr>
          <w:i/>
          <w:iCs/>
        </w:rPr>
        <w:t>ocumentation</w:t>
      </w:r>
      <w:r w:rsidR="00170289">
        <w:t>. These questions of theoretical conceptualization, correlation between</w:t>
      </w:r>
      <w:r w:rsidR="00FA7902">
        <w:t xml:space="preserve"> elements in the index</w:t>
      </w:r>
      <w:r w:rsidR="00170289">
        <w:t>, and the high data demands reduce the feasibility to implement the metric options</w:t>
      </w:r>
      <w:r w:rsidR="00FA7902">
        <w:t xml:space="preserve"> 2 and 3</w:t>
      </w:r>
      <w:r w:rsidR="00170289">
        <w:t xml:space="preserve"> in practice. </w:t>
      </w:r>
    </w:p>
    <w:p w14:paraId="4AA704C4" w14:textId="4F7FBBB9" w:rsidR="006C6AB6" w:rsidRDefault="00346DBD" w:rsidP="006C6AB6">
      <w:pPr>
        <w:jc w:val="both"/>
      </w:pPr>
      <w:r>
        <w:t>Dividing</w:t>
      </w:r>
      <w:r w:rsidR="00170289">
        <w:t xml:space="preserve"> the </w:t>
      </w:r>
      <w:r w:rsidR="00BE6F79">
        <w:t>IDP population in Hargeisa into sub-groups to assess homogenous cells that can then be compared to the host community</w:t>
      </w:r>
      <w:r w:rsidR="00877D93">
        <w:t xml:space="preserve"> is relatively easy to implement for National Statistical Offices. However, it goes beyond the scope of this methodological note to assess</w:t>
      </w:r>
      <w:r w:rsidR="00D5485F">
        <w:t xml:space="preserve"> precisely how the boundaries between cells (i.e. the criteria to divide the IDP populations) affect the results. In Hargeisa, the available </w:t>
      </w:r>
      <w:r w:rsidR="0080742C">
        <w:t xml:space="preserve">variables to build cells did not </w:t>
      </w:r>
      <w:r w:rsidR="006829D7">
        <w:t>indicate high volatility to the grouping</w:t>
      </w:r>
      <w:r w:rsidR="0080742C">
        <w:t xml:space="preserve">. However, a final selection of this metric option would need to assess 1) which </w:t>
      </w:r>
      <w:r w:rsidR="006C6AB6">
        <w:t>delimitations should be used, 2) if the number of variables to divide the IDP population matters, 3) if the size of the cells matters, and if the 4) homogeneity or heterogeneity in a cell matters. While this option is initially easy to implement, it raises many new methodological challenges.</w:t>
      </w:r>
    </w:p>
    <w:p w14:paraId="048BC54D" w14:textId="5E1078BD" w:rsidR="00747814" w:rsidRPr="00875E5A" w:rsidRDefault="00346DBD" w:rsidP="006C6AB6">
      <w:pPr>
        <w:jc w:val="both"/>
      </w:pPr>
      <w:r>
        <w:t xml:space="preserve">Finally, using a regression-based approach </w:t>
      </w:r>
      <w:r w:rsidR="0026704F">
        <w:t xml:space="preserve">has some disadvantages and advantages. First, further methodological work is needed to identify an easy-to-implement but also successful classifier </w:t>
      </w:r>
      <w:r w:rsidR="009F6A99">
        <w:t xml:space="preserve">that predicts whether an IDP household is more similar to other IDPs or to the host community. A logistic regression or linear regression seems plausible here. Furthermore, it has to be decided what the probability cut-off is, or </w:t>
      </w:r>
      <w:r w:rsidR="003F5E8E">
        <w:t xml:space="preserve">at what predicted probability an IDP household should be no longer </w:t>
      </w:r>
      <w:r w:rsidR="00E5528F">
        <w:t>considered displaced</w:t>
      </w:r>
      <w:r w:rsidR="003F5E8E">
        <w:t xml:space="preserve">. The here implemented cut-off of 0.5 seems too lenient. Another practical problem </w:t>
      </w:r>
      <w:r w:rsidR="00CB7467">
        <w:t xml:space="preserve">in this approach is that comparisons across </w:t>
      </w:r>
      <w:r w:rsidR="00CB7467">
        <w:lastRenderedPageBreak/>
        <w:t xml:space="preserve">contexts might be difficult. While a regression in one country might assign a lot of weight to indicators for the freedom of movement, in another country it might be much more important whether food security has been achieved. From the point of a national statistical system, it might be difficult to identify </w:t>
      </w:r>
      <w:r w:rsidR="00FD2615">
        <w:t>why the regression coefficients</w:t>
      </w:r>
      <w:r w:rsidR="00CB7467">
        <w:t xml:space="preserve"> </w:t>
      </w:r>
      <w:r w:rsidR="00FD2615">
        <w:t>vary</w:t>
      </w:r>
      <w:r w:rsidR="00CB7467">
        <w:t xml:space="preserve"> across contexts</w:t>
      </w:r>
      <w:r w:rsidR="00781D60">
        <w:t xml:space="preserve"> and sub-criteria</w:t>
      </w:r>
      <w:r w:rsidR="00FD2615">
        <w:t xml:space="preserve"> and how different assessments can be compared</w:t>
      </w:r>
      <w:r w:rsidR="00781D60">
        <w:t xml:space="preserve"> between displacement situations</w:t>
      </w:r>
      <w:r w:rsidR="00CB7467">
        <w:t xml:space="preserve">. </w:t>
      </w:r>
    </w:p>
    <w:p w14:paraId="3C418BBA" w14:textId="234F33FB" w:rsidR="004354CA" w:rsidRPr="00C25DA5" w:rsidRDefault="004354CA" w:rsidP="001C75C2">
      <w:pPr>
        <w:pStyle w:val="Heading2"/>
      </w:pPr>
      <w:bookmarkStart w:id="12" w:name="_Toc63432139"/>
      <w:r w:rsidRPr="00C25DA5">
        <w:t>Simulation results for Nigeria (World Bank 2018)</w:t>
      </w:r>
      <w:bookmarkEnd w:id="12"/>
    </w:p>
    <w:p w14:paraId="32223CC2" w14:textId="5CB66F7B" w:rsidR="00685914" w:rsidRDefault="006134ED" w:rsidP="00720D74">
      <w:pPr>
        <w:jc w:val="both"/>
      </w:pPr>
      <w:r>
        <w:t xml:space="preserve">The IDP profiling in </w:t>
      </w:r>
      <w:r w:rsidR="00D55EF9">
        <w:t xml:space="preserve">Nigeria covered a total of 1,437 IDPs that could be compared to </w:t>
      </w:r>
      <w:r w:rsidR="00C531A5">
        <w:t>the host population</w:t>
      </w:r>
      <w:r w:rsidR="00ED1C8D">
        <w:t xml:space="preserve">. </w:t>
      </w:r>
      <w:r w:rsidR="00C531A5">
        <w:t xml:space="preserve">On </w:t>
      </w:r>
      <w:r>
        <w:t>average across all simulated indicators and metrics,</w:t>
      </w:r>
      <w:r w:rsidRPr="00646C8D">
        <w:t xml:space="preserve"> </w:t>
      </w:r>
      <w:r w:rsidR="006D3ED4" w:rsidRPr="006D3ED4">
        <w:t>43.0</w:t>
      </w:r>
      <w:r w:rsidR="006D3ED4">
        <w:t>2</w:t>
      </w:r>
      <w:r>
        <w:t xml:space="preserve"> </w:t>
      </w:r>
      <w:r w:rsidRPr="00275629">
        <w:t>IDPs have overcome their vulnerabilities and exit the IDP stock</w:t>
      </w:r>
      <w:r w:rsidR="00ED1C8D" w:rsidRPr="00275629">
        <w:t xml:space="preserve">, which corresponds to an average of </w:t>
      </w:r>
      <w:r w:rsidR="00275629" w:rsidRPr="00275629">
        <w:t>2.99</w:t>
      </w:r>
      <w:r w:rsidR="0047050F" w:rsidRPr="00275629">
        <w:t>%</w:t>
      </w:r>
      <w:r w:rsidRPr="00275629">
        <w:t xml:space="preserve"> of the sampled IDP</w:t>
      </w:r>
      <w:r w:rsidR="00ED1C8D" w:rsidRPr="00275629">
        <w:t>. For</w:t>
      </w:r>
      <w:r w:rsidRPr="00275629">
        <w:t xml:space="preserve"> 1.8% of the data in the IDP profiling in </w:t>
      </w:r>
      <w:r w:rsidR="00ED1C8D" w:rsidRPr="00275629">
        <w:t>Nigeria, IDP households</w:t>
      </w:r>
      <w:r w:rsidR="00ED1C8D">
        <w:t xml:space="preserve"> could not be assessed due to missing data. </w:t>
      </w:r>
      <w:r>
        <w:t xml:space="preserve"> </w:t>
      </w:r>
    </w:p>
    <w:p w14:paraId="506F9028" w14:textId="6E9272EC" w:rsidR="00965133" w:rsidRPr="001C75C2" w:rsidRDefault="00965133" w:rsidP="00965133">
      <w:pPr>
        <w:jc w:val="both"/>
        <w:rPr>
          <w:i/>
          <w:iCs/>
        </w:rPr>
      </w:pPr>
      <w:r w:rsidRPr="001C75C2">
        <w:rPr>
          <w:i/>
          <w:iCs/>
        </w:rPr>
        <w:t xml:space="preserve">Importance of indicator </w:t>
      </w:r>
      <w:r w:rsidR="00F60970">
        <w:rPr>
          <w:i/>
          <w:iCs/>
        </w:rPr>
        <w:t>selection</w:t>
      </w:r>
    </w:p>
    <w:p w14:paraId="1C64F8EE" w14:textId="640D6248" w:rsidR="00D40D40" w:rsidRDefault="00C4494E" w:rsidP="00CD70B7">
      <w:pPr>
        <w:jc w:val="both"/>
      </w:pPr>
      <w:r>
        <w:t xml:space="preserve">Table </w:t>
      </w:r>
      <w:r w:rsidR="00B27729">
        <w:t>6</w:t>
      </w:r>
      <w:r>
        <w:t xml:space="preserve"> </w:t>
      </w:r>
      <w:r w:rsidR="00B27729">
        <w:t xml:space="preserve">summarizes </w:t>
      </w:r>
      <w:r>
        <w:t xml:space="preserve">how much the choice of </w:t>
      </w:r>
      <w:r w:rsidR="00B27729">
        <w:t>one indicator over others</w:t>
      </w:r>
      <w:r>
        <w:t xml:space="preserve"> can affect the</w:t>
      </w:r>
      <w:r w:rsidR="00B27729">
        <w:t xml:space="preserve"> exit from the</w:t>
      </w:r>
      <w:r>
        <w:t xml:space="preserve"> IDP stock</w:t>
      </w:r>
      <w:r w:rsidR="002F0A03">
        <w:t xml:space="preserve"> on average across all simulations and all metric options. In the dataset from Nigeria, it is only possible to assess the relevance of the indicator selection for four sub-criteria of the total of 10 sub-criteria because the data </w:t>
      </w:r>
      <w:r w:rsidR="00ED1BFB">
        <w:t xml:space="preserve">only contains one possible indicator for those dimensions.  </w:t>
      </w:r>
      <w:r w:rsidR="005D3BA1">
        <w:t xml:space="preserve">The table is quickly summarized by concluding that none of the average effects </w:t>
      </w:r>
      <w:r w:rsidR="00764365">
        <w:t xml:space="preserve">of indicators produces a discernable difference. That means, across all metric options assessed in this simulation, it makes no substantial difference whether one indicator is picked over another </w:t>
      </w:r>
      <w:r w:rsidR="001A2B58">
        <w:t xml:space="preserve">operationalization for the 10 sub-criteria. </w:t>
      </w:r>
    </w:p>
    <w:p w14:paraId="3D88094E" w14:textId="244BE2DE" w:rsidR="00CD70B7" w:rsidRDefault="00CD70B7" w:rsidP="00457FA6">
      <w:pPr>
        <w:pStyle w:val="TabFigSW"/>
      </w:pPr>
      <w:r>
        <w:t xml:space="preserve">Table </w:t>
      </w:r>
      <w:r w:rsidR="000D1318">
        <w:t>6</w:t>
      </w:r>
      <w:r>
        <w:t xml:space="preserve">: </w:t>
      </w:r>
      <w:r w:rsidR="007A5BA2">
        <w:t>Average relevance of indicator choice across metrics</w:t>
      </w:r>
      <w:r>
        <w:t xml:space="preserve"> (Nigeria)</w:t>
      </w:r>
    </w:p>
    <w:tbl>
      <w:tblPr>
        <w:tblStyle w:val="PlainTable2"/>
        <w:tblW w:w="5000" w:type="pct"/>
        <w:tblLayout w:type="fixed"/>
        <w:tblLook w:val="04A0" w:firstRow="1" w:lastRow="0" w:firstColumn="1" w:lastColumn="0" w:noHBand="0" w:noVBand="1"/>
      </w:tblPr>
      <w:tblGrid>
        <w:gridCol w:w="1619"/>
        <w:gridCol w:w="3511"/>
        <w:gridCol w:w="1170"/>
        <w:gridCol w:w="2726"/>
      </w:tblGrid>
      <w:tr w:rsidR="00CD70B7" w:rsidRPr="00F051D7" w14:paraId="3782FBBC" w14:textId="77777777" w:rsidTr="00D40D40">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97" w:type="pct"/>
          </w:tcPr>
          <w:p w14:paraId="26D9D552" w14:textId="77777777" w:rsidR="00CD70B7" w:rsidRPr="00F051D7" w:rsidRDefault="00CD70B7" w:rsidP="009B045F">
            <w:pPr>
              <w:pStyle w:val="NoSpacing"/>
              <w:rPr>
                <w:b w:val="0"/>
                <w:bCs w:val="0"/>
                <w:sz w:val="18"/>
                <w:szCs w:val="18"/>
                <w:lang w:eastAsia="en-GB"/>
              </w:rPr>
            </w:pPr>
            <w:r w:rsidRPr="00F051D7">
              <w:rPr>
                <w:sz w:val="18"/>
                <w:szCs w:val="18"/>
                <w:lang w:eastAsia="en-GB"/>
              </w:rPr>
              <w:t xml:space="preserve">Sub-criteria </w:t>
            </w:r>
          </w:p>
          <w:p w14:paraId="0DD9786B" w14:textId="77777777" w:rsidR="00CD70B7" w:rsidRPr="00F051D7" w:rsidRDefault="00CD70B7" w:rsidP="009B045F">
            <w:pPr>
              <w:pStyle w:val="NoSpacing"/>
              <w:rPr>
                <w:b w:val="0"/>
                <w:bCs w:val="0"/>
                <w:sz w:val="18"/>
                <w:szCs w:val="18"/>
                <w:lang w:eastAsia="en-GB"/>
              </w:rPr>
            </w:pPr>
            <w:r w:rsidRPr="00F051D7">
              <w:rPr>
                <w:sz w:val="18"/>
                <w:szCs w:val="18"/>
                <w:lang w:eastAsia="en-GB"/>
              </w:rPr>
              <w:t>(IRIS)</w:t>
            </w:r>
          </w:p>
        </w:tc>
        <w:tc>
          <w:tcPr>
            <w:tcW w:w="1945" w:type="pct"/>
          </w:tcPr>
          <w:p w14:paraId="6AED5B3D" w14:textId="13B5369B" w:rsidR="00CD70B7" w:rsidRPr="00F051D7" w:rsidRDefault="00CD70B7" w:rsidP="009B045F">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sidRPr="00F051D7">
              <w:rPr>
                <w:sz w:val="18"/>
                <w:szCs w:val="18"/>
                <w:lang w:eastAsia="en-GB"/>
              </w:rPr>
              <w:t xml:space="preserve">Indicators from </w:t>
            </w:r>
            <w:r>
              <w:rPr>
                <w:sz w:val="18"/>
                <w:szCs w:val="18"/>
                <w:lang w:eastAsia="en-GB"/>
              </w:rPr>
              <w:t>Nigeria</w:t>
            </w:r>
            <w:r w:rsidRPr="00F051D7">
              <w:rPr>
                <w:sz w:val="18"/>
                <w:szCs w:val="18"/>
                <w:lang w:eastAsia="en-GB"/>
              </w:rPr>
              <w:t xml:space="preserve"> (</w:t>
            </w:r>
            <w:r>
              <w:rPr>
                <w:sz w:val="18"/>
                <w:szCs w:val="18"/>
                <w:lang w:eastAsia="en-GB"/>
              </w:rPr>
              <w:t>World Bank 2018</w:t>
            </w:r>
            <w:r w:rsidRPr="00F051D7">
              <w:rPr>
                <w:sz w:val="18"/>
                <w:szCs w:val="18"/>
                <w:lang w:eastAsia="en-GB"/>
              </w:rPr>
              <w:t>)</w:t>
            </w:r>
          </w:p>
        </w:tc>
        <w:tc>
          <w:tcPr>
            <w:tcW w:w="648" w:type="pct"/>
          </w:tcPr>
          <w:p w14:paraId="2ED2201B" w14:textId="5C0C8A9B" w:rsidR="00CD70B7" w:rsidRPr="00F051D7" w:rsidRDefault="007A5BA2" w:rsidP="009B045F">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Pr>
                <w:sz w:val="18"/>
                <w:szCs w:val="18"/>
                <w:lang w:eastAsia="en-GB"/>
              </w:rPr>
              <w:t>Average e</w:t>
            </w:r>
            <w:r w:rsidR="00CD70B7" w:rsidRPr="00F051D7">
              <w:rPr>
                <w:sz w:val="18"/>
                <w:szCs w:val="18"/>
                <w:lang w:eastAsia="en-GB"/>
              </w:rPr>
              <w:t>ffect size on stock</w:t>
            </w:r>
          </w:p>
        </w:tc>
        <w:tc>
          <w:tcPr>
            <w:tcW w:w="1510" w:type="pct"/>
          </w:tcPr>
          <w:p w14:paraId="4E2689D8" w14:textId="77777777" w:rsidR="00CD70B7" w:rsidRPr="00F051D7" w:rsidRDefault="00CD70B7" w:rsidP="009B045F">
            <w:pPr>
              <w:pStyle w:val="NoSpacing"/>
              <w:cnfStyle w:val="100000000000" w:firstRow="1" w:lastRow="0" w:firstColumn="0" w:lastColumn="0" w:oddVBand="0" w:evenVBand="0" w:oddHBand="0" w:evenHBand="0" w:firstRowFirstColumn="0" w:firstRowLastColumn="0" w:lastRowFirstColumn="0" w:lastRowLastColumn="0"/>
              <w:rPr>
                <w:b w:val="0"/>
                <w:bCs w:val="0"/>
                <w:sz w:val="18"/>
                <w:szCs w:val="18"/>
                <w:lang w:eastAsia="en-GB"/>
              </w:rPr>
            </w:pPr>
            <w:r w:rsidRPr="00F051D7">
              <w:rPr>
                <w:sz w:val="18"/>
                <w:szCs w:val="18"/>
                <w:lang w:eastAsia="en-GB"/>
              </w:rPr>
              <w:t>Description of variation</w:t>
            </w:r>
          </w:p>
        </w:tc>
      </w:tr>
      <w:tr w:rsidR="00CD70B7" w:rsidRPr="00F051D7" w14:paraId="059781D6" w14:textId="77777777" w:rsidTr="00D40D4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37003416"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1.1 Victims of violence </w:t>
            </w:r>
          </w:p>
        </w:tc>
        <w:tc>
          <w:tcPr>
            <w:tcW w:w="1945" w:type="pct"/>
          </w:tcPr>
          <w:p w14:paraId="1DDB1333" w14:textId="40EC3225" w:rsidR="00CD70B7" w:rsidRPr="00F051D7"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4721AB">
              <w:rPr>
                <w:rFonts w:asciiTheme="majorHAnsi" w:hAnsiTheme="majorHAnsi" w:cstheme="majorHAnsi"/>
                <w:sz w:val="18"/>
                <w:szCs w:val="18"/>
                <w:lang w:eastAsia="en-GB"/>
              </w:rPr>
              <w:t>Feeling of safety at day</w:t>
            </w:r>
            <w:r w:rsidRPr="00F051D7">
              <w:rPr>
                <w:rFonts w:asciiTheme="majorHAnsi" w:hAnsiTheme="majorHAnsi" w:cstheme="majorHAnsi"/>
                <w:sz w:val="18"/>
                <w:szCs w:val="18"/>
                <w:lang w:eastAsia="en-GB"/>
              </w:rPr>
              <w:t xml:space="preserve"> (baseline)</w:t>
            </w:r>
          </w:p>
          <w:p w14:paraId="1C3A6FAC" w14:textId="77777777" w:rsidR="003364CF"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3364CF">
              <w:rPr>
                <w:rFonts w:asciiTheme="majorHAnsi" w:hAnsiTheme="majorHAnsi" w:cstheme="majorHAnsi"/>
                <w:sz w:val="18"/>
                <w:szCs w:val="18"/>
                <w:lang w:eastAsia="en-GB"/>
              </w:rPr>
              <w:t>Easy access to dispute resolution</w:t>
            </w:r>
          </w:p>
          <w:p w14:paraId="787C51E2" w14:textId="751A4643" w:rsidR="00CD70B7" w:rsidRPr="00F051D7" w:rsidRDefault="003364C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3. Effective access to dispute resolution</w:t>
            </w:r>
            <w:r w:rsidR="00CD70B7" w:rsidRPr="00F051D7">
              <w:rPr>
                <w:rFonts w:asciiTheme="majorHAnsi" w:hAnsiTheme="majorHAnsi" w:cstheme="majorHAnsi"/>
                <w:sz w:val="18"/>
                <w:szCs w:val="18"/>
                <w:lang w:eastAsia="en-GB"/>
              </w:rPr>
              <w:t xml:space="preserve"> </w:t>
            </w:r>
          </w:p>
          <w:p w14:paraId="6A1F8960" w14:textId="77777777" w:rsidR="00CD70B7" w:rsidRDefault="003364C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4. Formal dispute resolution mechanisms</w:t>
            </w:r>
          </w:p>
          <w:p w14:paraId="71B27799" w14:textId="77777777" w:rsidR="003364CF" w:rsidRDefault="003364C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5. Experience of security incident</w:t>
            </w:r>
          </w:p>
          <w:p w14:paraId="27AFD0CD" w14:textId="77777777" w:rsidR="003364CF" w:rsidRDefault="003364C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6. </w:t>
            </w:r>
            <w:r w:rsidR="00E62F2F">
              <w:rPr>
                <w:rFonts w:asciiTheme="majorHAnsi" w:hAnsiTheme="majorHAnsi" w:cstheme="majorHAnsi"/>
                <w:sz w:val="18"/>
                <w:szCs w:val="18"/>
                <w:lang w:eastAsia="en-GB"/>
              </w:rPr>
              <w:t>Feeling of safety at night</w:t>
            </w:r>
          </w:p>
          <w:p w14:paraId="655A3CD2" w14:textId="77777777" w:rsidR="00E62F2F" w:rsidRDefault="00E62F2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7. Reporting a security incident</w:t>
            </w:r>
          </w:p>
          <w:p w14:paraId="545E3A72" w14:textId="0A29DB61" w:rsidR="00E62F2F" w:rsidRPr="00F051D7" w:rsidRDefault="00E62F2F"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8. </w:t>
            </w:r>
            <w:r w:rsidR="00A84FC7">
              <w:rPr>
                <w:rFonts w:asciiTheme="majorHAnsi" w:hAnsiTheme="majorHAnsi" w:cstheme="majorHAnsi"/>
                <w:sz w:val="18"/>
                <w:szCs w:val="18"/>
                <w:lang w:eastAsia="en-GB"/>
              </w:rPr>
              <w:t>General feeling of safety</w:t>
            </w:r>
          </w:p>
        </w:tc>
        <w:tc>
          <w:tcPr>
            <w:tcW w:w="648" w:type="pct"/>
          </w:tcPr>
          <w:p w14:paraId="7ACAF174" w14:textId="2BA78880" w:rsidR="00CD70B7" w:rsidRPr="00E44367" w:rsidRDefault="00CD70B7"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E44367">
              <w:rPr>
                <w:rFonts w:asciiTheme="majorHAnsi" w:eastAsia="Times New Roman" w:hAnsiTheme="majorHAnsi" w:cstheme="majorHAnsi"/>
                <w:color w:val="000000"/>
                <w:sz w:val="18"/>
                <w:szCs w:val="18"/>
                <w:lang w:eastAsia="en-GB"/>
              </w:rPr>
              <w:t>-</w:t>
            </w:r>
            <w:r w:rsidR="00A84FC7" w:rsidRPr="00E44367">
              <w:rPr>
                <w:rFonts w:asciiTheme="majorHAnsi" w:eastAsia="Times New Roman" w:hAnsiTheme="majorHAnsi" w:cstheme="majorHAnsi"/>
                <w:color w:val="000000"/>
                <w:sz w:val="18"/>
                <w:szCs w:val="18"/>
                <w:lang w:eastAsia="en-GB"/>
              </w:rPr>
              <w:t>0.</w:t>
            </w:r>
            <w:r w:rsidR="00E44367" w:rsidRPr="00E44367">
              <w:rPr>
                <w:rFonts w:asciiTheme="majorHAnsi" w:eastAsia="Times New Roman" w:hAnsiTheme="majorHAnsi" w:cstheme="majorHAnsi"/>
                <w:color w:val="000000"/>
                <w:sz w:val="18"/>
                <w:szCs w:val="18"/>
                <w:lang w:eastAsia="en-GB"/>
              </w:rPr>
              <w:t>09</w:t>
            </w:r>
            <w:r w:rsidRPr="00E44367">
              <w:rPr>
                <w:rFonts w:asciiTheme="majorHAnsi" w:eastAsia="Times New Roman" w:hAnsiTheme="majorHAnsi" w:cstheme="majorHAnsi"/>
                <w:color w:val="000000"/>
                <w:sz w:val="18"/>
                <w:szCs w:val="18"/>
                <w:lang w:eastAsia="en-GB"/>
              </w:rPr>
              <w:t xml:space="preserve"> to</w:t>
            </w:r>
            <w:r w:rsidR="00E44367" w:rsidRPr="00E44367">
              <w:rPr>
                <w:rFonts w:asciiTheme="majorHAnsi" w:eastAsia="Times New Roman" w:hAnsiTheme="majorHAnsi" w:cstheme="majorHAnsi"/>
                <w:color w:val="000000"/>
                <w:sz w:val="18"/>
                <w:szCs w:val="18"/>
                <w:lang w:eastAsia="en-GB"/>
              </w:rPr>
              <w:t xml:space="preserve"> 0 </w:t>
            </w:r>
            <w:r w:rsidRPr="00E44367">
              <w:rPr>
                <w:rFonts w:asciiTheme="majorHAnsi" w:eastAsia="Times New Roman" w:hAnsiTheme="majorHAnsi" w:cstheme="majorHAnsi"/>
                <w:color w:val="000000"/>
                <w:sz w:val="18"/>
                <w:szCs w:val="18"/>
                <w:lang w:eastAsia="en-GB"/>
              </w:rPr>
              <w:t>percentage points</w:t>
            </w:r>
          </w:p>
        </w:tc>
        <w:tc>
          <w:tcPr>
            <w:tcW w:w="1510" w:type="pct"/>
          </w:tcPr>
          <w:p w14:paraId="569DFA48" w14:textId="69690C84" w:rsidR="00CD70B7" w:rsidRPr="007B29D0" w:rsidRDefault="00E44367" w:rsidP="00634243">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Pr>
                <w:rFonts w:asciiTheme="majorHAnsi" w:eastAsia="Times New Roman" w:hAnsiTheme="majorHAnsi" w:cstheme="majorHAnsi"/>
                <w:color w:val="000000"/>
                <w:sz w:val="18"/>
                <w:szCs w:val="18"/>
                <w:lang w:eastAsia="en-GB"/>
              </w:rPr>
              <w:t>Hardly any discernable difference between different indicators for victimization and violence.</w:t>
            </w:r>
          </w:p>
        </w:tc>
      </w:tr>
      <w:tr w:rsidR="00CD70B7" w:rsidRPr="00F051D7" w14:paraId="0498419F" w14:textId="77777777" w:rsidTr="00A9686C">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205CB4E1"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1.2 Freedom of movement </w:t>
            </w:r>
          </w:p>
        </w:tc>
        <w:tc>
          <w:tcPr>
            <w:tcW w:w="4103" w:type="pct"/>
            <w:gridSpan w:val="3"/>
          </w:tcPr>
          <w:p w14:paraId="1F93CFD1" w14:textId="041B64CA" w:rsidR="00CD70B7" w:rsidRPr="00F051D7" w:rsidRDefault="00CD70B7"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Only available indicator was whether IDPs </w:t>
            </w:r>
            <w:r w:rsidR="002D6B81">
              <w:rPr>
                <w:rFonts w:asciiTheme="majorHAnsi" w:eastAsia="Times New Roman" w:hAnsiTheme="majorHAnsi" w:cstheme="majorHAnsi"/>
                <w:color w:val="000000"/>
                <w:sz w:val="18"/>
                <w:szCs w:val="18"/>
                <w:lang w:eastAsia="en-GB"/>
              </w:rPr>
              <w:t>feel free to move</w:t>
            </w:r>
            <w:r w:rsidRPr="00F051D7">
              <w:rPr>
                <w:rFonts w:asciiTheme="majorHAnsi" w:eastAsia="Times New Roman" w:hAnsiTheme="majorHAnsi" w:cstheme="majorHAnsi"/>
                <w:color w:val="000000"/>
                <w:sz w:val="18"/>
                <w:szCs w:val="18"/>
                <w:lang w:eastAsia="en-GB"/>
              </w:rPr>
              <w:t xml:space="preserve">. No assessment of indicator choice. </w:t>
            </w:r>
          </w:p>
        </w:tc>
      </w:tr>
      <w:tr w:rsidR="002D6B81" w:rsidRPr="00F051D7" w14:paraId="76DCAC65" w14:textId="77777777" w:rsidTr="00A9686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601A292E" w14:textId="77777777" w:rsidR="002D6B81" w:rsidRPr="00F051D7" w:rsidRDefault="002D6B81"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2.1 Food security </w:t>
            </w:r>
          </w:p>
        </w:tc>
        <w:tc>
          <w:tcPr>
            <w:tcW w:w="4103" w:type="pct"/>
            <w:gridSpan w:val="3"/>
          </w:tcPr>
          <w:p w14:paraId="50FF8D4D" w14:textId="514F5402" w:rsidR="002D6B81" w:rsidRPr="00F051D7" w:rsidRDefault="002D6B81"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 xml:space="preserve">Only available indicator was whether IDPs </w:t>
            </w:r>
            <w:r w:rsidR="00D45A2B">
              <w:rPr>
                <w:rFonts w:asciiTheme="majorHAnsi" w:eastAsia="Times New Roman" w:hAnsiTheme="majorHAnsi" w:cstheme="majorHAnsi"/>
                <w:color w:val="000000"/>
                <w:sz w:val="18"/>
                <w:szCs w:val="18"/>
                <w:lang w:eastAsia="en-GB"/>
              </w:rPr>
              <w:t xml:space="preserve">score higher than average on Food Security Scale. No assessment of indicator choice. </w:t>
            </w:r>
            <w:r w:rsidRPr="00F051D7">
              <w:rPr>
                <w:rFonts w:asciiTheme="majorHAnsi" w:eastAsia="Times New Roman" w:hAnsiTheme="majorHAnsi" w:cstheme="majorHAnsi"/>
                <w:color w:val="000000"/>
                <w:sz w:val="18"/>
                <w:szCs w:val="18"/>
                <w:lang w:eastAsia="en-GB"/>
              </w:rPr>
              <w:t xml:space="preserve"> </w:t>
            </w:r>
          </w:p>
        </w:tc>
      </w:tr>
      <w:tr w:rsidR="00CD70B7" w:rsidRPr="00F051D7" w14:paraId="1697E30C" w14:textId="77777777" w:rsidTr="00D40D40">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0ACE8E57"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2.2 Shelter and housing </w:t>
            </w:r>
          </w:p>
        </w:tc>
        <w:tc>
          <w:tcPr>
            <w:tcW w:w="1945" w:type="pct"/>
          </w:tcPr>
          <w:p w14:paraId="31374598" w14:textId="07421E3D" w:rsidR="00CD70B7" w:rsidRPr="00F051D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FF45F1">
              <w:rPr>
                <w:rFonts w:asciiTheme="majorHAnsi" w:hAnsiTheme="majorHAnsi" w:cstheme="majorHAnsi"/>
                <w:sz w:val="18"/>
                <w:szCs w:val="18"/>
                <w:lang w:eastAsia="en-GB"/>
              </w:rPr>
              <w:t>Non-durable living arrangement</w:t>
            </w:r>
            <w:r w:rsidRPr="00F051D7">
              <w:rPr>
                <w:rFonts w:asciiTheme="majorHAnsi" w:hAnsiTheme="majorHAnsi" w:cstheme="majorHAnsi"/>
                <w:sz w:val="18"/>
                <w:szCs w:val="18"/>
                <w:lang w:eastAsia="en-GB"/>
              </w:rPr>
              <w:t xml:space="preserve"> </w:t>
            </w:r>
            <w:r w:rsidR="00123F42">
              <w:rPr>
                <w:rFonts w:asciiTheme="majorHAnsi" w:hAnsiTheme="majorHAnsi" w:cstheme="majorHAnsi"/>
                <w:sz w:val="18"/>
                <w:szCs w:val="18"/>
                <w:lang w:eastAsia="en-GB"/>
              </w:rPr>
              <w:t>(baseline)</w:t>
            </w:r>
          </w:p>
          <w:p w14:paraId="3075B595" w14:textId="77777777" w:rsidR="00CD70B7" w:rsidRPr="00F051D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2. Living in overcrowded space</w:t>
            </w:r>
          </w:p>
          <w:p w14:paraId="2EC3D50B" w14:textId="19824AAF" w:rsidR="00CD70B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3. </w:t>
            </w:r>
            <w:r w:rsidR="0059300C">
              <w:rPr>
                <w:rFonts w:asciiTheme="majorHAnsi" w:hAnsiTheme="majorHAnsi" w:cstheme="majorHAnsi"/>
                <w:sz w:val="18"/>
                <w:szCs w:val="18"/>
                <w:lang w:eastAsia="en-GB"/>
              </w:rPr>
              <w:t>Owning or renting house</w:t>
            </w:r>
          </w:p>
          <w:p w14:paraId="3677D2CC" w14:textId="0B0389D3" w:rsidR="0059300C" w:rsidRDefault="0059300C"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4. Squatting in house</w:t>
            </w:r>
          </w:p>
          <w:p w14:paraId="21CB0BD1" w14:textId="10C5B8B8" w:rsidR="0059300C" w:rsidRDefault="0059300C"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5. </w:t>
            </w:r>
            <w:r w:rsidR="00074A46">
              <w:rPr>
                <w:rFonts w:asciiTheme="majorHAnsi" w:hAnsiTheme="majorHAnsi" w:cstheme="majorHAnsi"/>
                <w:sz w:val="18"/>
                <w:szCs w:val="18"/>
                <w:lang w:eastAsia="en-GB"/>
              </w:rPr>
              <w:t>Living in temporary shelter</w:t>
            </w:r>
          </w:p>
          <w:p w14:paraId="3959E9D2" w14:textId="59545537" w:rsidR="0059300C" w:rsidRDefault="0059300C"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6. </w:t>
            </w:r>
            <w:r w:rsidR="00074A46">
              <w:rPr>
                <w:rFonts w:asciiTheme="majorHAnsi" w:hAnsiTheme="majorHAnsi" w:cstheme="majorHAnsi"/>
                <w:sz w:val="18"/>
                <w:szCs w:val="18"/>
                <w:lang w:eastAsia="en-GB"/>
              </w:rPr>
              <w:t>Owning or renting house legally</w:t>
            </w:r>
          </w:p>
          <w:p w14:paraId="135607CF" w14:textId="7B14CE34" w:rsidR="00F850EA" w:rsidRDefault="00F850EA"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7. Access to improved sanitation</w:t>
            </w:r>
          </w:p>
          <w:p w14:paraId="68379448" w14:textId="73FBAEDF" w:rsidR="00F850EA" w:rsidRDefault="00F850EA"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8. No obstacles to accessing water</w:t>
            </w:r>
          </w:p>
          <w:p w14:paraId="19708E7C" w14:textId="36EECA66" w:rsidR="00F850EA" w:rsidRPr="00F051D7" w:rsidRDefault="00F850EA"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9. Drinking water from improved sources</w:t>
            </w:r>
          </w:p>
          <w:p w14:paraId="29D0DE84" w14:textId="77777777" w:rsidR="00CD70B7" w:rsidRPr="00F051D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p>
        </w:tc>
        <w:tc>
          <w:tcPr>
            <w:tcW w:w="648" w:type="pct"/>
          </w:tcPr>
          <w:p w14:paraId="73F64049" w14:textId="520FC855" w:rsidR="00CD70B7" w:rsidRPr="007B29D0" w:rsidRDefault="00FB600C"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4C6623">
              <w:rPr>
                <w:rFonts w:asciiTheme="majorHAnsi" w:eastAsia="Times New Roman" w:hAnsiTheme="majorHAnsi" w:cstheme="majorHAnsi"/>
                <w:color w:val="000000"/>
                <w:sz w:val="18"/>
                <w:szCs w:val="18"/>
                <w:lang w:eastAsia="en-GB"/>
              </w:rPr>
              <w:t>-0.1 to 0 percentage points</w:t>
            </w:r>
          </w:p>
        </w:tc>
        <w:tc>
          <w:tcPr>
            <w:tcW w:w="1510" w:type="pct"/>
          </w:tcPr>
          <w:p w14:paraId="490D197E" w14:textId="1D5AA1BF" w:rsidR="00CD70B7" w:rsidRPr="007B29D0" w:rsidRDefault="00FB600C" w:rsidP="009C37EC">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 xml:space="preserve">different indicators for shelter and housing. </w:t>
            </w:r>
          </w:p>
        </w:tc>
      </w:tr>
      <w:tr w:rsidR="00CD70B7" w:rsidRPr="00F051D7" w14:paraId="6CDE9CA9" w14:textId="77777777" w:rsidTr="00D40D4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5BEE08E4"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2.3 Medical services </w:t>
            </w:r>
          </w:p>
        </w:tc>
        <w:tc>
          <w:tcPr>
            <w:tcW w:w="1945" w:type="pct"/>
          </w:tcPr>
          <w:p w14:paraId="55D8023F" w14:textId="63FC37D2" w:rsidR="00CD70B7" w:rsidRPr="00F051D7"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Access to medical services </w:t>
            </w:r>
            <w:r w:rsidR="00EB0904">
              <w:rPr>
                <w:rFonts w:asciiTheme="majorHAnsi" w:hAnsiTheme="majorHAnsi" w:cstheme="majorHAnsi"/>
                <w:sz w:val="18"/>
                <w:szCs w:val="18"/>
                <w:lang w:eastAsia="en-GB"/>
              </w:rPr>
              <w:t>as needed</w:t>
            </w:r>
            <w:r w:rsidRPr="00F051D7">
              <w:rPr>
                <w:rFonts w:asciiTheme="majorHAnsi" w:hAnsiTheme="majorHAnsi" w:cstheme="majorHAnsi"/>
                <w:sz w:val="18"/>
                <w:szCs w:val="18"/>
                <w:lang w:eastAsia="en-GB"/>
              </w:rPr>
              <w:t xml:space="preserve"> (baseline)</w:t>
            </w:r>
          </w:p>
          <w:p w14:paraId="5ADB088C" w14:textId="3422716C" w:rsidR="00F850EA" w:rsidRPr="00F051D7" w:rsidRDefault="00CD70B7" w:rsidP="00F850EA">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EB0904">
              <w:rPr>
                <w:rFonts w:asciiTheme="majorHAnsi" w:hAnsiTheme="majorHAnsi" w:cstheme="majorHAnsi"/>
                <w:sz w:val="18"/>
                <w:szCs w:val="18"/>
                <w:lang w:eastAsia="en-GB"/>
              </w:rPr>
              <w:t>Distance to health facility</w:t>
            </w:r>
          </w:p>
          <w:p w14:paraId="2254E872" w14:textId="619CDD2D" w:rsidR="00CD70B7" w:rsidRPr="00F051D7" w:rsidRDefault="00CD70B7" w:rsidP="00EB0904">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p>
        </w:tc>
        <w:tc>
          <w:tcPr>
            <w:tcW w:w="648" w:type="pct"/>
          </w:tcPr>
          <w:p w14:paraId="1F1B300D" w14:textId="78F6B193" w:rsidR="00CD70B7" w:rsidRPr="004C6623" w:rsidRDefault="00050B4B"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4C6623">
              <w:rPr>
                <w:rFonts w:asciiTheme="majorHAnsi" w:eastAsia="Times New Roman" w:hAnsiTheme="majorHAnsi" w:cstheme="majorHAnsi"/>
                <w:color w:val="000000"/>
                <w:sz w:val="18"/>
                <w:szCs w:val="18"/>
                <w:lang w:eastAsia="en-GB"/>
              </w:rPr>
              <w:t>0</w:t>
            </w:r>
            <w:r w:rsidR="0061359E">
              <w:rPr>
                <w:rFonts w:asciiTheme="majorHAnsi" w:eastAsia="Times New Roman" w:hAnsiTheme="majorHAnsi" w:cstheme="majorHAnsi"/>
                <w:color w:val="000000"/>
                <w:sz w:val="18"/>
                <w:szCs w:val="18"/>
                <w:lang w:eastAsia="en-GB"/>
              </w:rPr>
              <w:t xml:space="preserve"> </w:t>
            </w:r>
            <w:r w:rsidR="00CD70B7" w:rsidRPr="004C6623">
              <w:rPr>
                <w:rFonts w:asciiTheme="majorHAnsi" w:eastAsia="Times New Roman" w:hAnsiTheme="majorHAnsi" w:cstheme="majorHAnsi"/>
                <w:color w:val="000000"/>
                <w:sz w:val="18"/>
                <w:szCs w:val="18"/>
                <w:lang w:eastAsia="en-GB"/>
              </w:rPr>
              <w:t>percentage points</w:t>
            </w:r>
          </w:p>
        </w:tc>
        <w:tc>
          <w:tcPr>
            <w:tcW w:w="1510" w:type="pct"/>
          </w:tcPr>
          <w:p w14:paraId="710F23D5" w14:textId="7089CE96" w:rsidR="00CD70B7" w:rsidRPr="007B29D0" w:rsidRDefault="00FB600C"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 xml:space="preserve">different indicators for </w:t>
            </w:r>
            <w:r w:rsidR="0061359E">
              <w:rPr>
                <w:rFonts w:asciiTheme="majorHAnsi" w:eastAsia="Times New Roman" w:hAnsiTheme="majorHAnsi" w:cstheme="majorHAnsi"/>
                <w:color w:val="000000"/>
                <w:sz w:val="18"/>
                <w:szCs w:val="18"/>
                <w:lang w:eastAsia="en-GB"/>
              </w:rPr>
              <w:t xml:space="preserve">medical services. </w:t>
            </w:r>
          </w:p>
        </w:tc>
      </w:tr>
      <w:tr w:rsidR="00CD70B7" w:rsidRPr="00F051D7" w14:paraId="3FD0AB0B" w14:textId="77777777" w:rsidTr="00D40D40">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332CEA05"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lastRenderedPageBreak/>
              <w:t>2.4 Education </w:t>
            </w:r>
          </w:p>
        </w:tc>
        <w:tc>
          <w:tcPr>
            <w:tcW w:w="1945" w:type="pct"/>
          </w:tcPr>
          <w:p w14:paraId="5D1A8793" w14:textId="13326CC3" w:rsidR="00CD70B7" w:rsidRPr="00F051D7" w:rsidRDefault="00CD70B7" w:rsidP="009B045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34033C">
              <w:rPr>
                <w:rFonts w:asciiTheme="majorHAnsi" w:hAnsiTheme="majorHAnsi" w:cstheme="majorHAnsi"/>
                <w:sz w:val="18"/>
                <w:szCs w:val="18"/>
                <w:lang w:eastAsia="en-GB"/>
              </w:rPr>
              <w:t>Duration to next education facility</w:t>
            </w:r>
            <w:r w:rsidRPr="00F051D7">
              <w:rPr>
                <w:rFonts w:asciiTheme="majorHAnsi" w:hAnsiTheme="majorHAnsi" w:cstheme="majorHAnsi"/>
                <w:sz w:val="18"/>
                <w:szCs w:val="18"/>
                <w:lang w:eastAsia="en-GB"/>
              </w:rPr>
              <w:t xml:space="preserve"> (baseline)</w:t>
            </w:r>
          </w:p>
          <w:p w14:paraId="704C83F6" w14:textId="72D194BD" w:rsidR="00CD70B7" w:rsidRPr="00F051D7" w:rsidRDefault="00CD70B7" w:rsidP="0034033C">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34033C">
              <w:rPr>
                <w:rFonts w:asciiTheme="majorHAnsi" w:hAnsiTheme="majorHAnsi" w:cstheme="majorHAnsi"/>
                <w:sz w:val="18"/>
                <w:szCs w:val="18"/>
                <w:lang w:eastAsia="en-GB"/>
              </w:rPr>
              <w:t>Satisfaction with schools</w:t>
            </w:r>
          </w:p>
        </w:tc>
        <w:tc>
          <w:tcPr>
            <w:tcW w:w="648" w:type="pct"/>
          </w:tcPr>
          <w:p w14:paraId="46739268" w14:textId="09DBF81B" w:rsidR="00CD70B7" w:rsidRPr="007B29D0" w:rsidRDefault="005B1BDD"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07398C">
              <w:rPr>
                <w:rFonts w:asciiTheme="majorHAnsi" w:eastAsia="Times New Roman" w:hAnsiTheme="majorHAnsi" w:cstheme="majorHAnsi"/>
                <w:color w:val="000000"/>
                <w:sz w:val="18"/>
                <w:szCs w:val="18"/>
                <w:lang w:eastAsia="en-GB"/>
              </w:rPr>
              <w:t>-0.05</w:t>
            </w:r>
            <w:r w:rsidR="00CD70B7" w:rsidRPr="0007398C">
              <w:rPr>
                <w:rFonts w:asciiTheme="majorHAnsi" w:eastAsia="Times New Roman" w:hAnsiTheme="majorHAnsi" w:cstheme="majorHAnsi"/>
                <w:color w:val="000000"/>
                <w:sz w:val="18"/>
                <w:szCs w:val="18"/>
                <w:lang w:eastAsia="en-GB"/>
              </w:rPr>
              <w:t xml:space="preserve"> percentage points</w:t>
            </w:r>
          </w:p>
        </w:tc>
        <w:tc>
          <w:tcPr>
            <w:tcW w:w="1510" w:type="pct"/>
          </w:tcPr>
          <w:p w14:paraId="5AC48289" w14:textId="3D105030" w:rsidR="00CD70B7" w:rsidRPr="007B29D0" w:rsidRDefault="0007398C"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different indicators for education.</w:t>
            </w:r>
          </w:p>
        </w:tc>
      </w:tr>
      <w:tr w:rsidR="00CD70B7" w:rsidRPr="00F051D7" w14:paraId="47CEAF6B" w14:textId="77777777" w:rsidTr="00A9686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433EA6B4"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3.1 Employment and livelihoods </w:t>
            </w:r>
          </w:p>
        </w:tc>
        <w:tc>
          <w:tcPr>
            <w:tcW w:w="4103" w:type="pct"/>
            <w:gridSpan w:val="3"/>
          </w:tcPr>
          <w:p w14:paraId="558E1BD5" w14:textId="252C9184" w:rsidR="00CD70B7" w:rsidRPr="00F051D7"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F051D7">
              <w:rPr>
                <w:rFonts w:asciiTheme="majorHAnsi" w:eastAsia="Times New Roman" w:hAnsiTheme="majorHAnsi" w:cstheme="majorHAnsi"/>
                <w:color w:val="000000"/>
                <w:sz w:val="18"/>
                <w:szCs w:val="18"/>
                <w:lang w:eastAsia="en-GB"/>
              </w:rPr>
              <w:t xml:space="preserve">Only available indicator was whether IDP household </w:t>
            </w:r>
            <w:r w:rsidR="00EC6469">
              <w:rPr>
                <w:rFonts w:asciiTheme="majorHAnsi" w:eastAsia="Times New Roman" w:hAnsiTheme="majorHAnsi" w:cstheme="majorHAnsi"/>
                <w:color w:val="000000"/>
                <w:sz w:val="18"/>
                <w:szCs w:val="18"/>
                <w:lang w:eastAsia="en-GB"/>
              </w:rPr>
              <w:t xml:space="preserve">generated income from wages, salaries, own business or a pension. No </w:t>
            </w:r>
            <w:r w:rsidRPr="00F051D7">
              <w:rPr>
                <w:rFonts w:asciiTheme="majorHAnsi" w:eastAsia="Times New Roman" w:hAnsiTheme="majorHAnsi" w:cstheme="majorHAnsi"/>
                <w:color w:val="000000"/>
                <w:sz w:val="18"/>
                <w:szCs w:val="18"/>
                <w:lang w:eastAsia="en-GB"/>
              </w:rPr>
              <w:t>assessment of indicator choice.</w:t>
            </w:r>
          </w:p>
        </w:tc>
      </w:tr>
      <w:tr w:rsidR="00CD70B7" w:rsidRPr="00F051D7" w14:paraId="3F10E498" w14:textId="77777777" w:rsidTr="00D40D40">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5F2C6B12" w14:textId="77777777"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3.2 Economic security </w:t>
            </w:r>
          </w:p>
        </w:tc>
        <w:tc>
          <w:tcPr>
            <w:tcW w:w="1945" w:type="pct"/>
          </w:tcPr>
          <w:p w14:paraId="772CCDCB" w14:textId="0CC3E67C" w:rsidR="005B3E85" w:rsidRDefault="00CD70B7" w:rsidP="005B3E8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1. </w:t>
            </w:r>
            <w:r w:rsidR="005B3E85">
              <w:rPr>
                <w:rFonts w:asciiTheme="majorHAnsi" w:hAnsiTheme="majorHAnsi" w:cstheme="majorHAnsi"/>
                <w:sz w:val="18"/>
                <w:szCs w:val="18"/>
                <w:lang w:eastAsia="en-GB"/>
              </w:rPr>
              <w:t>Having a bank account</w:t>
            </w:r>
            <w:r w:rsidR="00236536" w:rsidRPr="00236536">
              <w:rPr>
                <w:rFonts w:asciiTheme="majorHAnsi" w:hAnsiTheme="majorHAnsi" w:cstheme="majorHAnsi"/>
                <w:sz w:val="18"/>
                <w:szCs w:val="18"/>
                <w:lang w:eastAsia="en-GB"/>
              </w:rPr>
              <w:t xml:space="preserve"> </w:t>
            </w:r>
            <w:r w:rsidR="00B07D8D">
              <w:rPr>
                <w:rFonts w:asciiTheme="majorHAnsi" w:hAnsiTheme="majorHAnsi" w:cstheme="majorHAnsi"/>
                <w:sz w:val="18"/>
                <w:szCs w:val="18"/>
                <w:lang w:eastAsia="en-GB"/>
              </w:rPr>
              <w:t>(baseline)</w:t>
            </w:r>
          </w:p>
          <w:p w14:paraId="0D57A3B9" w14:textId="77777777" w:rsidR="00736531" w:rsidRDefault="005B3E85"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2. Being </w:t>
            </w:r>
            <w:r w:rsidR="00236536" w:rsidRPr="00236536">
              <w:rPr>
                <w:rFonts w:asciiTheme="majorHAnsi" w:hAnsiTheme="majorHAnsi" w:cstheme="majorHAnsi"/>
                <w:sz w:val="18"/>
                <w:szCs w:val="18"/>
                <w:lang w:eastAsia="en-GB"/>
              </w:rPr>
              <w:t>below 1.9 USD PPP 2011 Poverty Line</w:t>
            </w:r>
          </w:p>
          <w:p w14:paraId="442CD9B6" w14:textId="0153EF58" w:rsidR="00736531" w:rsidRDefault="00736531" w:rsidP="0073653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 xml:space="preserve">3. Being below </w:t>
            </w:r>
            <w:r w:rsidR="00236536" w:rsidRPr="00236536">
              <w:rPr>
                <w:rFonts w:asciiTheme="majorHAnsi" w:hAnsiTheme="majorHAnsi" w:cstheme="majorHAnsi"/>
                <w:sz w:val="18"/>
                <w:szCs w:val="18"/>
                <w:lang w:eastAsia="en-GB"/>
              </w:rPr>
              <w:t>1.25 USD PPP 2011 poverty line</w:t>
            </w:r>
          </w:p>
          <w:p w14:paraId="63143444" w14:textId="576A1ABC" w:rsidR="00236536" w:rsidRPr="00236536" w:rsidRDefault="00736531"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4. Being b</w:t>
            </w:r>
            <w:r w:rsidR="00236536" w:rsidRPr="00236536">
              <w:rPr>
                <w:rFonts w:asciiTheme="majorHAnsi" w:hAnsiTheme="majorHAnsi" w:cstheme="majorHAnsi"/>
                <w:sz w:val="18"/>
                <w:szCs w:val="18"/>
                <w:lang w:eastAsia="en-GB"/>
              </w:rPr>
              <w:t>elow 3.1 USD PPP 2011 poverty line</w:t>
            </w:r>
          </w:p>
          <w:p w14:paraId="41A7C607" w14:textId="42E8C545" w:rsidR="00236536" w:rsidRPr="00236536" w:rsidRDefault="00736531"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5. Having low</w:t>
            </w:r>
            <w:r w:rsidR="00236536" w:rsidRPr="00236536">
              <w:rPr>
                <w:rFonts w:asciiTheme="majorHAnsi" w:hAnsiTheme="majorHAnsi" w:cstheme="majorHAnsi"/>
                <w:sz w:val="18"/>
                <w:szCs w:val="18"/>
                <w:lang w:eastAsia="en-GB"/>
              </w:rPr>
              <w:t xml:space="preserve"> </w:t>
            </w:r>
            <w:r>
              <w:rPr>
                <w:rFonts w:asciiTheme="majorHAnsi" w:hAnsiTheme="majorHAnsi" w:cstheme="majorHAnsi"/>
                <w:sz w:val="18"/>
                <w:szCs w:val="18"/>
                <w:lang w:eastAsia="en-GB"/>
              </w:rPr>
              <w:t>r</w:t>
            </w:r>
            <w:r w:rsidR="00236536" w:rsidRPr="00236536">
              <w:rPr>
                <w:rFonts w:asciiTheme="majorHAnsi" w:hAnsiTheme="majorHAnsi" w:cstheme="majorHAnsi"/>
                <w:sz w:val="18"/>
                <w:szCs w:val="18"/>
                <w:lang w:eastAsia="en-GB"/>
              </w:rPr>
              <w:t>atio of food vs total consumption</w:t>
            </w:r>
          </w:p>
          <w:p w14:paraId="2116F5C7" w14:textId="6A6814B0" w:rsidR="00236536" w:rsidRPr="00236536" w:rsidRDefault="00736531"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6. Consuming</w:t>
            </w:r>
            <w:r w:rsidR="00236536" w:rsidRPr="00236536">
              <w:rPr>
                <w:rFonts w:asciiTheme="majorHAnsi" w:hAnsiTheme="majorHAnsi" w:cstheme="majorHAnsi"/>
                <w:sz w:val="18"/>
                <w:szCs w:val="18"/>
                <w:lang w:eastAsia="en-GB"/>
              </w:rPr>
              <w:t xml:space="preserve"> more than average</w:t>
            </w:r>
          </w:p>
          <w:p w14:paraId="2B852BE3" w14:textId="7E4EE383" w:rsidR="00CD70B7" w:rsidRPr="00F051D7" w:rsidRDefault="00736531" w:rsidP="00236536">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eastAsia="en-GB"/>
              </w:rPr>
            </w:pPr>
            <w:r>
              <w:rPr>
                <w:rFonts w:asciiTheme="majorHAnsi" w:hAnsiTheme="majorHAnsi" w:cstheme="majorHAnsi"/>
                <w:sz w:val="18"/>
                <w:szCs w:val="18"/>
                <w:lang w:eastAsia="en-GB"/>
              </w:rPr>
              <w:t>7.</w:t>
            </w:r>
            <w:r w:rsidR="00236536" w:rsidRPr="00236536">
              <w:rPr>
                <w:rFonts w:asciiTheme="majorHAnsi" w:hAnsiTheme="majorHAnsi" w:cstheme="majorHAnsi"/>
                <w:sz w:val="18"/>
                <w:szCs w:val="18"/>
                <w:lang w:eastAsia="en-GB"/>
              </w:rPr>
              <w:t xml:space="preserve"> Distance to market</w:t>
            </w:r>
          </w:p>
        </w:tc>
        <w:tc>
          <w:tcPr>
            <w:tcW w:w="648" w:type="pct"/>
          </w:tcPr>
          <w:p w14:paraId="00D9D117" w14:textId="6B061428" w:rsidR="00CD70B7" w:rsidRPr="00596F7B" w:rsidRDefault="005B1BDD"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sidRPr="00596F7B">
              <w:rPr>
                <w:rFonts w:asciiTheme="majorHAnsi" w:eastAsia="Times New Roman" w:hAnsiTheme="majorHAnsi" w:cstheme="majorHAnsi"/>
                <w:color w:val="000000"/>
                <w:sz w:val="18"/>
                <w:szCs w:val="18"/>
                <w:lang w:eastAsia="en-GB"/>
              </w:rPr>
              <w:t>-</w:t>
            </w:r>
            <w:r w:rsidR="00CD70B7" w:rsidRPr="00596F7B">
              <w:rPr>
                <w:rFonts w:asciiTheme="majorHAnsi" w:eastAsia="Times New Roman" w:hAnsiTheme="majorHAnsi" w:cstheme="majorHAnsi"/>
                <w:color w:val="000000"/>
                <w:sz w:val="18"/>
                <w:szCs w:val="18"/>
                <w:lang w:eastAsia="en-GB"/>
              </w:rPr>
              <w:t>0.0</w:t>
            </w:r>
            <w:r w:rsidRPr="00596F7B">
              <w:rPr>
                <w:rFonts w:asciiTheme="majorHAnsi" w:eastAsia="Times New Roman" w:hAnsiTheme="majorHAnsi" w:cstheme="majorHAnsi"/>
                <w:color w:val="000000"/>
                <w:sz w:val="18"/>
                <w:szCs w:val="18"/>
                <w:lang w:eastAsia="en-GB"/>
              </w:rPr>
              <w:t>5</w:t>
            </w:r>
            <w:r w:rsidR="00323A66" w:rsidRPr="00596F7B">
              <w:rPr>
                <w:rFonts w:asciiTheme="majorHAnsi" w:eastAsia="Times New Roman" w:hAnsiTheme="majorHAnsi" w:cstheme="majorHAnsi"/>
                <w:color w:val="000000"/>
                <w:sz w:val="18"/>
                <w:szCs w:val="18"/>
                <w:lang w:eastAsia="en-GB"/>
              </w:rPr>
              <w:t xml:space="preserve"> </w:t>
            </w:r>
            <w:r w:rsidR="00CD70B7" w:rsidRPr="00596F7B">
              <w:rPr>
                <w:rFonts w:asciiTheme="majorHAnsi" w:eastAsia="Times New Roman" w:hAnsiTheme="majorHAnsi" w:cstheme="majorHAnsi"/>
                <w:color w:val="000000"/>
                <w:sz w:val="18"/>
                <w:szCs w:val="18"/>
                <w:lang w:eastAsia="en-GB"/>
              </w:rPr>
              <w:t>to 0.</w:t>
            </w:r>
            <w:r w:rsidR="00596F7B" w:rsidRPr="00596F7B">
              <w:rPr>
                <w:rFonts w:asciiTheme="majorHAnsi" w:eastAsia="Times New Roman" w:hAnsiTheme="majorHAnsi" w:cstheme="majorHAnsi"/>
                <w:color w:val="000000"/>
                <w:sz w:val="18"/>
                <w:szCs w:val="18"/>
                <w:lang w:eastAsia="en-GB"/>
              </w:rPr>
              <w:t>13 percentage points</w:t>
            </w:r>
          </w:p>
        </w:tc>
        <w:tc>
          <w:tcPr>
            <w:tcW w:w="1510" w:type="pct"/>
          </w:tcPr>
          <w:p w14:paraId="3F371441" w14:textId="1421E014" w:rsidR="00CD70B7" w:rsidRPr="007B29D0" w:rsidRDefault="00596F7B"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 xml:space="preserve">different indicators for economic security. </w:t>
            </w:r>
          </w:p>
        </w:tc>
      </w:tr>
      <w:tr w:rsidR="00CD70B7" w:rsidRPr="00F051D7" w14:paraId="20C684F3" w14:textId="77777777" w:rsidTr="00D40D4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97" w:type="pct"/>
            <w:hideMark/>
          </w:tcPr>
          <w:p w14:paraId="061E7E81" w14:textId="7A1A4AF2" w:rsidR="00CD70B7" w:rsidRPr="00F051D7" w:rsidRDefault="00CD70B7"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4.1 Property restitution and compensation </w:t>
            </w:r>
          </w:p>
        </w:tc>
        <w:tc>
          <w:tcPr>
            <w:tcW w:w="1945" w:type="pct"/>
          </w:tcPr>
          <w:p w14:paraId="5AE7C1D3" w14:textId="6EFE9129" w:rsidR="00CD70B7" w:rsidRPr="00F051D7" w:rsidRDefault="00CD70B7" w:rsidP="009B045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1. Access to recompensating mechanism for lost HLP (baseline)</w:t>
            </w:r>
          </w:p>
          <w:p w14:paraId="0F25B672" w14:textId="5D52CF83" w:rsidR="00CD70B7" w:rsidRPr="00F051D7" w:rsidRDefault="00CD70B7" w:rsidP="007D7EF5">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eastAsia="en-GB"/>
              </w:rPr>
            </w:pPr>
            <w:r w:rsidRPr="00F051D7">
              <w:rPr>
                <w:rFonts w:asciiTheme="majorHAnsi" w:hAnsiTheme="majorHAnsi" w:cstheme="majorHAnsi"/>
                <w:sz w:val="18"/>
                <w:szCs w:val="18"/>
                <w:lang w:eastAsia="en-GB"/>
              </w:rPr>
              <w:t xml:space="preserve">2. </w:t>
            </w:r>
            <w:r w:rsidR="007D7EF5">
              <w:rPr>
                <w:rFonts w:asciiTheme="majorHAnsi" w:hAnsiTheme="majorHAnsi" w:cstheme="majorHAnsi"/>
                <w:sz w:val="18"/>
                <w:szCs w:val="18"/>
                <w:lang w:eastAsia="en-GB"/>
              </w:rPr>
              <w:t>L</w:t>
            </w:r>
            <w:r w:rsidR="007D7EF5" w:rsidRPr="007D7EF5">
              <w:rPr>
                <w:rFonts w:asciiTheme="majorHAnsi" w:hAnsiTheme="majorHAnsi" w:cstheme="majorHAnsi"/>
                <w:sz w:val="18"/>
                <w:szCs w:val="18"/>
                <w:lang w:eastAsia="en-GB"/>
              </w:rPr>
              <w:t>egally recognized owner of dwelling</w:t>
            </w:r>
          </w:p>
        </w:tc>
        <w:tc>
          <w:tcPr>
            <w:tcW w:w="648" w:type="pct"/>
          </w:tcPr>
          <w:p w14:paraId="670C461A" w14:textId="77528498" w:rsidR="00CD70B7" w:rsidRPr="007B29D0" w:rsidRDefault="00CD70B7"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D40D40">
              <w:rPr>
                <w:rFonts w:asciiTheme="majorHAnsi" w:eastAsia="Times New Roman" w:hAnsiTheme="majorHAnsi" w:cstheme="majorHAnsi"/>
                <w:color w:val="000000"/>
                <w:sz w:val="18"/>
                <w:szCs w:val="18"/>
                <w:lang w:eastAsia="en-GB"/>
              </w:rPr>
              <w:t>0.</w:t>
            </w:r>
            <w:r w:rsidR="00BF763C" w:rsidRPr="00D40D40">
              <w:rPr>
                <w:rFonts w:asciiTheme="majorHAnsi" w:eastAsia="Times New Roman" w:hAnsiTheme="majorHAnsi" w:cstheme="majorHAnsi"/>
                <w:color w:val="000000"/>
                <w:sz w:val="18"/>
                <w:szCs w:val="18"/>
                <w:lang w:eastAsia="en-GB"/>
              </w:rPr>
              <w:t>0</w:t>
            </w:r>
            <w:r w:rsidR="00D40D40" w:rsidRPr="00D40D40">
              <w:rPr>
                <w:rFonts w:asciiTheme="majorHAnsi" w:eastAsia="Times New Roman" w:hAnsiTheme="majorHAnsi" w:cstheme="majorHAnsi"/>
                <w:color w:val="000000"/>
                <w:sz w:val="18"/>
                <w:szCs w:val="18"/>
                <w:lang w:eastAsia="en-GB"/>
              </w:rPr>
              <w:t xml:space="preserve">4 </w:t>
            </w:r>
            <w:r w:rsidRPr="00D40D40">
              <w:rPr>
                <w:rFonts w:asciiTheme="majorHAnsi" w:eastAsia="Times New Roman" w:hAnsiTheme="majorHAnsi" w:cstheme="majorHAnsi"/>
                <w:color w:val="000000"/>
                <w:sz w:val="18"/>
                <w:szCs w:val="18"/>
                <w:lang w:eastAsia="en-GB"/>
              </w:rPr>
              <w:t>percentage points</w:t>
            </w:r>
          </w:p>
        </w:tc>
        <w:tc>
          <w:tcPr>
            <w:tcW w:w="1510" w:type="pct"/>
          </w:tcPr>
          <w:p w14:paraId="5CEA3A2C" w14:textId="2F3A7D4B" w:rsidR="00CD70B7" w:rsidRPr="007B29D0" w:rsidRDefault="00D40D40"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8"/>
                <w:szCs w:val="18"/>
                <w:highlight w:val="yellow"/>
                <w:lang w:eastAsia="en-GB"/>
              </w:rPr>
            </w:pPr>
            <w:r w:rsidRPr="00F051D7">
              <w:rPr>
                <w:rFonts w:asciiTheme="majorHAnsi" w:eastAsia="Times New Roman" w:hAnsiTheme="majorHAnsi" w:cstheme="majorHAnsi"/>
                <w:color w:val="000000"/>
                <w:sz w:val="18"/>
                <w:szCs w:val="18"/>
                <w:lang w:eastAsia="en-GB"/>
              </w:rPr>
              <w:t>Hardly any</w:t>
            </w:r>
            <w:r>
              <w:rPr>
                <w:rFonts w:asciiTheme="majorHAnsi" w:eastAsia="Times New Roman" w:hAnsiTheme="majorHAnsi" w:cstheme="majorHAnsi"/>
                <w:color w:val="000000"/>
                <w:sz w:val="18"/>
                <w:szCs w:val="18"/>
                <w:lang w:eastAsia="en-GB"/>
              </w:rPr>
              <w:t xml:space="preserve"> discernable difference </w:t>
            </w:r>
            <w:r w:rsidRPr="00F051D7">
              <w:rPr>
                <w:rFonts w:asciiTheme="majorHAnsi" w:eastAsia="Times New Roman" w:hAnsiTheme="majorHAnsi" w:cstheme="majorHAnsi"/>
                <w:color w:val="000000"/>
                <w:sz w:val="18"/>
                <w:szCs w:val="18"/>
                <w:lang w:eastAsia="en-GB"/>
              </w:rPr>
              <w:t xml:space="preserve">between using </w:t>
            </w:r>
            <w:r>
              <w:rPr>
                <w:rFonts w:asciiTheme="majorHAnsi" w:eastAsia="Times New Roman" w:hAnsiTheme="majorHAnsi" w:cstheme="majorHAnsi"/>
                <w:color w:val="000000"/>
                <w:sz w:val="18"/>
                <w:szCs w:val="18"/>
                <w:lang w:eastAsia="en-GB"/>
              </w:rPr>
              <w:t xml:space="preserve">different indicators for property. </w:t>
            </w:r>
          </w:p>
        </w:tc>
      </w:tr>
      <w:tr w:rsidR="004C00F5" w:rsidRPr="00F051D7" w14:paraId="58EA2B17" w14:textId="77777777" w:rsidTr="00A9686C">
        <w:trPr>
          <w:trHeight w:val="282"/>
        </w:trPr>
        <w:tc>
          <w:tcPr>
            <w:cnfStyle w:val="001000000000" w:firstRow="0" w:lastRow="0" w:firstColumn="1" w:lastColumn="0" w:oddVBand="0" w:evenVBand="0" w:oddHBand="0" w:evenHBand="0" w:firstRowFirstColumn="0" w:firstRowLastColumn="0" w:lastRowFirstColumn="0" w:lastRowLastColumn="0"/>
            <w:tcW w:w="897" w:type="pct"/>
            <w:hideMark/>
          </w:tcPr>
          <w:p w14:paraId="7AE72562" w14:textId="1C030C8A" w:rsidR="004C00F5" w:rsidRPr="00F051D7" w:rsidRDefault="004C00F5" w:rsidP="009B045F">
            <w:pPr>
              <w:textAlignment w:val="baseline"/>
              <w:rPr>
                <w:rFonts w:asciiTheme="majorHAnsi" w:eastAsia="Times New Roman" w:hAnsiTheme="majorHAnsi" w:cstheme="majorHAnsi"/>
                <w:sz w:val="18"/>
                <w:szCs w:val="18"/>
                <w:lang w:eastAsia="en-GB"/>
              </w:rPr>
            </w:pPr>
            <w:r w:rsidRPr="00F051D7">
              <w:rPr>
                <w:rFonts w:asciiTheme="majorHAnsi" w:eastAsia="Times New Roman" w:hAnsiTheme="majorHAnsi" w:cstheme="majorHAnsi"/>
                <w:color w:val="000000"/>
                <w:sz w:val="18"/>
                <w:szCs w:val="18"/>
                <w:lang w:eastAsia="en-GB"/>
              </w:rPr>
              <w:t>5.1. Document</w:t>
            </w:r>
            <w:r w:rsidR="00A9686C">
              <w:rPr>
                <w:rFonts w:asciiTheme="majorHAnsi" w:eastAsia="Times New Roman" w:hAnsiTheme="majorHAnsi" w:cstheme="majorHAnsi"/>
                <w:color w:val="000000"/>
                <w:sz w:val="18"/>
                <w:szCs w:val="18"/>
                <w:lang w:eastAsia="en-GB"/>
              </w:rPr>
              <w:t>-</w:t>
            </w:r>
            <w:r w:rsidRPr="00F051D7">
              <w:rPr>
                <w:rFonts w:asciiTheme="majorHAnsi" w:eastAsia="Times New Roman" w:hAnsiTheme="majorHAnsi" w:cstheme="majorHAnsi"/>
                <w:color w:val="000000"/>
                <w:sz w:val="18"/>
                <w:szCs w:val="18"/>
                <w:lang w:eastAsia="en-GB"/>
              </w:rPr>
              <w:t>ation </w:t>
            </w:r>
          </w:p>
        </w:tc>
        <w:tc>
          <w:tcPr>
            <w:tcW w:w="4103" w:type="pct"/>
            <w:gridSpan w:val="3"/>
          </w:tcPr>
          <w:p w14:paraId="67523C8F" w14:textId="613896E0" w:rsidR="004C00F5" w:rsidRPr="00F051D7" w:rsidRDefault="004C00F5" w:rsidP="009B045F">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en-GB"/>
              </w:rPr>
            </w:pPr>
            <w:r>
              <w:rPr>
                <w:rFonts w:asciiTheme="majorHAnsi" w:eastAsia="Times New Roman" w:hAnsiTheme="majorHAnsi" w:cstheme="majorHAnsi"/>
                <w:color w:val="000000"/>
                <w:sz w:val="18"/>
                <w:szCs w:val="18"/>
                <w:lang w:eastAsia="en-GB"/>
              </w:rPr>
              <w:t>Only available indicator was</w:t>
            </w:r>
            <w:r w:rsidR="00047E92">
              <w:rPr>
                <w:rFonts w:asciiTheme="majorHAnsi" w:eastAsia="Times New Roman" w:hAnsiTheme="majorHAnsi" w:cstheme="majorHAnsi"/>
                <w:color w:val="000000"/>
                <w:sz w:val="18"/>
                <w:szCs w:val="18"/>
                <w:lang w:eastAsia="en-GB"/>
              </w:rPr>
              <w:t xml:space="preserve"> if IDPs had</w:t>
            </w:r>
            <w:r w:rsidR="00047E92" w:rsidRPr="00047E92">
              <w:rPr>
                <w:rFonts w:asciiTheme="majorHAnsi" w:eastAsia="Times New Roman" w:hAnsiTheme="majorHAnsi" w:cstheme="majorHAnsi"/>
                <w:color w:val="000000"/>
                <w:sz w:val="18"/>
                <w:szCs w:val="18"/>
                <w:lang w:eastAsia="en-GB"/>
              </w:rPr>
              <w:t xml:space="preserve"> documents or access to replace missing documents if lost</w:t>
            </w:r>
            <w:r w:rsidR="00047E92">
              <w:rPr>
                <w:rFonts w:asciiTheme="majorHAnsi" w:eastAsia="Times New Roman" w:hAnsiTheme="majorHAnsi" w:cstheme="majorHAnsi"/>
                <w:color w:val="000000"/>
                <w:sz w:val="18"/>
                <w:szCs w:val="18"/>
                <w:lang w:eastAsia="en-GB"/>
              </w:rPr>
              <w:t xml:space="preserve">. No assessment of indicator choice. </w:t>
            </w:r>
          </w:p>
        </w:tc>
      </w:tr>
    </w:tbl>
    <w:p w14:paraId="136A617B" w14:textId="77777777" w:rsidR="009C2991" w:rsidRDefault="009C2991" w:rsidP="009C2991">
      <w:pPr>
        <w:jc w:val="both"/>
      </w:pPr>
    </w:p>
    <w:p w14:paraId="3B496116" w14:textId="7BF3782D" w:rsidR="002661F1" w:rsidRDefault="009C2991" w:rsidP="00640101">
      <w:pPr>
        <w:jc w:val="both"/>
      </w:pPr>
      <w:r>
        <w:t xml:space="preserve">To visualize the results of this indicator assessment, figure </w:t>
      </w:r>
      <w:r w:rsidR="004D4FA0">
        <w:t>4</w:t>
      </w:r>
      <w:r>
        <w:t xml:space="preserve"> displays the average effect of choosing one indicator over the other averaged across all assessed metric options. The same coloring is used as in the figure 2 for Hargeisa. Indicators with an effect that is smaller than 0.5 </w:t>
      </w:r>
      <w:r w:rsidR="002E2CD3">
        <w:t>percentage points are marked in green. One can see that all indicators in the dataset from Nigeria fall into this category</w:t>
      </w:r>
      <w:r w:rsidR="006635D5">
        <w:t>. In conclusion, the indicator selection does not matter strongly on average.</w:t>
      </w:r>
      <w:r>
        <w:t xml:space="preserve"> </w:t>
      </w:r>
    </w:p>
    <w:p w14:paraId="7820DE1A" w14:textId="0B9C725A" w:rsidR="007C48B9" w:rsidRDefault="007C48B9" w:rsidP="007C48B9">
      <w:pPr>
        <w:pStyle w:val="TabFigSW"/>
        <w:rPr>
          <w:noProof/>
        </w:rPr>
      </w:pPr>
      <w:r>
        <w:rPr>
          <w:noProof/>
        </w:rPr>
        <w:drawing>
          <wp:anchor distT="0" distB="0" distL="114300" distR="114300" simplePos="0" relativeHeight="251658245" behindDoc="1" locked="0" layoutInCell="1" allowOverlap="1" wp14:anchorId="10A130BF" wp14:editId="7E127639">
            <wp:simplePos x="0" y="0"/>
            <wp:positionH relativeFrom="margin">
              <wp:posOffset>154517</wp:posOffset>
            </wp:positionH>
            <wp:positionV relativeFrom="paragraph">
              <wp:posOffset>389043</wp:posOffset>
            </wp:positionV>
            <wp:extent cx="5353050" cy="3344545"/>
            <wp:effectExtent l="19050" t="19050" r="19050" b="27305"/>
            <wp:wrapTight wrapText="bothSides">
              <wp:wrapPolygon edited="0">
                <wp:start x="-77" y="-123"/>
                <wp:lineTo x="-77" y="21653"/>
                <wp:lineTo x="21600" y="21653"/>
                <wp:lineTo x="21600" y="-123"/>
                <wp:lineTo x="-77" y="-12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3344545"/>
                    </a:xfrm>
                    <a:prstGeom prst="rect">
                      <a:avLst/>
                    </a:prstGeom>
                    <a:noFill/>
                    <a:ln w="12700">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t>Figure 4: Average effect of indicator selection across metrics in Nigeria on percentage of IDPs exiting the stock</w:t>
      </w:r>
    </w:p>
    <w:p w14:paraId="19089F32" w14:textId="49779503" w:rsidR="007C48B9" w:rsidRPr="0035351C" w:rsidRDefault="007C48B9" w:rsidP="00640101">
      <w:pPr>
        <w:jc w:val="both"/>
      </w:pPr>
    </w:p>
    <w:p w14:paraId="71A8F07E" w14:textId="77777777" w:rsidR="00624564" w:rsidRDefault="00624564" w:rsidP="007B29D0">
      <w:pPr>
        <w:jc w:val="both"/>
        <w:rPr>
          <w:i/>
          <w:iCs/>
        </w:rPr>
      </w:pPr>
    </w:p>
    <w:p w14:paraId="28AA77E4" w14:textId="4ABDE28C" w:rsidR="007B29D0" w:rsidRDefault="007B29D0" w:rsidP="007B29D0">
      <w:pPr>
        <w:jc w:val="both"/>
        <w:rPr>
          <w:i/>
          <w:iCs/>
        </w:rPr>
      </w:pPr>
      <w:r w:rsidRPr="001C75C2">
        <w:rPr>
          <w:i/>
          <w:iCs/>
        </w:rPr>
        <w:t xml:space="preserve">Importance of </w:t>
      </w:r>
      <w:r>
        <w:rPr>
          <w:i/>
          <w:iCs/>
        </w:rPr>
        <w:t>metric selection</w:t>
      </w:r>
    </w:p>
    <w:p w14:paraId="2EC625BE" w14:textId="0EC3FC65" w:rsidR="007B29D0" w:rsidRDefault="004D4FA0" w:rsidP="00DC68E5">
      <w:pPr>
        <w:jc w:val="both"/>
      </w:pPr>
      <w:r>
        <w:t>So far, the assessment in Nigeria has shown that the indicator selection matters little across all metric options. The result</w:t>
      </w:r>
      <w:r w:rsidR="00DC68E5">
        <w:t xml:space="preserve">s section now focuses on differences between different metric options and their production of varying estimates for the exit from the IDP stock. </w:t>
      </w:r>
    </w:p>
    <w:p w14:paraId="4080EE33" w14:textId="6426FCA3" w:rsidR="00FA7902" w:rsidRPr="00166118" w:rsidRDefault="005F1D3B" w:rsidP="00640101">
      <w:pPr>
        <w:jc w:val="both"/>
      </w:pPr>
      <w:r w:rsidRPr="00117617">
        <w:t xml:space="preserve">Similar to the assessment in Hargeisa, </w:t>
      </w:r>
      <w:r w:rsidR="00FB7E31" w:rsidRPr="00117617">
        <w:t xml:space="preserve">which metric is used to </w:t>
      </w:r>
      <w:r w:rsidR="00FB7E31" w:rsidRPr="00C76512">
        <w:t xml:space="preserve">combine the different indicators </w:t>
      </w:r>
      <w:r w:rsidR="00FA7902" w:rsidRPr="00C76512">
        <w:t xml:space="preserve">matters as </w:t>
      </w:r>
      <w:r w:rsidR="00FB7E31" w:rsidRPr="00C76512">
        <w:t xml:space="preserve">the </w:t>
      </w:r>
      <w:r w:rsidR="00FA7902" w:rsidRPr="00C76512">
        <w:t xml:space="preserve">importance of </w:t>
      </w:r>
      <w:r w:rsidR="00FB7E31" w:rsidRPr="00C76512">
        <w:t>selectin</w:t>
      </w:r>
      <w:r w:rsidR="00FA7902" w:rsidRPr="00C76512">
        <w:t>g</w:t>
      </w:r>
      <w:r w:rsidR="00FB7E31" w:rsidRPr="00C76512">
        <w:t xml:space="preserve"> </w:t>
      </w:r>
      <w:r w:rsidR="0023542C" w:rsidRPr="00C76512">
        <w:t>the</w:t>
      </w:r>
      <w:r w:rsidR="00FB7E31" w:rsidRPr="00C76512">
        <w:t xml:space="preserve"> right indicators </w:t>
      </w:r>
      <w:r w:rsidR="00FA7902" w:rsidRPr="00C76512">
        <w:t>varies</w:t>
      </w:r>
      <w:r w:rsidR="00FB7E31" w:rsidRPr="00C76512">
        <w:t xml:space="preserve">. </w:t>
      </w:r>
      <w:r w:rsidR="0023542C" w:rsidRPr="00C76512">
        <w:t xml:space="preserve">As already seen in the dataset on Somaliland, </w:t>
      </w:r>
      <w:r w:rsidR="00640101" w:rsidRPr="00C76512">
        <w:t xml:space="preserve">using </w:t>
      </w:r>
      <w:r w:rsidR="00677D90" w:rsidRPr="00C76512">
        <w:t>a regression-based approach or</w:t>
      </w:r>
      <w:r w:rsidR="00781D60" w:rsidRPr="00C76512">
        <w:t xml:space="preserve"> </w:t>
      </w:r>
      <w:r w:rsidR="00640101" w:rsidRPr="00C76512">
        <w:t xml:space="preserve">one composite metric across all criteria </w:t>
      </w:r>
      <w:r w:rsidR="00781D60" w:rsidRPr="00C76512">
        <w:t xml:space="preserve">are </w:t>
      </w:r>
      <w:r w:rsidR="008F6BCC" w:rsidRPr="00C76512">
        <w:t xml:space="preserve">the most sensitive to the exact indicators used for an assessment of the statistical end of </w:t>
      </w:r>
      <w:r w:rsidR="008F6BCC" w:rsidRPr="001A44EC">
        <w:t xml:space="preserve">displacement. In the case of a full composite metric the selection of an indicator </w:t>
      </w:r>
      <w:r w:rsidR="00C70CD1" w:rsidRPr="001A44EC">
        <w:t>can in some instances make up to 19.</w:t>
      </w:r>
      <w:r w:rsidR="001A44EC" w:rsidRPr="001A44EC">
        <w:t>91</w:t>
      </w:r>
      <w:r w:rsidR="00C70CD1" w:rsidRPr="001A44EC">
        <w:t xml:space="preserve"> percentage point difference in the outcome of a simulation. That means that over </w:t>
      </w:r>
      <w:r w:rsidR="00EA1E9A" w:rsidRPr="001A44EC">
        <w:t>283 IDPs</w:t>
      </w:r>
      <w:r w:rsidR="00C70CD1" w:rsidRPr="001A44EC">
        <w:t xml:space="preserve"> </w:t>
      </w:r>
      <w:r w:rsidR="00CB16FE" w:rsidRPr="001A44EC">
        <w:t>may be classified as having overcome their vulnerabilities when</w:t>
      </w:r>
      <w:r w:rsidR="00EA1E9A" w:rsidRPr="001A44EC">
        <w:t xml:space="preserve"> one indicator to measure </w:t>
      </w:r>
      <w:r w:rsidR="00EA1E9A" w:rsidRPr="001A44EC">
        <w:rPr>
          <w:i/>
          <w:iCs/>
        </w:rPr>
        <w:t>4.1. Property restitution and compensation</w:t>
      </w:r>
      <w:r w:rsidR="00EA1E9A" w:rsidRPr="001A44EC">
        <w:t xml:space="preserve"> is used </w:t>
      </w:r>
      <w:r w:rsidR="00FA78F0" w:rsidRPr="001A44EC">
        <w:t xml:space="preserve">while those households </w:t>
      </w:r>
      <w:r w:rsidR="0042041B" w:rsidRPr="001A44EC">
        <w:t>do not exit the IDP stock when another indicator is used.</w:t>
      </w:r>
      <w:r w:rsidR="00FA78F0" w:rsidRPr="001A44EC">
        <w:t xml:space="preserve"> </w:t>
      </w:r>
      <w:r w:rsidR="00677D90" w:rsidRPr="001A44EC">
        <w:t>In the case of the regression-based classification of IDPs,</w:t>
      </w:r>
      <w:r w:rsidR="0004225A" w:rsidRPr="001A44EC">
        <w:t xml:space="preserve"> using an indicator whether a household is the legally recognized owner of their property </w:t>
      </w:r>
      <w:r w:rsidR="008E6C73" w:rsidRPr="001A44EC">
        <w:t xml:space="preserve">can </w:t>
      </w:r>
      <w:r w:rsidR="0004225A" w:rsidRPr="001A44EC">
        <w:t xml:space="preserve">on average, when all other indicators stay the same, </w:t>
      </w:r>
      <w:r w:rsidR="008E6C73" w:rsidRPr="001A44EC">
        <w:t>increase the number of IDPs achieving a durable solution by 36</w:t>
      </w:r>
      <w:r w:rsidR="001A44EC" w:rsidRPr="001A44EC">
        <w:t>.4</w:t>
      </w:r>
      <w:r w:rsidR="008E6C73" w:rsidRPr="001A44EC">
        <w:t xml:space="preserve"> percentage points </w:t>
      </w:r>
      <w:r w:rsidR="00C50B19" w:rsidRPr="00166118">
        <w:t xml:space="preserve">compared to an indicator capturing the access to compensation mechanisms. </w:t>
      </w:r>
    </w:p>
    <w:p w14:paraId="70CE3E58" w14:textId="726EF8B3" w:rsidR="00A31E38" w:rsidRPr="007D7512" w:rsidRDefault="00FA7902" w:rsidP="000D1318">
      <w:pPr>
        <w:jc w:val="both"/>
      </w:pPr>
      <w:r w:rsidRPr="00166118">
        <w:t>However, f</w:t>
      </w:r>
      <w:r w:rsidR="0093443C" w:rsidRPr="00166118">
        <w:t>or all other metric options</w:t>
      </w:r>
      <w:r w:rsidR="005A40D2" w:rsidRPr="00166118">
        <w:t xml:space="preserve"> presented in this note</w:t>
      </w:r>
      <w:r w:rsidR="0093443C" w:rsidRPr="00166118">
        <w:t xml:space="preserve">, the choice of indicators seems to </w:t>
      </w:r>
      <w:r w:rsidR="005A40D2" w:rsidRPr="00166118">
        <w:t xml:space="preserve">be of very minor relevance for the Nigerian case as less than 1 percentage point difference is made by selection one indicator over the other. </w:t>
      </w:r>
      <w:r w:rsidR="00640101" w:rsidRPr="00166118">
        <w:t xml:space="preserve">Table </w:t>
      </w:r>
      <w:r w:rsidR="005A40D2" w:rsidRPr="00166118">
        <w:t>7</w:t>
      </w:r>
      <w:r w:rsidR="00640101" w:rsidRPr="00166118">
        <w:t xml:space="preserve"> summarizes </w:t>
      </w:r>
      <w:r w:rsidR="005A40D2" w:rsidRPr="00166118">
        <w:t>the key</w:t>
      </w:r>
      <w:r w:rsidR="00640101" w:rsidRPr="00166118">
        <w:t xml:space="preserve"> findings related to variation </w:t>
      </w:r>
      <w:r w:rsidR="008C54FD" w:rsidRPr="00166118">
        <w:t>across indicators and metrics.</w:t>
      </w:r>
      <w:r w:rsidR="008C54FD">
        <w:t xml:space="preserve"> </w:t>
      </w:r>
    </w:p>
    <w:p w14:paraId="04960128" w14:textId="6806A776" w:rsidR="004A368B" w:rsidRDefault="000D1318" w:rsidP="00457FA6">
      <w:pPr>
        <w:pStyle w:val="TabFigSW"/>
      </w:pPr>
      <w:r>
        <w:t xml:space="preserve">Table 7: Summary of simulation results for Nigeria across all </w:t>
      </w:r>
      <w:r w:rsidR="00696818">
        <w:t>metrics</w:t>
      </w:r>
    </w:p>
    <w:p w14:paraId="62535A84" w14:textId="5DA66BAC" w:rsidR="007B29D0" w:rsidRPr="004A368B" w:rsidRDefault="007B29D0" w:rsidP="00457FA6">
      <w:pPr>
        <w:pStyle w:val="TabFigSW"/>
      </w:pPr>
      <w:r>
        <w:t xml:space="preserve">(Total sample of IDPs: </w:t>
      </w:r>
      <w:r w:rsidR="00704738">
        <w:t>1,437 households)</w:t>
      </w:r>
    </w:p>
    <w:tbl>
      <w:tblPr>
        <w:tblStyle w:val="PlainTable2"/>
        <w:tblW w:w="9186" w:type="dxa"/>
        <w:tblLayout w:type="fixed"/>
        <w:tblLook w:val="04A0" w:firstRow="1" w:lastRow="0" w:firstColumn="1" w:lastColumn="0" w:noHBand="0" w:noVBand="1"/>
      </w:tblPr>
      <w:tblGrid>
        <w:gridCol w:w="1560"/>
        <w:gridCol w:w="1320"/>
        <w:gridCol w:w="1260"/>
        <w:gridCol w:w="1350"/>
        <w:gridCol w:w="1153"/>
        <w:gridCol w:w="1346"/>
        <w:gridCol w:w="1197"/>
      </w:tblGrid>
      <w:tr w:rsidR="00626CCC" w:rsidRPr="00703B65" w14:paraId="46B95CEE" w14:textId="572A8BA2" w:rsidTr="006C1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CFA9B5" w14:textId="77777777" w:rsidR="00021AD9" w:rsidRPr="00DB3732" w:rsidRDefault="00021AD9" w:rsidP="00021AD9">
            <w:pPr>
              <w:rPr>
                <w:color w:val="002F59" w:themeColor="text2"/>
                <w:sz w:val="18"/>
                <w:szCs w:val="18"/>
              </w:rPr>
            </w:pPr>
          </w:p>
        </w:tc>
        <w:tc>
          <w:tcPr>
            <w:tcW w:w="1320" w:type="dxa"/>
          </w:tcPr>
          <w:p w14:paraId="67AE48DD" w14:textId="0E106338" w:rsidR="00021AD9" w:rsidRPr="00DB3732" w:rsidRDefault="00704738"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Pass/fail (no comparison to hosts!)</w:t>
            </w:r>
          </w:p>
        </w:tc>
        <w:tc>
          <w:tcPr>
            <w:tcW w:w="1260" w:type="dxa"/>
          </w:tcPr>
          <w:p w14:paraId="242E2466" w14:textId="38643549"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1: Composite metric across all criteria</w:t>
            </w:r>
          </w:p>
        </w:tc>
        <w:tc>
          <w:tcPr>
            <w:tcW w:w="1350" w:type="dxa"/>
          </w:tcPr>
          <w:p w14:paraId="193715EE" w14:textId="775CFFD1"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2: Composite metric at the criterion level</w:t>
            </w:r>
          </w:p>
        </w:tc>
        <w:tc>
          <w:tcPr>
            <w:tcW w:w="1153" w:type="dxa"/>
          </w:tcPr>
          <w:p w14:paraId="7150F9C4" w14:textId="45CEEE03"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3: Composite metric at sub-criterion level</w:t>
            </w:r>
          </w:p>
        </w:tc>
        <w:tc>
          <w:tcPr>
            <w:tcW w:w="1346" w:type="dxa"/>
          </w:tcPr>
          <w:p w14:paraId="4A8AB7C8" w14:textId="77777777"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4: homogenous cells</w:t>
            </w:r>
          </w:p>
        </w:tc>
        <w:tc>
          <w:tcPr>
            <w:tcW w:w="1197" w:type="dxa"/>
          </w:tcPr>
          <w:p w14:paraId="1BA35B5C" w14:textId="413C8768" w:rsidR="00021AD9" w:rsidRPr="00DB3732" w:rsidRDefault="00021AD9" w:rsidP="00021AD9">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Option 5: regression-based</w:t>
            </w:r>
          </w:p>
        </w:tc>
      </w:tr>
      <w:tr w:rsidR="00626CCC" w:rsidRPr="00703B65" w14:paraId="0CECFD11" w14:textId="77777777" w:rsidTr="006C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054018" w14:textId="172E2320" w:rsidR="00704738" w:rsidRPr="00DB3732" w:rsidRDefault="00704738" w:rsidP="00704738">
            <w:pPr>
              <w:rPr>
                <w:color w:val="002F59" w:themeColor="text2"/>
                <w:sz w:val="18"/>
                <w:szCs w:val="18"/>
              </w:rPr>
            </w:pPr>
            <w:r>
              <w:rPr>
                <w:color w:val="002F59" w:themeColor="text2"/>
                <w:sz w:val="18"/>
                <w:szCs w:val="18"/>
              </w:rPr>
              <w:t>Simulations/ combinations</w:t>
            </w:r>
          </w:p>
        </w:tc>
        <w:tc>
          <w:tcPr>
            <w:tcW w:w="1320" w:type="dxa"/>
          </w:tcPr>
          <w:p w14:paraId="4478BCAC" w14:textId="29094805" w:rsidR="00704738" w:rsidRPr="00704738" w:rsidRDefault="003C062F"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highlight w:val="yellow"/>
              </w:rPr>
            </w:pPr>
            <w:r w:rsidRPr="003C062F">
              <w:rPr>
                <w:color w:val="000000" w:themeColor="text1"/>
                <w:sz w:val="18"/>
                <w:szCs w:val="18"/>
              </w:rPr>
              <w:t>4,032</w:t>
            </w:r>
          </w:p>
        </w:tc>
        <w:tc>
          <w:tcPr>
            <w:tcW w:w="1260" w:type="dxa"/>
          </w:tcPr>
          <w:p w14:paraId="66EAF829" w14:textId="513DB22C" w:rsidR="00704738" w:rsidRPr="00704738" w:rsidRDefault="003C062F"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highlight w:val="yellow"/>
              </w:rPr>
            </w:pPr>
            <w:r w:rsidRPr="003C062F">
              <w:rPr>
                <w:color w:val="000000" w:themeColor="text1"/>
                <w:sz w:val="18"/>
                <w:szCs w:val="18"/>
              </w:rPr>
              <w:t>4,032</w:t>
            </w:r>
          </w:p>
        </w:tc>
        <w:tc>
          <w:tcPr>
            <w:tcW w:w="1350" w:type="dxa"/>
          </w:tcPr>
          <w:p w14:paraId="5F3F2964" w14:textId="642F94EC" w:rsidR="00704738" w:rsidRPr="00CD6988" w:rsidRDefault="00E91877"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rPr>
            </w:pPr>
            <w:r w:rsidRPr="00CD6988">
              <w:rPr>
                <w:color w:val="000000" w:themeColor="text1"/>
                <w:sz w:val="18"/>
                <w:szCs w:val="18"/>
              </w:rPr>
              <w:t>4,032</w:t>
            </w:r>
          </w:p>
        </w:tc>
        <w:tc>
          <w:tcPr>
            <w:tcW w:w="1153" w:type="dxa"/>
          </w:tcPr>
          <w:p w14:paraId="1523BBC5" w14:textId="2DE6A4DA" w:rsidR="00704738" w:rsidRPr="00CD6988" w:rsidRDefault="004F6023"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rPr>
            </w:pPr>
            <w:r w:rsidRPr="00CD6988">
              <w:rPr>
                <w:color w:val="002F59" w:themeColor="text2"/>
                <w:sz w:val="18"/>
                <w:szCs w:val="18"/>
              </w:rPr>
              <w:t>10,000</w:t>
            </w:r>
            <w:r w:rsidRPr="00CD6988">
              <w:rPr>
                <w:rStyle w:val="FootnoteReference"/>
                <w:color w:val="002F59" w:themeColor="text2"/>
                <w:sz w:val="18"/>
                <w:szCs w:val="18"/>
              </w:rPr>
              <w:footnoteReference w:id="15"/>
            </w:r>
          </w:p>
        </w:tc>
        <w:tc>
          <w:tcPr>
            <w:tcW w:w="1346" w:type="dxa"/>
          </w:tcPr>
          <w:p w14:paraId="16E73143" w14:textId="6A2119C5" w:rsidR="00704738" w:rsidRPr="00704738" w:rsidRDefault="00E91877"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highlight w:val="yellow"/>
              </w:rPr>
            </w:pPr>
            <w:r w:rsidRPr="00E91877">
              <w:rPr>
                <w:color w:val="000000" w:themeColor="text1"/>
                <w:sz w:val="18"/>
                <w:szCs w:val="18"/>
              </w:rPr>
              <w:t>32,256</w:t>
            </w:r>
            <w:r w:rsidR="00704738" w:rsidRPr="00E91877">
              <w:rPr>
                <w:rStyle w:val="FootnoteReference"/>
                <w:color w:val="000000" w:themeColor="text1"/>
                <w:sz w:val="18"/>
                <w:szCs w:val="18"/>
              </w:rPr>
              <w:footnoteReference w:id="16"/>
            </w:r>
            <w:r w:rsidR="00704738" w:rsidRPr="00E91877">
              <w:rPr>
                <w:color w:val="000000" w:themeColor="text1"/>
                <w:sz w:val="18"/>
                <w:szCs w:val="18"/>
              </w:rPr>
              <w:t xml:space="preserve"> </w:t>
            </w:r>
          </w:p>
        </w:tc>
        <w:tc>
          <w:tcPr>
            <w:tcW w:w="1197" w:type="dxa"/>
          </w:tcPr>
          <w:p w14:paraId="3E598FC3" w14:textId="585267EC" w:rsidR="00704738" w:rsidRPr="00704738" w:rsidRDefault="00E91877" w:rsidP="00704738">
            <w:pPr>
              <w:cnfStyle w:val="000000100000" w:firstRow="0" w:lastRow="0" w:firstColumn="0" w:lastColumn="0" w:oddVBand="0" w:evenVBand="0" w:oddHBand="1" w:evenHBand="0" w:firstRowFirstColumn="0" w:firstRowLastColumn="0" w:lastRowFirstColumn="0" w:lastRowLastColumn="0"/>
              <w:rPr>
                <w:color w:val="002F59" w:themeColor="text2"/>
                <w:sz w:val="18"/>
                <w:szCs w:val="18"/>
                <w:highlight w:val="yellow"/>
              </w:rPr>
            </w:pPr>
            <w:r w:rsidRPr="00E91877">
              <w:rPr>
                <w:color w:val="000000" w:themeColor="text1"/>
                <w:sz w:val="18"/>
                <w:szCs w:val="18"/>
              </w:rPr>
              <w:t>4,032</w:t>
            </w:r>
          </w:p>
        </w:tc>
      </w:tr>
      <w:tr w:rsidR="00626CCC" w:rsidRPr="00703B65" w14:paraId="54C60B67" w14:textId="77777777" w:rsidTr="006C13F6">
        <w:tc>
          <w:tcPr>
            <w:cnfStyle w:val="001000000000" w:firstRow="0" w:lastRow="0" w:firstColumn="1" w:lastColumn="0" w:oddVBand="0" w:evenVBand="0" w:oddHBand="0" w:evenHBand="0" w:firstRowFirstColumn="0" w:firstRowLastColumn="0" w:lastRowFirstColumn="0" w:lastRowLastColumn="0"/>
            <w:tcW w:w="1560" w:type="dxa"/>
          </w:tcPr>
          <w:p w14:paraId="16A01BAB" w14:textId="765E13F5" w:rsidR="00704738" w:rsidRDefault="00704738" w:rsidP="00704738">
            <w:pPr>
              <w:rPr>
                <w:color w:val="002F59" w:themeColor="text2"/>
                <w:sz w:val="18"/>
                <w:szCs w:val="18"/>
              </w:rPr>
            </w:pPr>
            <w:r>
              <w:rPr>
                <w:color w:val="002F59" w:themeColor="text2"/>
                <w:sz w:val="18"/>
                <w:szCs w:val="18"/>
              </w:rPr>
              <w:t>Mean of IDP</w:t>
            </w:r>
            <w:r w:rsidR="007D7512">
              <w:rPr>
                <w:color w:val="002F59" w:themeColor="text2"/>
                <w:sz w:val="18"/>
                <w:szCs w:val="18"/>
              </w:rPr>
              <w:t>s</w:t>
            </w:r>
            <w:r>
              <w:rPr>
                <w:color w:val="002F59" w:themeColor="text2"/>
                <w:sz w:val="18"/>
                <w:szCs w:val="18"/>
              </w:rPr>
              <w:t xml:space="preserve"> exiting the stock</w:t>
            </w:r>
          </w:p>
        </w:tc>
        <w:tc>
          <w:tcPr>
            <w:tcW w:w="1320" w:type="dxa"/>
          </w:tcPr>
          <w:p w14:paraId="17523718" w14:textId="737B2260" w:rsidR="00704738" w:rsidRPr="00704738" w:rsidRDefault="00B73D61"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4F6ED8">
              <w:rPr>
                <w:color w:val="000000" w:themeColor="text1"/>
                <w:sz w:val="18"/>
                <w:szCs w:val="18"/>
              </w:rPr>
              <w:t>0</w:t>
            </w:r>
            <w:r w:rsidR="00991677" w:rsidRPr="004F6ED8">
              <w:rPr>
                <w:color w:val="000000" w:themeColor="text1"/>
                <w:sz w:val="18"/>
                <w:szCs w:val="18"/>
              </w:rPr>
              <w:t>.87</w:t>
            </w:r>
            <w:r w:rsidR="00704738" w:rsidRPr="004F6ED8">
              <w:rPr>
                <w:color w:val="000000" w:themeColor="text1"/>
                <w:sz w:val="18"/>
                <w:szCs w:val="18"/>
              </w:rPr>
              <w:t xml:space="preserve"> IDPs (0.</w:t>
            </w:r>
            <w:r w:rsidR="00991677" w:rsidRPr="004F6ED8">
              <w:rPr>
                <w:color w:val="000000" w:themeColor="text1"/>
                <w:sz w:val="18"/>
                <w:szCs w:val="18"/>
              </w:rPr>
              <w:t>06</w:t>
            </w:r>
            <w:r w:rsidR="00704738" w:rsidRPr="004F6ED8">
              <w:rPr>
                <w:color w:val="000000" w:themeColor="text1"/>
                <w:sz w:val="18"/>
                <w:szCs w:val="18"/>
              </w:rPr>
              <w:t>% of stock)</w:t>
            </w:r>
          </w:p>
        </w:tc>
        <w:tc>
          <w:tcPr>
            <w:tcW w:w="1260" w:type="dxa"/>
          </w:tcPr>
          <w:p w14:paraId="481845E2" w14:textId="3283634C" w:rsidR="00704738" w:rsidRPr="00704738" w:rsidRDefault="004F6ED8"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420577">
              <w:rPr>
                <w:color w:val="000000" w:themeColor="text1"/>
                <w:sz w:val="18"/>
                <w:szCs w:val="18"/>
              </w:rPr>
              <w:t>309.50</w:t>
            </w:r>
            <w:r w:rsidR="00704738" w:rsidRPr="00420577">
              <w:rPr>
                <w:color w:val="000000" w:themeColor="text1"/>
                <w:sz w:val="18"/>
                <w:szCs w:val="18"/>
              </w:rPr>
              <w:t xml:space="preserve"> IDPs (</w:t>
            </w:r>
            <w:r w:rsidR="00420577" w:rsidRPr="00420577">
              <w:rPr>
                <w:color w:val="000000" w:themeColor="text1"/>
                <w:sz w:val="18"/>
                <w:szCs w:val="18"/>
              </w:rPr>
              <w:t>21.54</w:t>
            </w:r>
            <w:r w:rsidR="00704738" w:rsidRPr="00420577">
              <w:rPr>
                <w:color w:val="000000" w:themeColor="text1"/>
                <w:sz w:val="18"/>
                <w:szCs w:val="18"/>
              </w:rPr>
              <w:t>% of stock)</w:t>
            </w:r>
          </w:p>
        </w:tc>
        <w:tc>
          <w:tcPr>
            <w:tcW w:w="1350" w:type="dxa"/>
          </w:tcPr>
          <w:p w14:paraId="663DCD19" w14:textId="4D8D26BE" w:rsidR="00704738" w:rsidRPr="00704738" w:rsidRDefault="00420577"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030571">
              <w:rPr>
                <w:color w:val="000000" w:themeColor="text1"/>
                <w:sz w:val="18"/>
                <w:szCs w:val="18"/>
              </w:rPr>
              <w:t>10.23</w:t>
            </w:r>
            <w:r w:rsidR="00704738" w:rsidRPr="00030571">
              <w:rPr>
                <w:color w:val="000000" w:themeColor="text1"/>
                <w:sz w:val="18"/>
                <w:szCs w:val="18"/>
              </w:rPr>
              <w:t xml:space="preserve"> IDPs (</w:t>
            </w:r>
            <w:r w:rsidRPr="00030571">
              <w:rPr>
                <w:color w:val="000000" w:themeColor="text1"/>
                <w:sz w:val="18"/>
                <w:szCs w:val="18"/>
              </w:rPr>
              <w:t>0.</w:t>
            </w:r>
            <w:r w:rsidR="00030571" w:rsidRPr="00030571">
              <w:rPr>
                <w:color w:val="000000" w:themeColor="text1"/>
                <w:sz w:val="18"/>
                <w:szCs w:val="18"/>
              </w:rPr>
              <w:t>71</w:t>
            </w:r>
            <w:r w:rsidR="00704738" w:rsidRPr="00030571">
              <w:rPr>
                <w:color w:val="000000" w:themeColor="text1"/>
                <w:sz w:val="18"/>
                <w:szCs w:val="18"/>
              </w:rPr>
              <w:t>% of stock)</w:t>
            </w:r>
          </w:p>
        </w:tc>
        <w:tc>
          <w:tcPr>
            <w:tcW w:w="1153" w:type="dxa"/>
          </w:tcPr>
          <w:p w14:paraId="6BF22015" w14:textId="029314BB" w:rsidR="00704738" w:rsidRPr="0070380F" w:rsidRDefault="0070380F"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rPr>
            </w:pPr>
            <w:r w:rsidRPr="0070380F">
              <w:rPr>
                <w:color w:val="000000" w:themeColor="text1"/>
                <w:sz w:val="18"/>
                <w:szCs w:val="18"/>
              </w:rPr>
              <w:t>0</w:t>
            </w:r>
            <w:r w:rsidR="00704738" w:rsidRPr="0070380F">
              <w:rPr>
                <w:color w:val="000000" w:themeColor="text1"/>
                <w:sz w:val="18"/>
                <w:szCs w:val="18"/>
              </w:rPr>
              <w:t xml:space="preserve"> IDPs (0% of stock)</w:t>
            </w:r>
          </w:p>
        </w:tc>
        <w:tc>
          <w:tcPr>
            <w:tcW w:w="1346" w:type="dxa"/>
          </w:tcPr>
          <w:p w14:paraId="42C5A3F7" w14:textId="44DF7858" w:rsidR="00704738" w:rsidRPr="00704738" w:rsidRDefault="00030571"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067F4E">
              <w:rPr>
                <w:color w:val="000000" w:themeColor="text1"/>
                <w:sz w:val="18"/>
                <w:szCs w:val="18"/>
              </w:rPr>
              <w:t>0.22</w:t>
            </w:r>
            <w:r w:rsidR="00704738" w:rsidRPr="00067F4E">
              <w:rPr>
                <w:color w:val="000000" w:themeColor="text1"/>
                <w:sz w:val="18"/>
                <w:szCs w:val="18"/>
              </w:rPr>
              <w:t xml:space="preserve"> IDPs (0.</w:t>
            </w:r>
            <w:r w:rsidR="00067F4E" w:rsidRPr="00067F4E">
              <w:rPr>
                <w:color w:val="000000" w:themeColor="text1"/>
                <w:sz w:val="18"/>
                <w:szCs w:val="18"/>
              </w:rPr>
              <w:t>02</w:t>
            </w:r>
            <w:r w:rsidR="00704738" w:rsidRPr="00067F4E">
              <w:rPr>
                <w:color w:val="000000" w:themeColor="text1"/>
                <w:sz w:val="18"/>
                <w:szCs w:val="18"/>
              </w:rPr>
              <w:t>% of stock)</w:t>
            </w:r>
          </w:p>
        </w:tc>
        <w:tc>
          <w:tcPr>
            <w:tcW w:w="1197" w:type="dxa"/>
          </w:tcPr>
          <w:p w14:paraId="33300895" w14:textId="3F88B9B6" w:rsidR="00704738" w:rsidRPr="00704738" w:rsidRDefault="00067F4E" w:rsidP="00704738">
            <w:pPr>
              <w:cnfStyle w:val="000000000000" w:firstRow="0" w:lastRow="0" w:firstColumn="0" w:lastColumn="0" w:oddVBand="0" w:evenVBand="0" w:oddHBand="0" w:evenHBand="0" w:firstRowFirstColumn="0" w:firstRowLastColumn="0" w:lastRowFirstColumn="0" w:lastRowLastColumn="0"/>
              <w:rPr>
                <w:color w:val="002F59" w:themeColor="text2"/>
                <w:sz w:val="18"/>
                <w:szCs w:val="18"/>
                <w:highlight w:val="yellow"/>
              </w:rPr>
            </w:pPr>
            <w:r w:rsidRPr="002337FE">
              <w:rPr>
                <w:color w:val="000000" w:themeColor="text1"/>
                <w:sz w:val="18"/>
                <w:szCs w:val="18"/>
              </w:rPr>
              <w:t>300.58</w:t>
            </w:r>
            <w:r w:rsidR="00704738" w:rsidRPr="002337FE">
              <w:rPr>
                <w:color w:val="000000" w:themeColor="text1"/>
                <w:sz w:val="18"/>
                <w:szCs w:val="18"/>
              </w:rPr>
              <w:t xml:space="preserve"> IDPs (</w:t>
            </w:r>
            <w:r w:rsidR="002337FE" w:rsidRPr="002337FE">
              <w:rPr>
                <w:color w:val="000000" w:themeColor="text1"/>
                <w:sz w:val="18"/>
                <w:szCs w:val="18"/>
              </w:rPr>
              <w:t>20.91</w:t>
            </w:r>
            <w:r w:rsidR="00704738" w:rsidRPr="002337FE">
              <w:rPr>
                <w:color w:val="000000" w:themeColor="text1"/>
                <w:sz w:val="18"/>
                <w:szCs w:val="18"/>
              </w:rPr>
              <w:t>% of stock)</w:t>
            </w:r>
          </w:p>
        </w:tc>
      </w:tr>
      <w:tr w:rsidR="00626CCC" w:rsidRPr="00703B65" w14:paraId="602842E7" w14:textId="71485D2B" w:rsidTr="006C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11669C" w14:textId="77777777" w:rsidR="00704738" w:rsidRPr="00DB3732" w:rsidRDefault="00704738" w:rsidP="00704738">
            <w:pPr>
              <w:rPr>
                <w:color w:val="002F59" w:themeColor="text2"/>
                <w:sz w:val="18"/>
                <w:szCs w:val="18"/>
              </w:rPr>
            </w:pPr>
            <w:r w:rsidRPr="00DB3732">
              <w:rPr>
                <w:color w:val="002F59" w:themeColor="text2"/>
                <w:sz w:val="18"/>
                <w:szCs w:val="18"/>
              </w:rPr>
              <w:t>Range of IDPs ex</w:t>
            </w:r>
            <w:r>
              <w:rPr>
                <w:color w:val="002F59" w:themeColor="text2"/>
                <w:sz w:val="18"/>
                <w:szCs w:val="18"/>
              </w:rPr>
              <w:t>i</w:t>
            </w:r>
            <w:r w:rsidRPr="00DB3732">
              <w:rPr>
                <w:color w:val="002F59" w:themeColor="text2"/>
                <w:sz w:val="18"/>
                <w:szCs w:val="18"/>
              </w:rPr>
              <w:t>ting the stock</w:t>
            </w:r>
          </w:p>
        </w:tc>
        <w:tc>
          <w:tcPr>
            <w:tcW w:w="1320" w:type="dxa"/>
          </w:tcPr>
          <w:p w14:paraId="069A2260" w14:textId="44E2275D" w:rsidR="00704738" w:rsidRPr="00443981"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0 to 10 IDPs</w:t>
            </w:r>
            <w:r w:rsidR="000708E1" w:rsidRPr="00443981">
              <w:rPr>
                <w:sz w:val="18"/>
                <w:szCs w:val="18"/>
              </w:rPr>
              <w:t xml:space="preserve"> </w:t>
            </w:r>
            <w:r w:rsidR="007D7512" w:rsidRPr="00443981">
              <w:rPr>
                <w:sz w:val="18"/>
                <w:szCs w:val="18"/>
              </w:rPr>
              <w:t xml:space="preserve">(0 to </w:t>
            </w:r>
            <w:r w:rsidR="00D50680" w:rsidRPr="00443981">
              <w:rPr>
                <w:sz w:val="18"/>
                <w:szCs w:val="18"/>
              </w:rPr>
              <w:t>0.67</w:t>
            </w:r>
            <w:r w:rsidR="007D7512" w:rsidRPr="00443981">
              <w:rPr>
                <w:sz w:val="18"/>
                <w:szCs w:val="18"/>
              </w:rPr>
              <w:t xml:space="preserve">% </w:t>
            </w:r>
            <w:r w:rsidR="00B414BB">
              <w:rPr>
                <w:sz w:val="18"/>
                <w:szCs w:val="18"/>
              </w:rPr>
              <w:t>of</w:t>
            </w:r>
            <w:r w:rsidR="007D7512" w:rsidRPr="00443981">
              <w:rPr>
                <w:sz w:val="18"/>
                <w:szCs w:val="18"/>
              </w:rPr>
              <w:t xml:space="preserve"> stock)</w:t>
            </w:r>
          </w:p>
        </w:tc>
        <w:tc>
          <w:tcPr>
            <w:tcW w:w="1260" w:type="dxa"/>
          </w:tcPr>
          <w:p w14:paraId="62257D16" w14:textId="4AF6EF3B" w:rsidR="00704738" w:rsidRPr="00443981"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23 to 86</w:t>
            </w:r>
            <w:r w:rsidR="00D50680" w:rsidRPr="00443981">
              <w:rPr>
                <w:sz w:val="18"/>
                <w:szCs w:val="18"/>
              </w:rPr>
              <w:t>7</w:t>
            </w:r>
            <w:r w:rsidRPr="00443981">
              <w:rPr>
                <w:sz w:val="18"/>
                <w:szCs w:val="18"/>
              </w:rPr>
              <w:t xml:space="preserve"> IDPs</w:t>
            </w:r>
            <w:r w:rsidR="00D50680" w:rsidRPr="00443981">
              <w:rPr>
                <w:sz w:val="18"/>
                <w:szCs w:val="18"/>
              </w:rPr>
              <w:t xml:space="preserve"> (</w:t>
            </w:r>
            <w:r w:rsidR="00377E0E" w:rsidRPr="00443981">
              <w:rPr>
                <w:sz w:val="18"/>
                <w:szCs w:val="18"/>
              </w:rPr>
              <w:t>1.6 to 60.33%</w:t>
            </w:r>
            <w:r w:rsidR="00FE3A7B" w:rsidRPr="00443981">
              <w:rPr>
                <w:sz w:val="18"/>
                <w:szCs w:val="18"/>
              </w:rPr>
              <w:t xml:space="preserve"> of stock</w:t>
            </w:r>
            <w:r w:rsidR="00377E0E" w:rsidRPr="00443981">
              <w:rPr>
                <w:sz w:val="18"/>
                <w:szCs w:val="18"/>
              </w:rPr>
              <w:t>)</w:t>
            </w:r>
          </w:p>
        </w:tc>
        <w:tc>
          <w:tcPr>
            <w:tcW w:w="1350" w:type="dxa"/>
          </w:tcPr>
          <w:p w14:paraId="533CA862" w14:textId="510F171F" w:rsidR="00704738" w:rsidRPr="00443981"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0 to 44 IDPs</w:t>
            </w:r>
            <w:r w:rsidR="00FE3A7B" w:rsidRPr="00443981">
              <w:rPr>
                <w:sz w:val="18"/>
                <w:szCs w:val="18"/>
              </w:rPr>
              <w:t xml:space="preserve"> (0 to 3.06% of stock</w:t>
            </w:r>
          </w:p>
        </w:tc>
        <w:tc>
          <w:tcPr>
            <w:tcW w:w="1153" w:type="dxa"/>
          </w:tcPr>
          <w:p w14:paraId="591486F3" w14:textId="330CF1DA" w:rsidR="00704738" w:rsidRPr="00443981"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443981">
              <w:rPr>
                <w:sz w:val="18"/>
                <w:szCs w:val="18"/>
              </w:rPr>
              <w:t>0 IDPs</w:t>
            </w:r>
            <w:r w:rsidR="00FE3A7B" w:rsidRPr="00443981">
              <w:rPr>
                <w:sz w:val="18"/>
                <w:szCs w:val="18"/>
              </w:rPr>
              <w:t xml:space="preserve"> (0% of stock)</w:t>
            </w:r>
          </w:p>
        </w:tc>
        <w:tc>
          <w:tcPr>
            <w:tcW w:w="1346" w:type="dxa"/>
          </w:tcPr>
          <w:p w14:paraId="0389FFD5" w14:textId="5B73E69C" w:rsidR="00704738" w:rsidRPr="001F54AA"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1F54AA">
              <w:rPr>
                <w:sz w:val="18"/>
                <w:szCs w:val="18"/>
              </w:rPr>
              <w:t>0 to 11 IDPs</w:t>
            </w:r>
            <w:r w:rsidR="00B414BB" w:rsidRPr="001F54AA">
              <w:rPr>
                <w:sz w:val="18"/>
                <w:szCs w:val="18"/>
              </w:rPr>
              <w:t xml:space="preserve"> (0 to 0.77% of stock)</w:t>
            </w:r>
          </w:p>
        </w:tc>
        <w:tc>
          <w:tcPr>
            <w:tcW w:w="1197" w:type="dxa"/>
          </w:tcPr>
          <w:p w14:paraId="430E631C" w14:textId="1E1E16DD" w:rsidR="00704738" w:rsidRPr="001F54AA" w:rsidRDefault="00704738" w:rsidP="00704738">
            <w:pPr>
              <w:cnfStyle w:val="000000100000" w:firstRow="0" w:lastRow="0" w:firstColumn="0" w:lastColumn="0" w:oddVBand="0" w:evenVBand="0" w:oddHBand="1" w:evenHBand="0" w:firstRowFirstColumn="0" w:firstRowLastColumn="0" w:lastRowFirstColumn="0" w:lastRowLastColumn="0"/>
              <w:rPr>
                <w:sz w:val="18"/>
                <w:szCs w:val="18"/>
              </w:rPr>
            </w:pPr>
            <w:r w:rsidRPr="001F54AA">
              <w:rPr>
                <w:sz w:val="18"/>
                <w:szCs w:val="18"/>
              </w:rPr>
              <w:t>2</w:t>
            </w:r>
            <w:r w:rsidR="001F54AA" w:rsidRPr="001F54AA">
              <w:rPr>
                <w:sz w:val="18"/>
                <w:szCs w:val="18"/>
              </w:rPr>
              <w:t>7</w:t>
            </w:r>
            <w:r w:rsidRPr="001F54AA">
              <w:rPr>
                <w:sz w:val="18"/>
                <w:szCs w:val="18"/>
              </w:rPr>
              <w:t xml:space="preserve"> to 747 IDPs</w:t>
            </w:r>
            <w:r w:rsidR="001F54AA" w:rsidRPr="001F54AA">
              <w:rPr>
                <w:sz w:val="18"/>
                <w:szCs w:val="18"/>
              </w:rPr>
              <w:t xml:space="preserve"> (1.87 to 51.98% of stock)</w:t>
            </w:r>
          </w:p>
        </w:tc>
      </w:tr>
      <w:tr w:rsidR="00626CCC" w:rsidRPr="00703B65" w14:paraId="4B843EB3" w14:textId="114D6137" w:rsidTr="006C13F6">
        <w:tc>
          <w:tcPr>
            <w:cnfStyle w:val="001000000000" w:firstRow="0" w:lastRow="0" w:firstColumn="1" w:lastColumn="0" w:oddVBand="0" w:evenVBand="0" w:oddHBand="0" w:evenHBand="0" w:firstRowFirstColumn="0" w:firstRowLastColumn="0" w:lastRowFirstColumn="0" w:lastRowLastColumn="0"/>
            <w:tcW w:w="1560" w:type="dxa"/>
          </w:tcPr>
          <w:p w14:paraId="039B7E6D" w14:textId="3DB0FF9A" w:rsidR="00704738" w:rsidRPr="00DB3732" w:rsidRDefault="00704738" w:rsidP="00704738">
            <w:pPr>
              <w:rPr>
                <w:color w:val="002F59" w:themeColor="text2"/>
                <w:sz w:val="18"/>
                <w:szCs w:val="18"/>
              </w:rPr>
            </w:pPr>
            <w:r w:rsidRPr="00DB3732">
              <w:rPr>
                <w:color w:val="002F59" w:themeColor="text2"/>
                <w:sz w:val="18"/>
                <w:szCs w:val="18"/>
              </w:rPr>
              <w:t xml:space="preserve">Variation in how many IDPs </w:t>
            </w:r>
            <w:r w:rsidR="007D7512">
              <w:rPr>
                <w:color w:val="002F59" w:themeColor="text2"/>
                <w:sz w:val="18"/>
                <w:szCs w:val="18"/>
              </w:rPr>
              <w:t>exit the stock</w:t>
            </w:r>
          </w:p>
        </w:tc>
        <w:tc>
          <w:tcPr>
            <w:tcW w:w="1320" w:type="dxa"/>
          </w:tcPr>
          <w:p w14:paraId="7F4DBB4A" w14:textId="645085A8"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Very low (SD: 1.</w:t>
            </w:r>
            <w:r w:rsidR="00CC6AA2" w:rsidRPr="00F95B42">
              <w:rPr>
                <w:sz w:val="18"/>
                <w:szCs w:val="18"/>
              </w:rPr>
              <w:t>71</w:t>
            </w:r>
            <w:r w:rsidRPr="00F95B42">
              <w:rPr>
                <w:sz w:val="18"/>
                <w:szCs w:val="18"/>
              </w:rPr>
              <w:t>)</w:t>
            </w:r>
          </w:p>
        </w:tc>
        <w:tc>
          <w:tcPr>
            <w:tcW w:w="1260" w:type="dxa"/>
          </w:tcPr>
          <w:p w14:paraId="6416FFB7" w14:textId="7CAEE360"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Middle (SD: 187.</w:t>
            </w:r>
            <w:r w:rsidR="004B5E66" w:rsidRPr="00F95B42">
              <w:rPr>
                <w:sz w:val="18"/>
                <w:szCs w:val="18"/>
              </w:rPr>
              <w:t>87</w:t>
            </w:r>
            <w:r w:rsidRPr="00F95B42">
              <w:rPr>
                <w:sz w:val="18"/>
                <w:szCs w:val="18"/>
              </w:rPr>
              <w:t>)</w:t>
            </w:r>
          </w:p>
        </w:tc>
        <w:tc>
          <w:tcPr>
            <w:tcW w:w="1350" w:type="dxa"/>
          </w:tcPr>
          <w:p w14:paraId="615CF6CE" w14:textId="5743EC0A"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Low (SD: 8.</w:t>
            </w:r>
            <w:r w:rsidR="004B5E66" w:rsidRPr="00F95B42">
              <w:rPr>
                <w:sz w:val="18"/>
                <w:szCs w:val="18"/>
              </w:rPr>
              <w:t>57</w:t>
            </w:r>
            <w:r w:rsidRPr="00F95B42">
              <w:rPr>
                <w:sz w:val="18"/>
                <w:szCs w:val="18"/>
              </w:rPr>
              <w:t>)</w:t>
            </w:r>
          </w:p>
        </w:tc>
        <w:tc>
          <w:tcPr>
            <w:tcW w:w="1153" w:type="dxa"/>
          </w:tcPr>
          <w:p w14:paraId="4675292F" w14:textId="72AFD9E0"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No variation</w:t>
            </w:r>
          </w:p>
        </w:tc>
        <w:tc>
          <w:tcPr>
            <w:tcW w:w="1346" w:type="dxa"/>
          </w:tcPr>
          <w:p w14:paraId="17B9BC94" w14:textId="6C36BCBB"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Very low (SD: 0.</w:t>
            </w:r>
            <w:r w:rsidR="004B5E66" w:rsidRPr="00F95B42">
              <w:rPr>
                <w:sz w:val="18"/>
                <w:szCs w:val="18"/>
              </w:rPr>
              <w:t>74</w:t>
            </w:r>
            <w:r w:rsidRPr="00F95B42">
              <w:rPr>
                <w:sz w:val="18"/>
                <w:szCs w:val="18"/>
              </w:rPr>
              <w:t>)</w:t>
            </w:r>
          </w:p>
        </w:tc>
        <w:tc>
          <w:tcPr>
            <w:tcW w:w="1197" w:type="dxa"/>
          </w:tcPr>
          <w:p w14:paraId="55C80472" w14:textId="33C1EFF2" w:rsidR="00704738" w:rsidRPr="00F95B42" w:rsidRDefault="00704738" w:rsidP="00704738">
            <w:pPr>
              <w:cnfStyle w:val="000000000000" w:firstRow="0" w:lastRow="0" w:firstColumn="0" w:lastColumn="0" w:oddVBand="0" w:evenVBand="0" w:oddHBand="0" w:evenHBand="0" w:firstRowFirstColumn="0" w:firstRowLastColumn="0" w:lastRowFirstColumn="0" w:lastRowLastColumn="0"/>
              <w:rPr>
                <w:sz w:val="18"/>
                <w:szCs w:val="18"/>
              </w:rPr>
            </w:pPr>
            <w:r w:rsidRPr="00F95B42">
              <w:rPr>
                <w:sz w:val="18"/>
                <w:szCs w:val="18"/>
              </w:rPr>
              <w:t xml:space="preserve">High (SD: </w:t>
            </w:r>
            <w:r w:rsidR="00F95B42" w:rsidRPr="00F95B42">
              <w:rPr>
                <w:sz w:val="18"/>
                <w:szCs w:val="18"/>
              </w:rPr>
              <w:t>266.29</w:t>
            </w:r>
            <w:r w:rsidRPr="00F95B42">
              <w:rPr>
                <w:sz w:val="18"/>
                <w:szCs w:val="18"/>
              </w:rPr>
              <w:t>)</w:t>
            </w:r>
          </w:p>
        </w:tc>
      </w:tr>
      <w:tr w:rsidR="00626CCC" w:rsidRPr="00703B65" w14:paraId="34026893" w14:textId="72B0E84F" w:rsidTr="006C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663710" w14:textId="31B66C2E" w:rsidR="007D7512" w:rsidRPr="00DB3732" w:rsidRDefault="007D7512" w:rsidP="007D7512">
            <w:pPr>
              <w:rPr>
                <w:color w:val="002F59" w:themeColor="text2"/>
                <w:sz w:val="18"/>
                <w:szCs w:val="18"/>
              </w:rPr>
            </w:pPr>
            <w:r>
              <w:rPr>
                <w:color w:val="002F59" w:themeColor="text2"/>
                <w:sz w:val="18"/>
                <w:szCs w:val="18"/>
              </w:rPr>
              <w:t>Effect of most important indicator</w:t>
            </w:r>
            <w:r w:rsidRPr="00DB3732">
              <w:rPr>
                <w:color w:val="002F59" w:themeColor="text2"/>
                <w:sz w:val="18"/>
                <w:szCs w:val="18"/>
              </w:rPr>
              <w:t xml:space="preserve"> </w:t>
            </w:r>
          </w:p>
        </w:tc>
        <w:tc>
          <w:tcPr>
            <w:tcW w:w="1320" w:type="dxa"/>
          </w:tcPr>
          <w:p w14:paraId="0B5B3915" w14:textId="03030672" w:rsidR="007D7512" w:rsidRPr="00E61C91" w:rsidRDefault="000C33B9"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t>Very l</w:t>
            </w:r>
            <w:r w:rsidR="007D7512" w:rsidRPr="00E61C91">
              <w:rPr>
                <w:sz w:val="18"/>
                <w:szCs w:val="18"/>
              </w:rPr>
              <w:t xml:space="preserve">ow (choosing between </w:t>
            </w:r>
            <w:r w:rsidRPr="00E61C91">
              <w:rPr>
                <w:sz w:val="18"/>
                <w:szCs w:val="18"/>
              </w:rPr>
              <w:t xml:space="preserve">distance to </w:t>
            </w:r>
            <w:r w:rsidRPr="00E61C91">
              <w:rPr>
                <w:sz w:val="18"/>
                <w:szCs w:val="18"/>
              </w:rPr>
              <w:lastRenderedPageBreak/>
              <w:t>market and other indicators for economic security</w:t>
            </w:r>
            <w:r w:rsidR="007D7512" w:rsidRPr="00E61C91">
              <w:rPr>
                <w:sz w:val="18"/>
                <w:szCs w:val="18"/>
              </w:rPr>
              <w:t xml:space="preserve"> increases exit by</w:t>
            </w:r>
            <w:r w:rsidRPr="00E61C91">
              <w:rPr>
                <w:sz w:val="18"/>
                <w:szCs w:val="18"/>
              </w:rPr>
              <w:t xml:space="preserve"> 0.</w:t>
            </w:r>
            <w:r w:rsidR="00602EC2" w:rsidRPr="00E61C91">
              <w:rPr>
                <w:sz w:val="18"/>
                <w:szCs w:val="18"/>
              </w:rPr>
              <w:t xml:space="preserve">14 </w:t>
            </w:r>
            <w:r w:rsidR="007D7512" w:rsidRPr="00E61C91">
              <w:rPr>
                <w:sz w:val="18"/>
                <w:szCs w:val="18"/>
              </w:rPr>
              <w:t>percentage points)</w:t>
            </w:r>
            <w:r w:rsidR="007D7512" w:rsidRPr="00E61C91">
              <w:rPr>
                <w:rFonts w:ascii="Segoe UI" w:hAnsi="Segoe UI" w:cs="Segoe UI"/>
                <w:color w:val="000000"/>
                <w:sz w:val="18"/>
                <w:szCs w:val="18"/>
                <w:shd w:val="clear" w:color="auto" w:fill="FFFFFF"/>
              </w:rPr>
              <w:t xml:space="preserve"> </w:t>
            </w:r>
          </w:p>
        </w:tc>
        <w:tc>
          <w:tcPr>
            <w:tcW w:w="1260" w:type="dxa"/>
          </w:tcPr>
          <w:p w14:paraId="45A98D0E" w14:textId="76B4D951"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High (</w:t>
            </w:r>
            <w:r w:rsidR="00C800E9" w:rsidRPr="00E61C91">
              <w:rPr>
                <w:sz w:val="18"/>
                <w:szCs w:val="18"/>
              </w:rPr>
              <w:t xml:space="preserve">choosing </w:t>
            </w:r>
            <w:r w:rsidR="00535025" w:rsidRPr="00E61C91">
              <w:rPr>
                <w:sz w:val="18"/>
                <w:szCs w:val="18"/>
              </w:rPr>
              <w:t xml:space="preserve">between legal </w:t>
            </w:r>
            <w:r w:rsidR="00535025" w:rsidRPr="00E61C91">
              <w:rPr>
                <w:sz w:val="18"/>
                <w:szCs w:val="18"/>
              </w:rPr>
              <w:lastRenderedPageBreak/>
              <w:t xml:space="preserve">ownership of dwelling and other property </w:t>
            </w:r>
            <w:r w:rsidR="00E61C91" w:rsidRPr="00E61C91">
              <w:rPr>
                <w:sz w:val="18"/>
                <w:szCs w:val="18"/>
              </w:rPr>
              <w:t xml:space="preserve">indicators </w:t>
            </w:r>
            <w:r w:rsidR="00535025" w:rsidRPr="00E61C91">
              <w:rPr>
                <w:sz w:val="18"/>
                <w:szCs w:val="18"/>
              </w:rPr>
              <w:t>increases exit by</w:t>
            </w:r>
            <w:r w:rsidRPr="00E61C91">
              <w:rPr>
                <w:sz w:val="18"/>
                <w:szCs w:val="18"/>
              </w:rPr>
              <w:t xml:space="preserve"> 19.</w:t>
            </w:r>
            <w:r w:rsidR="00C800E9" w:rsidRPr="00E61C91">
              <w:rPr>
                <w:sz w:val="18"/>
                <w:szCs w:val="18"/>
              </w:rPr>
              <w:t>91</w:t>
            </w:r>
            <w:r w:rsidR="00E61C91" w:rsidRPr="00E61C91">
              <w:rPr>
                <w:sz w:val="18"/>
                <w:szCs w:val="18"/>
              </w:rPr>
              <w:t xml:space="preserve"> </w:t>
            </w:r>
            <w:r w:rsidRPr="00E61C91">
              <w:rPr>
                <w:sz w:val="18"/>
                <w:szCs w:val="18"/>
              </w:rPr>
              <w:t>percentage point</w:t>
            </w:r>
            <w:r w:rsidR="00535025" w:rsidRPr="00E61C91">
              <w:rPr>
                <w:sz w:val="18"/>
                <w:szCs w:val="18"/>
              </w:rPr>
              <w:t>s</w:t>
            </w:r>
            <w:r w:rsidRPr="00E61C91">
              <w:rPr>
                <w:sz w:val="18"/>
                <w:szCs w:val="18"/>
              </w:rPr>
              <w:t>)</w:t>
            </w:r>
          </w:p>
        </w:tc>
        <w:tc>
          <w:tcPr>
            <w:tcW w:w="1350" w:type="dxa"/>
          </w:tcPr>
          <w:p w14:paraId="1495354B" w14:textId="2D445CB1"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Very low (</w:t>
            </w:r>
            <w:r w:rsidR="00626CCC" w:rsidRPr="00E61C91">
              <w:rPr>
                <w:sz w:val="18"/>
                <w:szCs w:val="18"/>
              </w:rPr>
              <w:t xml:space="preserve">choosing between consumption </w:t>
            </w:r>
            <w:r w:rsidR="00626CCC" w:rsidRPr="00E61C91">
              <w:rPr>
                <w:sz w:val="18"/>
                <w:szCs w:val="18"/>
              </w:rPr>
              <w:lastRenderedPageBreak/>
              <w:t xml:space="preserve">and other indicators for </w:t>
            </w:r>
            <w:r w:rsidR="00211396" w:rsidRPr="00E61C91">
              <w:rPr>
                <w:sz w:val="18"/>
                <w:szCs w:val="18"/>
              </w:rPr>
              <w:t>economic security increases exit by 0.72 percentage points</w:t>
            </w:r>
            <w:r w:rsidRPr="00E61C91">
              <w:rPr>
                <w:sz w:val="18"/>
                <w:szCs w:val="18"/>
              </w:rPr>
              <w:t>)</w:t>
            </w:r>
          </w:p>
        </w:tc>
        <w:tc>
          <w:tcPr>
            <w:tcW w:w="1153" w:type="dxa"/>
          </w:tcPr>
          <w:p w14:paraId="3B2A449B" w14:textId="6922974D"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No</w:t>
            </w:r>
            <w:r w:rsidR="0070380F" w:rsidRPr="00E61C91">
              <w:rPr>
                <w:sz w:val="18"/>
                <w:szCs w:val="18"/>
              </w:rPr>
              <w:t xml:space="preserve"> </w:t>
            </w:r>
            <w:r w:rsidR="00626CCC" w:rsidRPr="00E61C91">
              <w:rPr>
                <w:sz w:val="18"/>
                <w:szCs w:val="18"/>
              </w:rPr>
              <w:t xml:space="preserve">differences </w:t>
            </w:r>
            <w:r w:rsidR="00626CCC" w:rsidRPr="00E61C91">
              <w:rPr>
                <w:sz w:val="18"/>
                <w:szCs w:val="18"/>
              </w:rPr>
              <w:lastRenderedPageBreak/>
              <w:t>across simulations</w:t>
            </w:r>
          </w:p>
        </w:tc>
        <w:tc>
          <w:tcPr>
            <w:tcW w:w="1346" w:type="dxa"/>
          </w:tcPr>
          <w:p w14:paraId="5F96B74A" w14:textId="4EB476C5"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Very low (</w:t>
            </w:r>
            <w:r w:rsidR="00020CD2" w:rsidRPr="00E61C91">
              <w:rPr>
                <w:sz w:val="18"/>
                <w:szCs w:val="18"/>
              </w:rPr>
              <w:t xml:space="preserve">choosing between distance to </w:t>
            </w:r>
            <w:r w:rsidR="00020CD2" w:rsidRPr="00E61C91">
              <w:rPr>
                <w:sz w:val="18"/>
                <w:szCs w:val="18"/>
              </w:rPr>
              <w:lastRenderedPageBreak/>
              <w:t>market and other indicators for economic security increases exit by 0.38 percentage points)</w:t>
            </w:r>
          </w:p>
        </w:tc>
        <w:tc>
          <w:tcPr>
            <w:tcW w:w="1197" w:type="dxa"/>
          </w:tcPr>
          <w:p w14:paraId="561F8871" w14:textId="37934E5F" w:rsidR="007D7512" w:rsidRPr="00E61C91" w:rsidRDefault="007D7512" w:rsidP="007D7512">
            <w:pPr>
              <w:cnfStyle w:val="000000100000" w:firstRow="0" w:lastRow="0" w:firstColumn="0" w:lastColumn="0" w:oddVBand="0" w:evenVBand="0" w:oddHBand="1" w:evenHBand="0" w:firstRowFirstColumn="0" w:firstRowLastColumn="0" w:lastRowFirstColumn="0" w:lastRowLastColumn="0"/>
              <w:rPr>
                <w:sz w:val="18"/>
                <w:szCs w:val="18"/>
              </w:rPr>
            </w:pPr>
            <w:r w:rsidRPr="00E61C91">
              <w:rPr>
                <w:sz w:val="18"/>
                <w:szCs w:val="18"/>
              </w:rPr>
              <w:lastRenderedPageBreak/>
              <w:t>High (</w:t>
            </w:r>
            <w:r w:rsidR="00E61C91" w:rsidRPr="00E61C91">
              <w:rPr>
                <w:sz w:val="18"/>
                <w:szCs w:val="18"/>
              </w:rPr>
              <w:t xml:space="preserve">choosing between legal </w:t>
            </w:r>
            <w:r w:rsidR="00E61C91" w:rsidRPr="00E61C91">
              <w:rPr>
                <w:sz w:val="18"/>
                <w:szCs w:val="18"/>
              </w:rPr>
              <w:lastRenderedPageBreak/>
              <w:t>ownership of dwelling and other property indicators increases exit by 36.4 percentage points</w:t>
            </w:r>
            <w:r w:rsidRPr="00E61C91">
              <w:rPr>
                <w:sz w:val="18"/>
                <w:szCs w:val="18"/>
              </w:rPr>
              <w:t>)</w:t>
            </w:r>
          </w:p>
        </w:tc>
      </w:tr>
    </w:tbl>
    <w:p w14:paraId="56D24DDE" w14:textId="76EDD8F0" w:rsidR="00FA7902" w:rsidRDefault="00FA7902" w:rsidP="008C54FD">
      <w:pPr>
        <w:jc w:val="both"/>
        <w:rPr>
          <w:i/>
          <w:iCs/>
        </w:rPr>
      </w:pPr>
    </w:p>
    <w:p w14:paraId="7419D5C7" w14:textId="38FD9FDD" w:rsidR="00204F0D" w:rsidRDefault="00143928" w:rsidP="008C54FD">
      <w:pPr>
        <w:jc w:val="both"/>
      </w:pPr>
      <w:r>
        <w:t>Finally, the simulations also show that the groupings of the IDP population into different homogenous cells to then make a group</w:t>
      </w:r>
      <w:r w:rsidR="007F7D9A">
        <w:t xml:space="preserve">-level assessment does not yield a strong volatility regarding the variables used for grouping. It should be noted that the grouping in Nigeria was based on date of arrival, date of displacement and the origin and displacement location of IDPs as the dataset contained few other variables useful for classification of IDPs into sub-groups. It is realistic that other groupings could be more sensitive and could produce more variation in the number of subgroups exiting the stock of IDPs (see box 3 for details). </w:t>
      </w:r>
    </w:p>
    <w:p w14:paraId="2F35040F" w14:textId="509A7B86" w:rsidR="00D43E24" w:rsidRPr="007F7D9A" w:rsidRDefault="00D43E24" w:rsidP="00D43E24">
      <w:pPr>
        <w:pStyle w:val="TabFigSW"/>
      </w:pPr>
      <w:r>
        <w:t xml:space="preserve">Box 3: Effect of grouping of cells </w:t>
      </w:r>
      <w:r w:rsidR="00E55A48">
        <w:t xml:space="preserve">(option 4) </w:t>
      </w:r>
      <w:r>
        <w:t>in Nigeria</w:t>
      </w:r>
    </w:p>
    <w:tbl>
      <w:tblPr>
        <w:tblStyle w:val="TableGrid"/>
        <w:tblW w:w="9263" w:type="dxa"/>
        <w:tblBorders>
          <w:top w:val="single" w:sz="18" w:space="0" w:color="7ECBFF"/>
          <w:left w:val="single" w:sz="18" w:space="0" w:color="7ECBFF"/>
          <w:bottom w:val="single" w:sz="18" w:space="0" w:color="7ECBFF"/>
          <w:right w:val="single" w:sz="18" w:space="0" w:color="7ECBFF"/>
          <w:insideH w:val="none" w:sz="0" w:space="0" w:color="auto"/>
          <w:insideV w:val="none" w:sz="0" w:space="0" w:color="auto"/>
        </w:tblBorders>
        <w:shd w:val="clear" w:color="auto" w:fill="D4EAFF" w:themeFill="text2" w:themeFillTint="1A"/>
        <w:tblLook w:val="04A0" w:firstRow="1" w:lastRow="0" w:firstColumn="1" w:lastColumn="0" w:noHBand="0" w:noVBand="1"/>
      </w:tblPr>
      <w:tblGrid>
        <w:gridCol w:w="9263"/>
      </w:tblGrid>
      <w:tr w:rsidR="00204F0D" w14:paraId="3BC03314" w14:textId="77777777" w:rsidTr="005749C7">
        <w:tc>
          <w:tcPr>
            <w:tcW w:w="9263" w:type="dxa"/>
            <w:shd w:val="clear" w:color="auto" w:fill="D4EAFF" w:themeFill="text2" w:themeFillTint="1A"/>
          </w:tcPr>
          <w:p w14:paraId="1B10899B" w14:textId="7A1DB6EC" w:rsidR="00204F0D" w:rsidRPr="007A074C" w:rsidRDefault="00204F0D" w:rsidP="005749C7">
            <w:pPr>
              <w:jc w:val="both"/>
              <w:rPr>
                <w:sz w:val="18"/>
                <w:szCs w:val="18"/>
              </w:rPr>
            </w:pPr>
            <w:r w:rsidRPr="007A074C">
              <w:rPr>
                <w:b/>
                <w:bCs/>
                <w:color w:val="000000" w:themeColor="text1"/>
                <w:sz w:val="18"/>
                <w:szCs w:val="18"/>
              </w:rPr>
              <w:t xml:space="preserve">Different groupings of homogenous cells in </w:t>
            </w:r>
            <w:r>
              <w:rPr>
                <w:b/>
                <w:bCs/>
                <w:color w:val="000000" w:themeColor="text1"/>
                <w:sz w:val="18"/>
                <w:szCs w:val="18"/>
              </w:rPr>
              <w:t>Nigeria</w:t>
            </w:r>
            <w:r w:rsidRPr="007A074C">
              <w:rPr>
                <w:b/>
                <w:bCs/>
                <w:color w:val="000000" w:themeColor="text1"/>
                <w:sz w:val="18"/>
                <w:szCs w:val="18"/>
              </w:rPr>
              <w:t xml:space="preserve"> </w:t>
            </w:r>
            <w:r w:rsidRPr="007A074C">
              <w:rPr>
                <w:color w:val="000000" w:themeColor="text1"/>
                <w:sz w:val="18"/>
                <w:szCs w:val="18"/>
              </w:rPr>
              <w:t xml:space="preserve">do not strongly affect the exit from the IDP stock. Further assessments of the homogeneity </w:t>
            </w:r>
            <w:r w:rsidR="00556BE5">
              <w:rPr>
                <w:color w:val="000000" w:themeColor="text1"/>
                <w:sz w:val="18"/>
                <w:szCs w:val="18"/>
              </w:rPr>
              <w:t xml:space="preserve">within groups, the </w:t>
            </w:r>
            <w:r w:rsidR="00291CD6">
              <w:rPr>
                <w:color w:val="000000" w:themeColor="text1"/>
                <w:sz w:val="18"/>
                <w:szCs w:val="18"/>
              </w:rPr>
              <w:t>heterogeneity across groups and the group sizes</w:t>
            </w:r>
            <w:r w:rsidRPr="007A074C">
              <w:rPr>
                <w:color w:val="000000" w:themeColor="text1"/>
                <w:sz w:val="18"/>
                <w:szCs w:val="18"/>
              </w:rPr>
              <w:t xml:space="preserve"> would be necessary to fully conclude whether grouping variables have a big impact on </w:t>
            </w:r>
            <w:r w:rsidR="00291CD6">
              <w:rPr>
                <w:color w:val="000000" w:themeColor="text1"/>
                <w:sz w:val="18"/>
                <w:szCs w:val="18"/>
              </w:rPr>
              <w:t xml:space="preserve">the results of a </w:t>
            </w:r>
            <w:r w:rsidR="002F188B">
              <w:rPr>
                <w:color w:val="000000" w:themeColor="text1"/>
                <w:sz w:val="18"/>
                <w:szCs w:val="18"/>
              </w:rPr>
              <w:t xml:space="preserve">solutions measure based on homogenous population cells. </w:t>
            </w:r>
            <w:r w:rsidRPr="007A074C">
              <w:rPr>
                <w:color w:val="000000" w:themeColor="text1"/>
                <w:sz w:val="18"/>
                <w:szCs w:val="18"/>
              </w:rPr>
              <w:t xml:space="preserve"> </w:t>
            </w:r>
          </w:p>
          <w:tbl>
            <w:tblPr>
              <w:tblStyle w:val="PlainTable2"/>
              <w:tblW w:w="0" w:type="auto"/>
              <w:tblLook w:val="04A0" w:firstRow="1" w:lastRow="0" w:firstColumn="1" w:lastColumn="0" w:noHBand="0" w:noVBand="1"/>
            </w:tblPr>
            <w:tblGrid>
              <w:gridCol w:w="1460"/>
              <w:gridCol w:w="2030"/>
              <w:gridCol w:w="2222"/>
              <w:gridCol w:w="1620"/>
              <w:gridCol w:w="1715"/>
            </w:tblGrid>
            <w:tr w:rsidR="00004F38" w:rsidRPr="002F1D8C" w14:paraId="4A3D0A7C" w14:textId="77777777" w:rsidTr="00004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647BB661" w14:textId="77777777" w:rsidR="00204F0D" w:rsidRPr="002F1D8C" w:rsidRDefault="00204F0D" w:rsidP="005749C7">
                  <w:pPr>
                    <w:rPr>
                      <w:sz w:val="18"/>
                      <w:szCs w:val="18"/>
                    </w:rPr>
                  </w:pPr>
                  <w:r w:rsidRPr="002F1D8C">
                    <w:rPr>
                      <w:sz w:val="18"/>
                      <w:szCs w:val="18"/>
                    </w:rPr>
                    <w:t>Grouping variable 1</w:t>
                  </w:r>
                </w:p>
              </w:tc>
              <w:tc>
                <w:tcPr>
                  <w:tcW w:w="2030" w:type="dxa"/>
                  <w:shd w:val="clear" w:color="auto" w:fill="B9DCFF"/>
                </w:tcPr>
                <w:p w14:paraId="7910947B" w14:textId="77777777" w:rsidR="00204F0D" w:rsidRPr="002F1D8C" w:rsidRDefault="00204F0D" w:rsidP="005749C7">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Grouping variable 2</w:t>
                  </w:r>
                </w:p>
              </w:tc>
              <w:tc>
                <w:tcPr>
                  <w:tcW w:w="2222" w:type="dxa"/>
                  <w:shd w:val="clear" w:color="auto" w:fill="B9DCFF"/>
                </w:tcPr>
                <w:p w14:paraId="0C1D2C72" w14:textId="77777777" w:rsidR="00204F0D" w:rsidRPr="002F1D8C" w:rsidRDefault="00204F0D" w:rsidP="005749C7">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Grouping variable 3</w:t>
                  </w:r>
                </w:p>
              </w:tc>
              <w:tc>
                <w:tcPr>
                  <w:tcW w:w="1620" w:type="dxa"/>
                  <w:shd w:val="clear" w:color="auto" w:fill="B9DCFF"/>
                </w:tcPr>
                <w:p w14:paraId="563ECB55" w14:textId="77777777" w:rsidR="00204F0D" w:rsidRPr="002F1D8C" w:rsidRDefault="00204F0D" w:rsidP="005749C7">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Average number of IDPs exiting the stock</w:t>
                  </w:r>
                </w:p>
              </w:tc>
              <w:tc>
                <w:tcPr>
                  <w:tcW w:w="1715" w:type="dxa"/>
                  <w:shd w:val="clear" w:color="auto" w:fill="B9DCFF"/>
                </w:tcPr>
                <w:p w14:paraId="420B6561" w14:textId="77777777" w:rsidR="00204F0D" w:rsidRPr="002F1D8C" w:rsidRDefault="00204F0D" w:rsidP="005749C7">
                  <w:pPr>
                    <w:cnfStyle w:val="100000000000" w:firstRow="1" w:lastRow="0" w:firstColumn="0" w:lastColumn="0" w:oddVBand="0" w:evenVBand="0" w:oddHBand="0" w:evenHBand="0" w:firstRowFirstColumn="0" w:firstRowLastColumn="0" w:lastRowFirstColumn="0" w:lastRowLastColumn="0"/>
                    <w:rPr>
                      <w:sz w:val="18"/>
                      <w:szCs w:val="18"/>
                    </w:rPr>
                  </w:pPr>
                  <w:r w:rsidRPr="002F1D8C">
                    <w:rPr>
                      <w:sz w:val="18"/>
                      <w:szCs w:val="18"/>
                    </w:rPr>
                    <w:t>Average percentage of IDPs exiting the stock</w:t>
                  </w:r>
                </w:p>
              </w:tc>
            </w:tr>
            <w:tr w:rsidR="00204F0D" w:rsidRPr="002F1D8C" w14:paraId="601E2A94" w14:textId="77777777" w:rsidTr="0000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22C8257E" w14:textId="02666F47" w:rsidR="00204F0D" w:rsidRPr="007A074C" w:rsidRDefault="003B1468" w:rsidP="00004F38">
                  <w:pPr>
                    <w:rPr>
                      <w:b w:val="0"/>
                      <w:bCs w:val="0"/>
                      <w:sz w:val="18"/>
                      <w:szCs w:val="18"/>
                    </w:rPr>
                  </w:pPr>
                  <w:r>
                    <w:rPr>
                      <w:b w:val="0"/>
                      <w:bCs w:val="0"/>
                      <w:sz w:val="18"/>
                      <w:szCs w:val="18"/>
                    </w:rPr>
                    <w:t>Month of arrival</w:t>
                  </w:r>
                </w:p>
              </w:tc>
              <w:tc>
                <w:tcPr>
                  <w:tcW w:w="2030" w:type="dxa"/>
                  <w:shd w:val="clear" w:color="auto" w:fill="B9DCFF"/>
                </w:tcPr>
                <w:p w14:paraId="73532292" w14:textId="28B6270F" w:rsidR="00204F0D" w:rsidRPr="002F1D8C" w:rsidRDefault="003B1468"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Month of displacement</w:t>
                  </w:r>
                </w:p>
              </w:tc>
              <w:tc>
                <w:tcPr>
                  <w:tcW w:w="2222" w:type="dxa"/>
                  <w:shd w:val="clear" w:color="auto" w:fill="B9DCFF"/>
                </w:tcPr>
                <w:p w14:paraId="57622609" w14:textId="37DC11AD" w:rsidR="00204F0D" w:rsidRPr="002F1D8C" w:rsidRDefault="003B1468"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Origin</w:t>
                  </w:r>
                </w:p>
              </w:tc>
              <w:tc>
                <w:tcPr>
                  <w:tcW w:w="1620" w:type="dxa"/>
                </w:tcPr>
                <w:p w14:paraId="6B5A0FCB" w14:textId="7E99B7F9" w:rsidR="00204F0D" w:rsidRPr="002F1D8C" w:rsidRDefault="00AF2191"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w:t>
                  </w:r>
                </w:p>
              </w:tc>
              <w:tc>
                <w:tcPr>
                  <w:tcW w:w="1715" w:type="dxa"/>
                </w:tcPr>
                <w:p w14:paraId="791CC77E" w14:textId="541C39E2" w:rsidR="00204F0D" w:rsidRPr="002F1D8C" w:rsidRDefault="00204F0D"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0.0</w:t>
                  </w:r>
                  <w:r w:rsidR="00AF2191">
                    <w:rPr>
                      <w:sz w:val="18"/>
                      <w:szCs w:val="18"/>
                    </w:rPr>
                    <w:t>3</w:t>
                  </w:r>
                </w:p>
              </w:tc>
            </w:tr>
            <w:tr w:rsidR="00204F0D" w:rsidRPr="002F1D8C" w14:paraId="43D035B5" w14:textId="77777777" w:rsidTr="00004F38">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005448B6" w14:textId="22E771E1" w:rsidR="00204F0D" w:rsidRPr="007A074C" w:rsidRDefault="003B1468" w:rsidP="00004F38">
                  <w:pPr>
                    <w:rPr>
                      <w:b w:val="0"/>
                      <w:bCs w:val="0"/>
                      <w:sz w:val="18"/>
                      <w:szCs w:val="18"/>
                    </w:rPr>
                  </w:pPr>
                  <w:r>
                    <w:rPr>
                      <w:b w:val="0"/>
                      <w:bCs w:val="0"/>
                      <w:sz w:val="18"/>
                      <w:szCs w:val="18"/>
                    </w:rPr>
                    <w:t>Month of arrival</w:t>
                  </w:r>
                </w:p>
              </w:tc>
              <w:tc>
                <w:tcPr>
                  <w:tcW w:w="2030" w:type="dxa"/>
                  <w:shd w:val="clear" w:color="auto" w:fill="B9DCFF"/>
                </w:tcPr>
                <w:p w14:paraId="3C761288" w14:textId="3BAE1E89" w:rsidR="00204F0D" w:rsidRPr="002F1D8C" w:rsidRDefault="003B1468"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Month of displacement</w:t>
                  </w:r>
                </w:p>
              </w:tc>
              <w:tc>
                <w:tcPr>
                  <w:tcW w:w="2222" w:type="dxa"/>
                  <w:shd w:val="clear" w:color="auto" w:fill="B9DCFF"/>
                </w:tcPr>
                <w:p w14:paraId="18B1CFE4" w14:textId="5143697F"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Region of displacement</w:t>
                  </w:r>
                </w:p>
              </w:tc>
              <w:tc>
                <w:tcPr>
                  <w:tcW w:w="1620" w:type="dxa"/>
                </w:tcPr>
                <w:p w14:paraId="78810F94" w14:textId="3DCE02C7" w:rsidR="00204F0D" w:rsidRPr="002F1D8C" w:rsidRDefault="00AF2191"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0.21</w:t>
                  </w:r>
                </w:p>
              </w:tc>
              <w:tc>
                <w:tcPr>
                  <w:tcW w:w="1715" w:type="dxa"/>
                </w:tcPr>
                <w:p w14:paraId="0A3F91FC" w14:textId="21E2169D" w:rsidR="00204F0D" w:rsidRPr="002F1D8C" w:rsidRDefault="00204F0D"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AF2191">
                    <w:rPr>
                      <w:sz w:val="18"/>
                      <w:szCs w:val="18"/>
                    </w:rPr>
                    <w:t>01</w:t>
                  </w:r>
                </w:p>
              </w:tc>
            </w:tr>
            <w:tr w:rsidR="00204F0D" w:rsidRPr="002F1D8C" w14:paraId="5EAA916F" w14:textId="77777777" w:rsidTr="0000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25A92D55" w14:textId="6AAEA562" w:rsidR="00204F0D" w:rsidRPr="007A074C" w:rsidRDefault="003B1468" w:rsidP="00004F38">
                  <w:pPr>
                    <w:rPr>
                      <w:b w:val="0"/>
                      <w:bCs w:val="0"/>
                      <w:sz w:val="18"/>
                      <w:szCs w:val="18"/>
                    </w:rPr>
                  </w:pPr>
                  <w:r>
                    <w:rPr>
                      <w:b w:val="0"/>
                      <w:bCs w:val="0"/>
                      <w:sz w:val="18"/>
                      <w:szCs w:val="18"/>
                    </w:rPr>
                    <w:t>Month of arrival</w:t>
                  </w:r>
                </w:p>
              </w:tc>
              <w:tc>
                <w:tcPr>
                  <w:tcW w:w="2030" w:type="dxa"/>
                  <w:shd w:val="clear" w:color="auto" w:fill="B9DCFF"/>
                </w:tcPr>
                <w:p w14:paraId="663CE1C7" w14:textId="443B3548" w:rsidR="00204F0D" w:rsidRPr="002F1D8C" w:rsidRDefault="003B1468"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Year of displacement</w:t>
                  </w:r>
                </w:p>
              </w:tc>
              <w:tc>
                <w:tcPr>
                  <w:tcW w:w="2222" w:type="dxa"/>
                  <w:shd w:val="clear" w:color="auto" w:fill="B9DCFF"/>
                </w:tcPr>
                <w:p w14:paraId="48AE8F92" w14:textId="3B1CB4E9"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Origin</w:t>
                  </w:r>
                </w:p>
              </w:tc>
              <w:tc>
                <w:tcPr>
                  <w:tcW w:w="1620" w:type="dxa"/>
                </w:tcPr>
                <w:p w14:paraId="6BC6ACAD" w14:textId="01350BF7" w:rsidR="00204F0D" w:rsidRPr="002F1D8C" w:rsidRDefault="00AF2191"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0.27</w:t>
                  </w:r>
                </w:p>
              </w:tc>
              <w:tc>
                <w:tcPr>
                  <w:tcW w:w="1715" w:type="dxa"/>
                </w:tcPr>
                <w:p w14:paraId="3FDB647B" w14:textId="3874EE5D" w:rsidR="00204F0D" w:rsidRPr="002F1D8C" w:rsidRDefault="00204F0D"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r w:rsidR="00AF2191">
                    <w:rPr>
                      <w:sz w:val="18"/>
                      <w:szCs w:val="18"/>
                    </w:rPr>
                    <w:t>.02</w:t>
                  </w:r>
                </w:p>
              </w:tc>
            </w:tr>
            <w:tr w:rsidR="00204F0D" w:rsidRPr="002F1D8C" w14:paraId="7B481A78" w14:textId="77777777" w:rsidTr="00004F38">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509A257E" w14:textId="3BBC4A8A" w:rsidR="00204F0D" w:rsidRPr="007A074C" w:rsidRDefault="003B1468" w:rsidP="00004F38">
                  <w:pPr>
                    <w:rPr>
                      <w:b w:val="0"/>
                      <w:bCs w:val="0"/>
                      <w:sz w:val="18"/>
                      <w:szCs w:val="18"/>
                    </w:rPr>
                  </w:pPr>
                  <w:r>
                    <w:rPr>
                      <w:b w:val="0"/>
                      <w:bCs w:val="0"/>
                      <w:sz w:val="18"/>
                      <w:szCs w:val="18"/>
                    </w:rPr>
                    <w:t>Month of arrival</w:t>
                  </w:r>
                </w:p>
              </w:tc>
              <w:tc>
                <w:tcPr>
                  <w:tcW w:w="2030" w:type="dxa"/>
                  <w:shd w:val="clear" w:color="auto" w:fill="B9DCFF"/>
                </w:tcPr>
                <w:p w14:paraId="449D2844" w14:textId="0FCDB998"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Year of displacement</w:t>
                  </w:r>
                </w:p>
              </w:tc>
              <w:tc>
                <w:tcPr>
                  <w:tcW w:w="2222" w:type="dxa"/>
                  <w:shd w:val="clear" w:color="auto" w:fill="B9DCFF"/>
                </w:tcPr>
                <w:p w14:paraId="5C1E9C35" w14:textId="646485ED"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Region of displacement</w:t>
                  </w:r>
                </w:p>
              </w:tc>
              <w:tc>
                <w:tcPr>
                  <w:tcW w:w="1620" w:type="dxa"/>
                </w:tcPr>
                <w:p w14:paraId="1D5B7F7D" w14:textId="76845DC6" w:rsidR="00204F0D" w:rsidRPr="002F1D8C" w:rsidRDefault="00AF2191"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0.25</w:t>
                  </w:r>
                </w:p>
              </w:tc>
              <w:tc>
                <w:tcPr>
                  <w:tcW w:w="1715" w:type="dxa"/>
                </w:tcPr>
                <w:p w14:paraId="5A3696E8" w14:textId="117824EF" w:rsidR="00204F0D" w:rsidRPr="002F1D8C" w:rsidRDefault="00204F0D"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AF2191">
                    <w:rPr>
                      <w:sz w:val="18"/>
                      <w:szCs w:val="18"/>
                    </w:rPr>
                    <w:t>02</w:t>
                  </w:r>
                </w:p>
              </w:tc>
            </w:tr>
            <w:tr w:rsidR="00204F0D" w:rsidRPr="002F1D8C" w14:paraId="65992786" w14:textId="77777777" w:rsidTr="0000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182C65C8" w14:textId="628279BA" w:rsidR="00204F0D" w:rsidRPr="007A074C" w:rsidRDefault="003B1468" w:rsidP="00004F38">
                  <w:pPr>
                    <w:rPr>
                      <w:b w:val="0"/>
                      <w:bCs w:val="0"/>
                      <w:sz w:val="18"/>
                      <w:szCs w:val="18"/>
                    </w:rPr>
                  </w:pPr>
                  <w:r>
                    <w:rPr>
                      <w:b w:val="0"/>
                      <w:bCs w:val="0"/>
                      <w:sz w:val="18"/>
                      <w:szCs w:val="18"/>
                    </w:rPr>
                    <w:t>Year of arrival</w:t>
                  </w:r>
                </w:p>
              </w:tc>
              <w:tc>
                <w:tcPr>
                  <w:tcW w:w="2030" w:type="dxa"/>
                  <w:shd w:val="clear" w:color="auto" w:fill="B9DCFF"/>
                </w:tcPr>
                <w:p w14:paraId="7A496A9E" w14:textId="6395CCE3"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Month of displacement</w:t>
                  </w:r>
                </w:p>
              </w:tc>
              <w:tc>
                <w:tcPr>
                  <w:tcW w:w="2222" w:type="dxa"/>
                  <w:shd w:val="clear" w:color="auto" w:fill="B9DCFF"/>
                </w:tcPr>
                <w:p w14:paraId="6D8C1BBE" w14:textId="2DB552DF"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Origin</w:t>
                  </w:r>
                </w:p>
              </w:tc>
              <w:tc>
                <w:tcPr>
                  <w:tcW w:w="1620" w:type="dxa"/>
                </w:tcPr>
                <w:p w14:paraId="33113B0A" w14:textId="4255BC36" w:rsidR="00204F0D" w:rsidRPr="002F1D8C" w:rsidRDefault="00AF2191"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0.35</w:t>
                  </w:r>
                </w:p>
              </w:tc>
              <w:tc>
                <w:tcPr>
                  <w:tcW w:w="1715" w:type="dxa"/>
                </w:tcPr>
                <w:p w14:paraId="3712C194" w14:textId="39B27F48" w:rsidR="00204F0D" w:rsidRPr="002F1D8C" w:rsidRDefault="00204F0D"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r w:rsidR="00AF2191">
                    <w:rPr>
                      <w:sz w:val="18"/>
                      <w:szCs w:val="18"/>
                    </w:rPr>
                    <w:t>02</w:t>
                  </w:r>
                </w:p>
              </w:tc>
            </w:tr>
            <w:tr w:rsidR="00204F0D" w:rsidRPr="002F1D8C" w14:paraId="4E35D168" w14:textId="77777777" w:rsidTr="00004F38">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3F8E3AF0" w14:textId="2D6EC106" w:rsidR="00204F0D" w:rsidRPr="007A074C" w:rsidRDefault="003B1468" w:rsidP="00004F38">
                  <w:pPr>
                    <w:rPr>
                      <w:b w:val="0"/>
                      <w:bCs w:val="0"/>
                      <w:sz w:val="18"/>
                      <w:szCs w:val="18"/>
                    </w:rPr>
                  </w:pPr>
                  <w:r>
                    <w:rPr>
                      <w:b w:val="0"/>
                      <w:bCs w:val="0"/>
                      <w:sz w:val="18"/>
                      <w:szCs w:val="18"/>
                    </w:rPr>
                    <w:t>Year of arrival</w:t>
                  </w:r>
                </w:p>
              </w:tc>
              <w:tc>
                <w:tcPr>
                  <w:tcW w:w="2030" w:type="dxa"/>
                  <w:shd w:val="clear" w:color="auto" w:fill="B9DCFF"/>
                </w:tcPr>
                <w:p w14:paraId="4E77DB4F" w14:textId="28F40EFB"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Month of displacement</w:t>
                  </w:r>
                </w:p>
              </w:tc>
              <w:tc>
                <w:tcPr>
                  <w:tcW w:w="2222" w:type="dxa"/>
                  <w:shd w:val="clear" w:color="auto" w:fill="B9DCFF"/>
                </w:tcPr>
                <w:p w14:paraId="67254289" w14:textId="7EA8243B"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Region of displacement</w:t>
                  </w:r>
                </w:p>
              </w:tc>
              <w:tc>
                <w:tcPr>
                  <w:tcW w:w="1620" w:type="dxa"/>
                </w:tcPr>
                <w:p w14:paraId="1B765DA2" w14:textId="711207A7" w:rsidR="00204F0D" w:rsidRPr="002F1D8C" w:rsidRDefault="00AF2191"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0.14</w:t>
                  </w:r>
                </w:p>
              </w:tc>
              <w:tc>
                <w:tcPr>
                  <w:tcW w:w="1715" w:type="dxa"/>
                </w:tcPr>
                <w:p w14:paraId="26F2DDDB" w14:textId="42E62E0C" w:rsidR="00204F0D" w:rsidRPr="002F1D8C" w:rsidRDefault="00204F0D"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004F38">
                    <w:rPr>
                      <w:sz w:val="18"/>
                      <w:szCs w:val="18"/>
                    </w:rPr>
                    <w:t>01</w:t>
                  </w:r>
                </w:p>
              </w:tc>
            </w:tr>
            <w:tr w:rsidR="00204F0D" w:rsidRPr="002F1D8C" w14:paraId="1E3F3A83" w14:textId="77777777" w:rsidTr="0000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01AF5B20" w14:textId="6EA5A0A6" w:rsidR="00204F0D" w:rsidRPr="007A074C" w:rsidRDefault="003B1468" w:rsidP="00004F38">
                  <w:pPr>
                    <w:rPr>
                      <w:b w:val="0"/>
                      <w:bCs w:val="0"/>
                      <w:sz w:val="18"/>
                      <w:szCs w:val="18"/>
                    </w:rPr>
                  </w:pPr>
                  <w:r>
                    <w:rPr>
                      <w:b w:val="0"/>
                      <w:bCs w:val="0"/>
                      <w:sz w:val="18"/>
                      <w:szCs w:val="18"/>
                    </w:rPr>
                    <w:t>Year of arrival</w:t>
                  </w:r>
                </w:p>
              </w:tc>
              <w:tc>
                <w:tcPr>
                  <w:tcW w:w="2030" w:type="dxa"/>
                  <w:shd w:val="clear" w:color="auto" w:fill="B9DCFF"/>
                </w:tcPr>
                <w:p w14:paraId="3F479405" w14:textId="322798DE"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Year of displacement</w:t>
                  </w:r>
                </w:p>
              </w:tc>
              <w:tc>
                <w:tcPr>
                  <w:tcW w:w="2222" w:type="dxa"/>
                  <w:shd w:val="clear" w:color="auto" w:fill="B9DCFF"/>
                </w:tcPr>
                <w:p w14:paraId="380662E7" w14:textId="3A866E50" w:rsidR="00204F0D" w:rsidRPr="002F1D8C" w:rsidRDefault="00AF2191" w:rsidP="00004F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Origin</w:t>
                  </w:r>
                </w:p>
              </w:tc>
              <w:tc>
                <w:tcPr>
                  <w:tcW w:w="1620" w:type="dxa"/>
                </w:tcPr>
                <w:p w14:paraId="680D15A7" w14:textId="05B73C46" w:rsidR="00204F0D" w:rsidRPr="002F1D8C" w:rsidRDefault="00AF2191"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0.07</w:t>
                  </w:r>
                </w:p>
              </w:tc>
              <w:tc>
                <w:tcPr>
                  <w:tcW w:w="1715" w:type="dxa"/>
                </w:tcPr>
                <w:p w14:paraId="59048A6C" w14:textId="5C090435" w:rsidR="00204F0D" w:rsidRPr="002F1D8C" w:rsidRDefault="00204F0D" w:rsidP="005749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F1D8C">
                    <w:rPr>
                      <w:sz w:val="18"/>
                      <w:szCs w:val="18"/>
                    </w:rPr>
                    <w:t>0.</w:t>
                  </w:r>
                  <w:r w:rsidR="00004F38">
                    <w:rPr>
                      <w:sz w:val="18"/>
                      <w:szCs w:val="18"/>
                    </w:rPr>
                    <w:t>01</w:t>
                  </w:r>
                </w:p>
              </w:tc>
            </w:tr>
            <w:tr w:rsidR="00204F0D" w:rsidRPr="002F1D8C" w14:paraId="74220702" w14:textId="77777777" w:rsidTr="00004F38">
              <w:tc>
                <w:tcPr>
                  <w:cnfStyle w:val="001000000000" w:firstRow="0" w:lastRow="0" w:firstColumn="1" w:lastColumn="0" w:oddVBand="0" w:evenVBand="0" w:oddHBand="0" w:evenHBand="0" w:firstRowFirstColumn="0" w:firstRowLastColumn="0" w:lastRowFirstColumn="0" w:lastRowLastColumn="0"/>
                  <w:tcW w:w="1460" w:type="dxa"/>
                  <w:shd w:val="clear" w:color="auto" w:fill="B9DCFF"/>
                </w:tcPr>
                <w:p w14:paraId="7AB46EEE" w14:textId="1AB7CF2B" w:rsidR="00204F0D" w:rsidRPr="007A074C" w:rsidRDefault="003B1468" w:rsidP="00004F38">
                  <w:pPr>
                    <w:rPr>
                      <w:b w:val="0"/>
                      <w:bCs w:val="0"/>
                      <w:sz w:val="18"/>
                      <w:szCs w:val="18"/>
                    </w:rPr>
                  </w:pPr>
                  <w:r>
                    <w:rPr>
                      <w:b w:val="0"/>
                      <w:bCs w:val="0"/>
                      <w:sz w:val="18"/>
                      <w:szCs w:val="18"/>
                    </w:rPr>
                    <w:t>Year of arrival</w:t>
                  </w:r>
                </w:p>
              </w:tc>
              <w:tc>
                <w:tcPr>
                  <w:tcW w:w="2030" w:type="dxa"/>
                  <w:shd w:val="clear" w:color="auto" w:fill="B9DCFF"/>
                </w:tcPr>
                <w:p w14:paraId="77109B44" w14:textId="4CEEAA64"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Year of displacement</w:t>
                  </w:r>
                </w:p>
              </w:tc>
              <w:tc>
                <w:tcPr>
                  <w:tcW w:w="2222" w:type="dxa"/>
                  <w:shd w:val="clear" w:color="auto" w:fill="B9DCFF"/>
                </w:tcPr>
                <w:p w14:paraId="532174D1" w14:textId="12A28D5B" w:rsidR="00204F0D" w:rsidRPr="002F1D8C" w:rsidRDefault="00AF2191" w:rsidP="00004F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Region of displacement</w:t>
                  </w:r>
                </w:p>
              </w:tc>
              <w:tc>
                <w:tcPr>
                  <w:tcW w:w="1620" w:type="dxa"/>
                </w:tcPr>
                <w:p w14:paraId="458B4C2B" w14:textId="4F02F690" w:rsidR="00204F0D" w:rsidRPr="002F1D8C" w:rsidRDefault="00AF2191"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0.04</w:t>
                  </w:r>
                </w:p>
              </w:tc>
              <w:tc>
                <w:tcPr>
                  <w:tcW w:w="1715" w:type="dxa"/>
                </w:tcPr>
                <w:p w14:paraId="0BF5EA16" w14:textId="4020FCAC" w:rsidR="00204F0D" w:rsidRPr="002F1D8C" w:rsidRDefault="00204F0D" w:rsidP="005749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F1D8C">
                    <w:rPr>
                      <w:sz w:val="18"/>
                      <w:szCs w:val="18"/>
                    </w:rPr>
                    <w:t>0</w:t>
                  </w:r>
                  <w:r w:rsidR="00004F38">
                    <w:rPr>
                      <w:sz w:val="18"/>
                      <w:szCs w:val="18"/>
                    </w:rPr>
                    <w:t>.0</w:t>
                  </w:r>
                </w:p>
              </w:tc>
            </w:tr>
          </w:tbl>
          <w:p w14:paraId="5DCA7A3C" w14:textId="77777777" w:rsidR="00204F0D" w:rsidRDefault="00204F0D" w:rsidP="005749C7">
            <w:pPr>
              <w:jc w:val="both"/>
            </w:pPr>
          </w:p>
        </w:tc>
      </w:tr>
    </w:tbl>
    <w:p w14:paraId="1EF5231F" w14:textId="77777777" w:rsidR="00204F0D" w:rsidRDefault="00204F0D" w:rsidP="008C54FD">
      <w:pPr>
        <w:jc w:val="both"/>
        <w:rPr>
          <w:i/>
          <w:iCs/>
        </w:rPr>
      </w:pPr>
    </w:p>
    <w:p w14:paraId="3A721942" w14:textId="3C3B70D3" w:rsidR="008C54FD" w:rsidRDefault="007B29D0" w:rsidP="008C54FD">
      <w:pPr>
        <w:jc w:val="both"/>
        <w:rPr>
          <w:i/>
          <w:iCs/>
        </w:rPr>
      </w:pPr>
      <w:r>
        <w:rPr>
          <w:i/>
          <w:iCs/>
        </w:rPr>
        <w:t>Overall f</w:t>
      </w:r>
      <w:r w:rsidR="008C54FD">
        <w:rPr>
          <w:i/>
          <w:iCs/>
        </w:rPr>
        <w:t>easibility and application of metric options</w:t>
      </w:r>
    </w:p>
    <w:p w14:paraId="57FCFC1C" w14:textId="647C9DF0" w:rsidR="00624564" w:rsidRDefault="007D5C90" w:rsidP="0021542F">
      <w:pPr>
        <w:jc w:val="both"/>
      </w:pPr>
      <w:r>
        <w:t xml:space="preserve">Figure </w:t>
      </w:r>
      <w:r w:rsidR="0021542F">
        <w:t xml:space="preserve">5 </w:t>
      </w:r>
      <w:r w:rsidR="00BF7C90">
        <w:t xml:space="preserve">displays the density of the conducted simulations for </w:t>
      </w:r>
      <w:r w:rsidR="0021542F">
        <w:t>the 5 different metric options that could be used to implement the IRIS solutions measure in practice. The five options are compared to a simple pass/fail measure which does not implement a comparison to host communities. As a reminder,</w:t>
      </w:r>
      <w:r w:rsidR="006922B0">
        <w:t xml:space="preserve"> the graphs show wh</w:t>
      </w:r>
      <w:r w:rsidR="00064412">
        <w:t>ich outcome (i.e. number of IDPs exciting the stock) is particularly common in the simulations across indicator combinations.</w:t>
      </w:r>
    </w:p>
    <w:p w14:paraId="1F6099BD" w14:textId="11398DE3" w:rsidR="00624564" w:rsidRDefault="00624564" w:rsidP="00624564">
      <w:pPr>
        <w:jc w:val="both"/>
      </w:pPr>
      <w:r>
        <w:t xml:space="preserve">The same pattern as in Hargeisa can be detected in Nigeria. The composite measure at the criterion level, the composite measure at the sub-criterion level and a comparison of homogenous cells yield an average number of IDPs exiting the stock close to 0. In fact, the metric option 3 results in 0 IDPs overcoming their key displacement-related vulnerabilities across all indicator simulations. These three metric options essentially generate similar results to a simple pass/fail measure without comparisons to hosts. </w:t>
      </w:r>
    </w:p>
    <w:p w14:paraId="083B1EC2" w14:textId="7BBDB5D9" w:rsidR="001D5B58" w:rsidRPr="001D5B58" w:rsidRDefault="00624564" w:rsidP="00624564">
      <w:pPr>
        <w:jc w:val="both"/>
      </w:pPr>
      <w:r>
        <w:t xml:space="preserve">In the case of the full composite measure (option 1), the density plots show higher variability and up to 60 percent of the IDP population assessed in Nigeria may have overcome their </w:t>
      </w:r>
      <w:r>
        <w:lastRenderedPageBreak/>
        <w:t xml:space="preserve">displacement-related vulnerabilities according to this measure. The average number of simulations in this metric framework is close to 20% of the IDP population. For a regression-based approach, the assessment again yielded a bimodal distribution. The full composite measure and the regression-based approach are characterized by a much higher variability and the indicator selection is more sensitive in this context. We have seen the same behavior </w:t>
      </w:r>
      <w:r w:rsidR="006D6FCC">
        <w:rPr>
          <w:noProof/>
        </w:rPr>
        <mc:AlternateContent>
          <mc:Choice Requires="wps">
            <w:drawing>
              <wp:anchor distT="0" distB="0" distL="114300" distR="114300" simplePos="0" relativeHeight="251658247" behindDoc="1" locked="0" layoutInCell="1" allowOverlap="1" wp14:anchorId="0E036177" wp14:editId="2DDF5D04">
                <wp:simplePos x="0" y="0"/>
                <wp:positionH relativeFrom="margin">
                  <wp:posOffset>70359</wp:posOffset>
                </wp:positionH>
                <wp:positionV relativeFrom="paragraph">
                  <wp:posOffset>4505771</wp:posOffset>
                </wp:positionV>
                <wp:extent cx="5731510" cy="635"/>
                <wp:effectExtent l="0" t="0" r="2540" b="0"/>
                <wp:wrapTight wrapText="bothSides">
                  <wp:wrapPolygon edited="0">
                    <wp:start x="0" y="0"/>
                    <wp:lineTo x="0" y="17929"/>
                    <wp:lineTo x="21538" y="17929"/>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A8D0E" w14:textId="19349295" w:rsidR="0021542F" w:rsidRPr="003E1AFF" w:rsidRDefault="0021542F" w:rsidP="0021542F">
                            <w:pPr>
                              <w:pStyle w:val="TabFigSW"/>
                              <w:rPr>
                                <w:noProof/>
                              </w:rPr>
                            </w:pPr>
                            <w:r>
                              <w:t>Figure 5: Density of simulations in possible metrics (Nigeria)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36177" id="Text Box 17" o:spid="_x0000_s1028" type="#_x0000_t202" style="position:absolute;left:0;text-align:left;margin-left:5.55pt;margin-top:354.8pt;width:451.3pt;height:.05pt;z-index:-25165823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" stroked="f">
                <v:textbox style="mso-fit-shape-to-text:t" inset="0,0,0,0">
                  <w:txbxContent>
                    <w:p w14:paraId="09CA8D0E" w14:textId="19349295" w:rsidR="0021542F" w:rsidRPr="003E1AFF" w:rsidRDefault="0021542F" w:rsidP="0021542F">
                      <w:pPr>
                        <w:pStyle w:val="TabFigSW"/>
                        <w:rPr>
                          <w:noProof/>
                        </w:rPr>
                      </w:pPr>
                      <w:r>
                        <w:t>Figure 5: Density of simulations in possible metrics (Nigeria)</w:t>
                      </w:r>
                    </w:p>
                  </w:txbxContent>
                </v:textbox>
                <w10:wrap type="tight" anchorx="margin"/>
              </v:shape>
            </w:pict>
          </mc:Fallback>
        </mc:AlternateContent>
      </w:r>
      <w:r w:rsidR="006D6FCC">
        <w:rPr>
          <w:noProof/>
        </w:rPr>
        <w:drawing>
          <wp:anchor distT="0" distB="0" distL="114300" distR="114300" simplePos="0" relativeHeight="251658246" behindDoc="1" locked="0" layoutInCell="1" allowOverlap="1" wp14:anchorId="644A7725" wp14:editId="093667E4">
            <wp:simplePos x="0" y="0"/>
            <wp:positionH relativeFrom="margin">
              <wp:align>left</wp:align>
            </wp:positionH>
            <wp:positionV relativeFrom="paragraph">
              <wp:posOffset>432831</wp:posOffset>
            </wp:positionV>
            <wp:extent cx="5498465" cy="3999230"/>
            <wp:effectExtent l="19050" t="19050" r="26035" b="20320"/>
            <wp:wrapTight wrapText="bothSides">
              <wp:wrapPolygon edited="0">
                <wp:start x="-75" y="-103"/>
                <wp:lineTo x="-75" y="21607"/>
                <wp:lineTo x="21627" y="21607"/>
                <wp:lineTo x="21627" y="-103"/>
                <wp:lineTo x="-75" y="-103"/>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8465" cy="399923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t xml:space="preserve">in Hargeisa. </w:t>
      </w:r>
    </w:p>
    <w:p w14:paraId="6C0C9CD5" w14:textId="362670AF" w:rsidR="001D5B58" w:rsidRDefault="00FA7902" w:rsidP="00F85141">
      <w:pPr>
        <w:jc w:val="both"/>
      </w:pPr>
      <w:r>
        <w:t>Regarding the feasibility of implementing the different metric options in practice and with the capacities of a National Statistical Office in mind, it can be said that the patterns are similar to Hargeisa</w:t>
      </w:r>
      <w:r w:rsidR="00F85141">
        <w:t>:</w:t>
      </w:r>
      <w:r>
        <w:t xml:space="preserve"> </w:t>
      </w:r>
      <w:r w:rsidR="00B17DB7">
        <w:t>The</w:t>
      </w:r>
      <w:r>
        <w:t xml:space="preserve"> composite measure across all indicators </w:t>
      </w:r>
      <w:r w:rsidR="00B17DB7">
        <w:t>is</w:t>
      </w:r>
      <w:r>
        <w:t xml:space="preserve"> the easiest to implement. Dividing the IDP population into cells that can then be compared is </w:t>
      </w:r>
      <w:r w:rsidR="00F85141">
        <w:t xml:space="preserve">also fairly </w:t>
      </w:r>
      <w:r>
        <w:t xml:space="preserve">easy to implement but may require clearer guidance on the criteria to delimitate different IDP sub-groups. </w:t>
      </w:r>
      <w:r w:rsidR="00005C12">
        <w:t xml:space="preserve">Similarly, a regression-based approach </w:t>
      </w:r>
      <w:r w:rsidR="00956CA5">
        <w:t xml:space="preserve">is feasible to implement but requires clarification on probability cut-off, classifier used, and comparisons across contexts. </w:t>
      </w:r>
      <w:r>
        <w:t xml:space="preserve">Implementing indices on the criterion or sub-criterion level was more difficult to implement. This problem was even more </w:t>
      </w:r>
      <w:r w:rsidR="00F85141">
        <w:t>severe</w:t>
      </w:r>
      <w:r>
        <w:t xml:space="preserve"> in the dataset </w:t>
      </w:r>
      <w:r w:rsidR="00F85141">
        <w:t xml:space="preserve">used in Nigeria compared to the data in Hargeisa because the dataset did not contain enough possible indicators to form indices for </w:t>
      </w:r>
      <w:r w:rsidR="007130FE">
        <w:t>6</w:t>
      </w:r>
      <w:r w:rsidR="00F85141">
        <w:t xml:space="preserve"> out of 10 sub-criteria. Future assessments of how the IRIS solutions measure can be implemented should use datasets that provide a solid number of different indicators. </w:t>
      </w:r>
    </w:p>
    <w:p w14:paraId="3D1970F3" w14:textId="7CD9F522" w:rsidR="00875328" w:rsidRDefault="00875328" w:rsidP="00875328">
      <w:pPr>
        <w:pStyle w:val="Heading2"/>
      </w:pPr>
      <w:bookmarkStart w:id="13" w:name="_Toc63432140"/>
      <w:r>
        <w:t>Limitations</w:t>
      </w:r>
      <w:bookmarkEnd w:id="13"/>
    </w:p>
    <w:p w14:paraId="17DC9B66" w14:textId="10D0CA90" w:rsidR="00A6081A" w:rsidRDefault="00875328" w:rsidP="004C088B">
      <w:pPr>
        <w:jc w:val="both"/>
      </w:pPr>
      <w:r>
        <w:t xml:space="preserve">This note set out to provide evidence to what extent the choice of a set of statistical indicators to measure solutions </w:t>
      </w:r>
      <w:r w:rsidR="00A332E4">
        <w:t xml:space="preserve">(“challenge 1”) </w:t>
      </w:r>
      <w:r>
        <w:t xml:space="preserve">and the </w:t>
      </w:r>
      <w:r w:rsidR="003A530B">
        <w:t xml:space="preserve">choice of a </w:t>
      </w:r>
      <w:r>
        <w:t xml:space="preserve">method to combine these indicators into one statistical metric </w:t>
      </w:r>
      <w:r w:rsidR="00A332E4">
        <w:t xml:space="preserve">(“challenge 2”) </w:t>
      </w:r>
      <w:r w:rsidR="004C088B">
        <w:t>affect</w:t>
      </w:r>
      <w:r>
        <w:t xml:space="preserve"> </w:t>
      </w:r>
      <w:r w:rsidR="003A530B">
        <w:t xml:space="preserve">a </w:t>
      </w:r>
      <w:r w:rsidR="007130FE">
        <w:t>“</w:t>
      </w:r>
      <w:r w:rsidR="003A530B">
        <w:t xml:space="preserve">solutions </w:t>
      </w:r>
      <w:r w:rsidR="00F85141">
        <w:t>measure</w:t>
      </w:r>
      <w:r w:rsidR="007130FE">
        <w:t>”</w:t>
      </w:r>
      <w:r w:rsidR="003A530B">
        <w:t xml:space="preserve"> for internal displacement. </w:t>
      </w:r>
      <w:r w:rsidR="00BA17A3">
        <w:lastRenderedPageBreak/>
        <w:t>While the next sections will summarize the key insights</w:t>
      </w:r>
      <w:r w:rsidR="00A6081A">
        <w:t xml:space="preserve"> from this assessment</w:t>
      </w:r>
      <w:r w:rsidR="00BA17A3">
        <w:t xml:space="preserve">, </w:t>
      </w:r>
      <w:r w:rsidR="00A6081A">
        <w:t xml:space="preserve">it is important to acknowledge some key limitation in this simulation study: </w:t>
      </w:r>
    </w:p>
    <w:p w14:paraId="0019E8B3" w14:textId="3162801E" w:rsidR="00A6081A" w:rsidRDefault="00A6081A" w:rsidP="00B92AF5">
      <w:pPr>
        <w:pStyle w:val="ListParagraph"/>
        <w:numPr>
          <w:ilvl w:val="0"/>
          <w:numId w:val="2"/>
        </w:numPr>
        <w:jc w:val="both"/>
      </w:pPr>
      <w:r w:rsidRPr="006F6217">
        <w:rPr>
          <w:b/>
          <w:bCs/>
        </w:rPr>
        <w:t>Sample:</w:t>
      </w:r>
      <w:r>
        <w:t xml:space="preserve"> Only two datasets were used to test the solutions measure due to time constraint</w:t>
      </w:r>
      <w:r w:rsidR="00F85141">
        <w:t>s</w:t>
      </w:r>
      <w:r>
        <w:t xml:space="preserve">. It was necessary to focus on a household-level IDP-specific survey that includes host community households in order to allow comparison. </w:t>
      </w:r>
      <w:r w:rsidR="00BD0A05">
        <w:t xml:space="preserve">Given limited data available of comparable socio-economic micro-data on internal displacement, the surveys were not specifically selected to diversify context or policy relevance.  </w:t>
      </w:r>
      <w:r w:rsidR="006F6217">
        <w:t xml:space="preserve">Main issues with the selection are that no data from </w:t>
      </w:r>
      <w:r w:rsidR="00F85141">
        <w:t xml:space="preserve">IDP contexts with </w:t>
      </w:r>
      <w:r w:rsidR="006F6217">
        <w:t xml:space="preserve">a natural disaster </w:t>
      </w:r>
      <w:r w:rsidR="00F85141">
        <w:t>are</w:t>
      </w:r>
      <w:r w:rsidR="006F6217">
        <w:t xml:space="preserve"> used, the datasets are not </w:t>
      </w:r>
      <w:r w:rsidR="00F85141">
        <w:t xml:space="preserve">necessarily </w:t>
      </w:r>
      <w:r w:rsidR="006F6217">
        <w:t>nationally representative or</w:t>
      </w:r>
      <w:r w:rsidR="00F85141">
        <w:t xml:space="preserve"> do not</w:t>
      </w:r>
      <w:r w:rsidR="006F6217">
        <w:t xml:space="preserve"> cover a large proportion of the IDP population,</w:t>
      </w:r>
      <w:r w:rsidR="00F85141">
        <w:t xml:space="preserve"> and the data collections were not </w:t>
      </w:r>
      <w:r w:rsidR="006F6217">
        <w:t>part of an exercise to generate official statistics</w:t>
      </w:r>
      <w:r w:rsidR="00F85141">
        <w:t xml:space="preserve"> or feed into SDG reporting. Future assessments should identify other displacement contexts and samples that may be useful to analyze with the IRIS solution measure in mind. </w:t>
      </w:r>
    </w:p>
    <w:p w14:paraId="7A76564E" w14:textId="38989F4E" w:rsidR="00192FE1" w:rsidRDefault="006F6217" w:rsidP="00B92AF5">
      <w:pPr>
        <w:pStyle w:val="ListParagraph"/>
        <w:numPr>
          <w:ilvl w:val="0"/>
          <w:numId w:val="2"/>
        </w:numPr>
        <w:jc w:val="both"/>
      </w:pPr>
      <w:r w:rsidRPr="00C67BAF">
        <w:rPr>
          <w:b/>
          <w:bCs/>
        </w:rPr>
        <w:t>Data quality:</w:t>
      </w:r>
      <w:r>
        <w:t xml:space="preserve"> While both datasets were useful because they included multiple indicators that could be used </w:t>
      </w:r>
      <w:r w:rsidR="00DE6003">
        <w:t xml:space="preserve">to operationalize the IRIS solutions measure, there are some concerns about data quality, in particular in terms of comparability across contexts. </w:t>
      </w:r>
      <w:r w:rsidR="00F85141">
        <w:t>Additionally, the</w:t>
      </w:r>
      <w:r w:rsidR="00875500">
        <w:t xml:space="preserve"> survey in Hargeisa included more significant data gaps related to the employment of respondents. </w:t>
      </w:r>
      <w:r w:rsidR="00F85141">
        <w:t>Another concern is that indicators coded from the data to measure the 10 sub-criteria are not necessarily in full c</w:t>
      </w:r>
      <w:r w:rsidR="00E0042B">
        <w:t>ompliance with SDG indicators</w:t>
      </w:r>
      <w:r w:rsidR="00F85141">
        <w:t>. For the solutions measure, it would be beneficial to streamline the elements needed to form a solutions measure with SDG indicators, to increase the likelihood that indicators are already available in various displacement contexts</w:t>
      </w:r>
      <w:r w:rsidR="003824B0">
        <w:t>, to increase comparability across contexts,</w:t>
      </w:r>
      <w:r w:rsidR="00F85141">
        <w:t xml:space="preserve"> and to reduce the needs to collect new data in order to implement the IRIS solutions measure. Future analyses could define a set of potential indicators guided by more statistical standards. </w:t>
      </w:r>
    </w:p>
    <w:p w14:paraId="08B9CF85" w14:textId="58304BF8" w:rsidR="009F7212" w:rsidRDefault="009F7212" w:rsidP="00B92AF5">
      <w:pPr>
        <w:pStyle w:val="ListParagraph"/>
        <w:numPr>
          <w:ilvl w:val="0"/>
          <w:numId w:val="2"/>
        </w:numPr>
        <w:jc w:val="both"/>
      </w:pPr>
      <w:r>
        <w:rPr>
          <w:b/>
          <w:bCs/>
        </w:rPr>
        <w:t>Analysis:</w:t>
      </w:r>
      <w:r>
        <w:t xml:space="preserve"> Ideally, the work on operationalizing the relevant sub-criteria from the IRIS solutions metric </w:t>
      </w:r>
      <w:r w:rsidR="00E0042B">
        <w:t xml:space="preserve">would be done in close cooperation </w:t>
      </w:r>
      <w:r w:rsidR="00485786">
        <w:t>with</w:t>
      </w:r>
      <w:r w:rsidR="00E0042B">
        <w:t xml:space="preserve"> different experts and organizations to </w:t>
      </w:r>
      <w:r w:rsidR="00485786">
        <w:t xml:space="preserve">ensure that the work aligns with other efforts, to be guided by statistical standards and common practices, to allow more context-specific knowledge and to cross-compare simulation results as the way statistical indicators are defined may vary depending on the coder. Additionally, the analysis had to retrofit potential indicators for the solutions measure from existing datasets. This is problematic as the indicators are hence not necessarily standardized and there are not always enough indicators to compare thoroughly. Options for future analyses include to fully simulate theoretical data on how much indicators matter in different metric options or to use datasets that are pre-designed for this methodological assessment. </w:t>
      </w:r>
      <w:r w:rsidR="007A1668">
        <w:t xml:space="preserve">In addition, more information is necessary to understand to what extent the different metric options pick up the same IDP populations exiting the stock. </w:t>
      </w:r>
    </w:p>
    <w:p w14:paraId="6899394D" w14:textId="51433BC1" w:rsidR="00B609DE" w:rsidRDefault="007835A1" w:rsidP="00B609DE">
      <w:pPr>
        <w:pStyle w:val="Heading1"/>
      </w:pPr>
      <w:bookmarkStart w:id="14" w:name="_Toc63432141"/>
      <w:r>
        <w:t>Conclusion</w:t>
      </w:r>
      <w:r w:rsidR="002E4F7F">
        <w:t>s</w:t>
      </w:r>
      <w:r>
        <w:t xml:space="preserve"> and k</w:t>
      </w:r>
      <w:r w:rsidR="00B609DE">
        <w:t>ey recommendations</w:t>
      </w:r>
      <w:bookmarkEnd w:id="14"/>
    </w:p>
    <w:p w14:paraId="5062CAC2" w14:textId="34721AAE" w:rsidR="004A70D8" w:rsidRDefault="004A70D8" w:rsidP="004A70D8">
      <w:pPr>
        <w:pStyle w:val="Heading2"/>
      </w:pPr>
      <w:bookmarkStart w:id="15" w:name="_Toc63432142"/>
      <w:r>
        <w:t>Informing the selection of indicators</w:t>
      </w:r>
      <w:bookmarkEnd w:id="15"/>
    </w:p>
    <w:p w14:paraId="4C67EF6A" w14:textId="367AC4F8" w:rsidR="00C215E3" w:rsidRDefault="00C37171" w:rsidP="005E01AC">
      <w:pPr>
        <w:jc w:val="both"/>
      </w:pPr>
      <w:r>
        <w:t xml:space="preserve">The first insight from this simulation study is that the </w:t>
      </w:r>
      <w:r w:rsidR="007D2864">
        <w:rPr>
          <w:b/>
          <w:bCs/>
        </w:rPr>
        <w:t xml:space="preserve">choice </w:t>
      </w:r>
      <w:r w:rsidRPr="00C37171">
        <w:rPr>
          <w:b/>
          <w:bCs/>
        </w:rPr>
        <w:t>of a set of indicators to measure the 10 sub-criteria may matter less</w:t>
      </w:r>
      <w:r>
        <w:t xml:space="preserve"> </w:t>
      </w:r>
      <w:r w:rsidRPr="002B59F4">
        <w:rPr>
          <w:b/>
          <w:bCs/>
        </w:rPr>
        <w:t>than the data quality</w:t>
      </w:r>
      <w:r w:rsidR="001C0B28">
        <w:rPr>
          <w:b/>
          <w:bCs/>
        </w:rPr>
        <w:t xml:space="preserve"> and </w:t>
      </w:r>
      <w:r w:rsidRPr="002B59F4">
        <w:rPr>
          <w:b/>
          <w:bCs/>
        </w:rPr>
        <w:t>the metric cho</w:t>
      </w:r>
      <w:r w:rsidR="00E06D7B">
        <w:rPr>
          <w:b/>
          <w:bCs/>
        </w:rPr>
        <w:t>sen</w:t>
      </w:r>
      <w:r w:rsidRPr="002B59F4">
        <w:rPr>
          <w:b/>
          <w:bCs/>
        </w:rPr>
        <w:t xml:space="preserve"> to combine these indicators</w:t>
      </w:r>
      <w:r>
        <w:t xml:space="preserve">. </w:t>
      </w:r>
      <w:r w:rsidR="006A7CF2">
        <w:t xml:space="preserve">On average across all simulations and metric options, very few indicators </w:t>
      </w:r>
      <w:r w:rsidR="00BF767F">
        <w:t>had a large effect on the exit of IDPs from the stock</w:t>
      </w:r>
      <w:r w:rsidR="00C6223B">
        <w:t xml:space="preserve">. In the dataset from Nigeria, </w:t>
      </w:r>
      <w:r w:rsidR="00754425">
        <w:t xml:space="preserve">choosing one indicator over another </w:t>
      </w:r>
      <w:r w:rsidR="00BA18CB">
        <w:t xml:space="preserve">on average </w:t>
      </w:r>
      <w:r w:rsidR="00902931">
        <w:t>resulted in less than 1 percentage point change in the stock of IDPs</w:t>
      </w:r>
      <w:r w:rsidR="00847AA7">
        <w:t xml:space="preserve"> when all metric options are taken together</w:t>
      </w:r>
      <w:r w:rsidR="00902931">
        <w:t xml:space="preserve">. </w:t>
      </w:r>
      <w:r w:rsidR="00F21F9E">
        <w:t xml:space="preserve">This finding </w:t>
      </w:r>
      <w:r w:rsidR="00777165">
        <w:t xml:space="preserve">may </w:t>
      </w:r>
      <w:r w:rsidR="00386F9E">
        <w:lastRenderedPageBreak/>
        <w:t xml:space="preserve">facilitate and </w:t>
      </w:r>
      <w:r w:rsidR="00777165">
        <w:t xml:space="preserve">de-politicize the debate as EGRIS moves towards defining concrete statistical indicators </w:t>
      </w:r>
      <w:r w:rsidR="00386F9E">
        <w:t xml:space="preserve">against the IASC (sub-)criteria </w:t>
      </w:r>
      <w:r w:rsidR="00323FB6">
        <w:t>of the solutions measure.</w:t>
      </w:r>
    </w:p>
    <w:p w14:paraId="64FF099C" w14:textId="662D83DD" w:rsidR="002B59F4" w:rsidRDefault="009E242D" w:rsidP="005E01AC">
      <w:pPr>
        <w:keepNext/>
        <w:jc w:val="both"/>
      </w:pPr>
      <w:r>
        <w:t>T</w:t>
      </w:r>
      <w:r w:rsidR="002B59F4">
        <w:t xml:space="preserve">he process of running the </w:t>
      </w:r>
      <w:r w:rsidR="00DF1630">
        <w:t xml:space="preserve">simulations </w:t>
      </w:r>
      <w:r>
        <w:t xml:space="preserve">re-emphasized </w:t>
      </w:r>
      <w:r w:rsidR="002B59F4">
        <w:t>the quality standards IRIS already promotes for the statistical indicators for a solutions measure: It is indeed crucial that indicators are</w:t>
      </w:r>
      <w:r w:rsidR="005E01AC">
        <w:t xml:space="preserve"> </w:t>
      </w:r>
      <w:r w:rsidR="002B59F4" w:rsidRPr="00D9231C">
        <w:t>commonly used</w:t>
      </w:r>
      <w:r w:rsidR="005E01AC" w:rsidRPr="00D9231C">
        <w:t xml:space="preserve">, tested </w:t>
      </w:r>
      <w:r w:rsidR="002B59F4" w:rsidRPr="00D9231C">
        <w:t>and evaluated</w:t>
      </w:r>
      <w:r w:rsidR="002B59F4">
        <w:t xml:space="preserve"> </w:t>
      </w:r>
      <w:r w:rsidR="005E01AC">
        <w:t>and</w:t>
      </w:r>
      <w:r w:rsidR="002B59F4">
        <w:t xml:space="preserve"> </w:t>
      </w:r>
      <w:r w:rsidR="002B59F4" w:rsidRPr="006B2955">
        <w:t>cover the population in question</w:t>
      </w:r>
      <w:r w:rsidR="005E01AC">
        <w:t xml:space="preserve">. It is </w:t>
      </w:r>
      <w:r w:rsidR="006B2955">
        <w:t xml:space="preserve">indeed </w:t>
      </w:r>
      <w:r w:rsidR="005E01AC">
        <w:t xml:space="preserve">important that the final solutions measure is constructed of </w:t>
      </w:r>
      <w:r w:rsidR="005E01AC" w:rsidRPr="006B2955">
        <w:rPr>
          <w:b/>
          <w:bCs/>
        </w:rPr>
        <w:t>indicators that maximize coverage in the IDP population</w:t>
      </w:r>
      <w:r w:rsidR="005E01AC">
        <w:t xml:space="preserve">. While it may be permissible to measure access to education in IDP populations with school attendance rates of children, the indicator does not provide information about IDP households that do not have children. As such, this may not be a problem because one can argue that they </w:t>
      </w:r>
      <w:r w:rsidR="00F6240E">
        <w:t>did not suffer from</w:t>
      </w:r>
      <w:r w:rsidR="005E01AC">
        <w:t xml:space="preserve"> this vulnerability</w:t>
      </w:r>
      <w:r w:rsidR="00F6240E">
        <w:t xml:space="preserve"> in the first place.</w:t>
      </w:r>
      <w:r w:rsidR="005E01AC">
        <w:t xml:space="preserve"> However, if a large amount of the 10 indicators is only applicable to subsets of the IDP population, one risks that the count of IDPs exiting a national stock is based on only a small proportion of </w:t>
      </w:r>
      <w:r w:rsidR="00D77F69">
        <w:t>“</w:t>
      </w:r>
      <w:r w:rsidR="005E01AC">
        <w:t>real assessments</w:t>
      </w:r>
      <w:r w:rsidR="00D77F69">
        <w:t>”</w:t>
      </w:r>
      <w:r w:rsidR="005E01AC">
        <w:t xml:space="preserve"> while a huge part of the IDP population is just not seen as vulnerable on the dimensions measured. </w:t>
      </w:r>
    </w:p>
    <w:p w14:paraId="4F361C4C" w14:textId="1028725B" w:rsidR="005E01AC" w:rsidRDefault="00A26B8E" w:rsidP="005E01AC">
      <w:pPr>
        <w:keepNext/>
        <w:jc w:val="both"/>
      </w:pPr>
      <w:r>
        <w:t>R</w:t>
      </w:r>
      <w:r w:rsidR="005E01AC">
        <w:t xml:space="preserve">egarding the indicator choice, the process of running these simulations also revealed that there may </w:t>
      </w:r>
      <w:r w:rsidR="009939C7">
        <w:t xml:space="preserve">a </w:t>
      </w:r>
      <w:r w:rsidR="005E01AC">
        <w:t xml:space="preserve">need to </w:t>
      </w:r>
      <w:r w:rsidR="009939C7" w:rsidRPr="009939C7">
        <w:rPr>
          <w:b/>
          <w:bCs/>
        </w:rPr>
        <w:t>further</w:t>
      </w:r>
      <w:r w:rsidR="009939C7">
        <w:t xml:space="preserve"> </w:t>
      </w:r>
      <w:r w:rsidR="005E01AC" w:rsidRPr="00CD4FFE">
        <w:rPr>
          <w:b/>
          <w:bCs/>
        </w:rPr>
        <w:t xml:space="preserve">clarify the </w:t>
      </w:r>
      <w:r w:rsidR="00DD042A">
        <w:rPr>
          <w:b/>
          <w:bCs/>
        </w:rPr>
        <w:t xml:space="preserve">scope of </w:t>
      </w:r>
      <w:r w:rsidR="005E01AC" w:rsidRPr="00CD4FFE">
        <w:rPr>
          <w:b/>
          <w:bCs/>
        </w:rPr>
        <w:t xml:space="preserve">dimensions </w:t>
      </w:r>
      <w:r w:rsidR="005E01AC" w:rsidRPr="00CD4FFE">
        <w:rPr>
          <w:b/>
          <w:bCs/>
          <w:i/>
          <w:iCs/>
        </w:rPr>
        <w:t xml:space="preserve">3.1 Employment &amp; livelihoods </w:t>
      </w:r>
      <w:r w:rsidR="005E01AC" w:rsidRPr="00CD4FFE">
        <w:rPr>
          <w:b/>
          <w:bCs/>
        </w:rPr>
        <w:t xml:space="preserve">and </w:t>
      </w:r>
      <w:r w:rsidR="005E01AC" w:rsidRPr="00CD4FFE">
        <w:rPr>
          <w:b/>
          <w:bCs/>
          <w:i/>
          <w:iCs/>
        </w:rPr>
        <w:t>3.2 Economic security</w:t>
      </w:r>
      <w:r w:rsidR="005E01AC">
        <w:t xml:space="preserve">. In some instances, it is not easy to discern if a potential indicator falls into 3.1 or 3.2. Furthermore, </w:t>
      </w:r>
      <w:r w:rsidR="005E01AC" w:rsidRPr="00F52D1E">
        <w:rPr>
          <w:b/>
          <w:bCs/>
        </w:rPr>
        <w:t>many indicators found in the Durable Solutions library for these two sub-criteria are unclear regarding the question what constitutes a durable solutio</w:t>
      </w:r>
      <w:r w:rsidRPr="00F52D1E">
        <w:rPr>
          <w:b/>
          <w:bCs/>
        </w:rPr>
        <w:t>n and what not</w:t>
      </w:r>
      <w:r>
        <w:t xml:space="preserve">. </w:t>
      </w:r>
    </w:p>
    <w:p w14:paraId="4A38F776" w14:textId="7C4CDF21" w:rsidR="00F1559E" w:rsidRDefault="00A26B8E" w:rsidP="00F1559E">
      <w:pPr>
        <w:jc w:val="both"/>
      </w:pPr>
      <w:r>
        <w:t>Finally, the indicator choice</w:t>
      </w:r>
      <w:r w:rsidR="006C13F6">
        <w:t xml:space="preserve"> across all simulations</w:t>
      </w:r>
      <w:r>
        <w:t xml:space="preserve"> seemed to matter the most for the sub-criteri</w:t>
      </w:r>
      <w:r w:rsidR="006C13F6">
        <w:t>a</w:t>
      </w:r>
      <w:r>
        <w:t xml:space="preserve"> </w:t>
      </w:r>
      <w:r w:rsidR="00BC79A8">
        <w:rPr>
          <w:i/>
          <w:iCs/>
        </w:rPr>
        <w:t>5</w:t>
      </w:r>
      <w:r w:rsidR="006C13F6" w:rsidRPr="00A26B8E">
        <w:rPr>
          <w:i/>
          <w:iCs/>
        </w:rPr>
        <w:t xml:space="preserve">.1. </w:t>
      </w:r>
      <w:r w:rsidR="00BC79A8">
        <w:rPr>
          <w:i/>
          <w:iCs/>
        </w:rPr>
        <w:t>Documentation</w:t>
      </w:r>
      <w:r w:rsidR="006C13F6">
        <w:rPr>
          <w:i/>
          <w:iCs/>
        </w:rPr>
        <w:t>,</w:t>
      </w:r>
      <w:r w:rsidR="006C13F6" w:rsidRPr="00A26B8E">
        <w:rPr>
          <w:i/>
          <w:iCs/>
        </w:rPr>
        <w:t xml:space="preserve"> 4.1. Property restitution and compensation</w:t>
      </w:r>
      <w:r w:rsidR="006C13F6">
        <w:rPr>
          <w:i/>
          <w:iCs/>
        </w:rPr>
        <w:t>,</w:t>
      </w:r>
      <w:r w:rsidR="006C13F6" w:rsidRPr="00BC79A8">
        <w:t xml:space="preserve"> </w:t>
      </w:r>
      <w:r w:rsidR="00BC79A8" w:rsidRPr="00BC79A8">
        <w:t>and</w:t>
      </w:r>
      <w:r w:rsidR="00BC79A8">
        <w:rPr>
          <w:i/>
          <w:iCs/>
        </w:rPr>
        <w:t xml:space="preserve"> 3</w:t>
      </w:r>
      <w:r w:rsidR="00C37171" w:rsidRPr="00A26B8E">
        <w:rPr>
          <w:i/>
          <w:iCs/>
        </w:rPr>
        <w:t>.</w:t>
      </w:r>
      <w:r w:rsidR="00BC79A8">
        <w:rPr>
          <w:i/>
          <w:iCs/>
        </w:rPr>
        <w:t>2</w:t>
      </w:r>
      <w:r w:rsidR="00C37171" w:rsidRPr="00A26B8E">
        <w:rPr>
          <w:i/>
          <w:iCs/>
        </w:rPr>
        <w:t xml:space="preserve">. </w:t>
      </w:r>
      <w:r w:rsidR="00BC79A8">
        <w:rPr>
          <w:i/>
          <w:iCs/>
        </w:rPr>
        <w:t>Economic security</w:t>
      </w:r>
      <w:r>
        <w:t xml:space="preserve">. This was the case across displacement contexts (Hargeisa, Nigeria) and across metric options. </w:t>
      </w:r>
      <w:r w:rsidR="003772BF">
        <w:t>T</w:t>
      </w:r>
      <w:r w:rsidR="00802352">
        <w:t xml:space="preserve">he first </w:t>
      </w:r>
      <w:r w:rsidR="00CF3A2A">
        <w:t xml:space="preserve">two </w:t>
      </w:r>
      <w:r w:rsidR="00802352">
        <w:t xml:space="preserve">of the above </w:t>
      </w:r>
      <w:r w:rsidR="00CF3A2A">
        <w:t>sub-criteria</w:t>
      </w:r>
      <w:r w:rsidR="003772BF">
        <w:t>,</w:t>
      </w:r>
      <w:r w:rsidR="00CF3A2A">
        <w:t xml:space="preserve"> </w:t>
      </w:r>
      <w:r w:rsidR="003772BF">
        <w:t xml:space="preserve">which </w:t>
      </w:r>
      <w:r w:rsidR="00CF3A2A">
        <w:t xml:space="preserve">often drove </w:t>
      </w:r>
      <w:r w:rsidR="00416108">
        <w:t>variation in the simulations</w:t>
      </w:r>
      <w:r w:rsidR="003772BF">
        <w:t>,</w:t>
      </w:r>
      <w:r w:rsidR="00416108">
        <w:t xml:space="preserve"> are </w:t>
      </w:r>
      <w:r w:rsidR="00416108" w:rsidRPr="003772BF">
        <w:rPr>
          <w:b/>
          <w:bCs/>
        </w:rPr>
        <w:t xml:space="preserve">rights-based indicators. It </w:t>
      </w:r>
      <w:r w:rsidRPr="003772BF">
        <w:rPr>
          <w:b/>
          <w:bCs/>
        </w:rPr>
        <w:t xml:space="preserve">seems crucial to </w:t>
      </w:r>
      <w:r w:rsidR="007F1C28" w:rsidRPr="003772BF">
        <w:rPr>
          <w:b/>
          <w:bCs/>
        </w:rPr>
        <w:t>decide</w:t>
      </w:r>
      <w:r w:rsidRPr="003772BF">
        <w:rPr>
          <w:b/>
          <w:bCs/>
        </w:rPr>
        <w:t xml:space="preserve"> whether </w:t>
      </w:r>
      <w:r w:rsidR="00416108" w:rsidRPr="003772BF">
        <w:rPr>
          <w:b/>
          <w:bCs/>
        </w:rPr>
        <w:t>these indicators</w:t>
      </w:r>
      <w:r w:rsidR="007F1C28" w:rsidRPr="003772BF">
        <w:rPr>
          <w:b/>
          <w:bCs/>
        </w:rPr>
        <w:t xml:space="preserve"> </w:t>
      </w:r>
      <w:r w:rsidRPr="003772BF">
        <w:rPr>
          <w:b/>
          <w:bCs/>
        </w:rPr>
        <w:t>should be measured based on factual compensation or only</w:t>
      </w:r>
      <w:r w:rsidR="007F1C28" w:rsidRPr="003772BF">
        <w:rPr>
          <w:b/>
          <w:bCs/>
        </w:rPr>
        <w:t xml:space="preserve"> on </w:t>
      </w:r>
      <w:r w:rsidRPr="003772BF">
        <w:rPr>
          <w:b/>
          <w:bCs/>
        </w:rPr>
        <w:t>access to compensation mechanism or only documentation of property rights.</w:t>
      </w:r>
      <w:r>
        <w:t xml:space="preserve"> </w:t>
      </w:r>
      <w:r w:rsidR="00416108">
        <w:t xml:space="preserve">Furthermore, a decision is required whether general identification documents or specific documents or even mechanisms to restore documents should be assessed in durable solution profiling. </w:t>
      </w:r>
      <w:r>
        <w:t xml:space="preserve">Once this decision is made, the variation found across metrics may </w:t>
      </w:r>
      <w:r w:rsidR="00F629B8">
        <w:t xml:space="preserve">be drastically </w:t>
      </w:r>
      <w:r>
        <w:t>diminished.</w:t>
      </w:r>
      <w:r w:rsidR="00F1559E" w:rsidRPr="00F1559E">
        <w:t xml:space="preserve"> </w:t>
      </w:r>
    </w:p>
    <w:p w14:paraId="38D80715" w14:textId="77777777" w:rsidR="00B27B41" w:rsidRDefault="00B27B41" w:rsidP="00B27B41">
      <w:pPr>
        <w:pStyle w:val="Heading2"/>
      </w:pPr>
      <w:bookmarkStart w:id="16" w:name="_Toc63432143"/>
      <w:r>
        <w:t>Informing the selection of a metric</w:t>
      </w:r>
      <w:bookmarkEnd w:id="16"/>
    </w:p>
    <w:p w14:paraId="1757A646" w14:textId="6E07DE96" w:rsidR="00E83500" w:rsidRDefault="00E83500" w:rsidP="00AC444F">
      <w:pPr>
        <w:jc w:val="both"/>
      </w:pPr>
      <w:r>
        <w:t xml:space="preserve">Given that the individual indicators are on average less relevant for the final number of IDPs exiting the stock, the discussion around the solutions measure should focus </w:t>
      </w:r>
      <w:r w:rsidR="001930B9">
        <w:t>perhaps more deeply</w:t>
      </w:r>
      <w:r>
        <w:t xml:space="preserve"> on the selection of a model/metric by which the indicators are then combined and analyzed in a way  that complies with the wider IRIS framework and principles. How the 10 different sub-criteria are combined and compared to a comparator population drives more of the variation than the exact definition of each statistical indicator. </w:t>
      </w:r>
    </w:p>
    <w:p w14:paraId="305102D9" w14:textId="4E5E6BBA" w:rsidR="00AC444F" w:rsidRDefault="007F1C28" w:rsidP="00AC444F">
      <w:pPr>
        <w:jc w:val="both"/>
      </w:pPr>
      <w:r>
        <w:t xml:space="preserve">The assessment shows that the different </w:t>
      </w:r>
      <w:r w:rsidR="009839D8">
        <w:t>available options</w:t>
      </w:r>
      <w:r>
        <w:t xml:space="preserve"> to </w:t>
      </w:r>
      <w:r w:rsidR="00A44A6F">
        <w:t xml:space="preserve">implement the contextualized approach that IRIS promotes </w:t>
      </w:r>
      <w:r w:rsidR="006D7164">
        <w:t>and to</w:t>
      </w:r>
      <w:r w:rsidR="002F188B">
        <w:t xml:space="preserve"> find a workable measure </w:t>
      </w:r>
      <w:r w:rsidR="00A44A6F">
        <w:t xml:space="preserve">have different strengths and weaknesses. Table 8 summarizes these insights. </w:t>
      </w:r>
    </w:p>
    <w:p w14:paraId="1D98DA55" w14:textId="31F43FA4" w:rsidR="00AC444F" w:rsidRDefault="00AC444F" w:rsidP="00AC444F">
      <w:pPr>
        <w:jc w:val="both"/>
      </w:pPr>
      <w:r>
        <w:t xml:space="preserve">Option 1, a composite metric across all criteria, has shown </w:t>
      </w:r>
      <w:r w:rsidR="00271C55">
        <w:t>high</w:t>
      </w:r>
      <w:r>
        <w:t xml:space="preserve"> variability in the simulation. This means that this way of combining the indicators and comparing one score to the host population is very sensitive to the indicators chosen. It is hence not necessarily advisable to use one unified metric across all criteria</w:t>
      </w:r>
      <w:r w:rsidR="00AF3EB9">
        <w:t xml:space="preserve">, which also </w:t>
      </w:r>
      <w:r>
        <w:t xml:space="preserve">violates the IRIS principle that all sub-criteria must be met, because it is highly sensitive to the exact combination of indicators, and because it is hence likely that a comparison across displacement contexts is flawed. </w:t>
      </w:r>
    </w:p>
    <w:p w14:paraId="2F723300" w14:textId="77777777" w:rsidR="00FA4173" w:rsidRDefault="00FA4173" w:rsidP="00FA4173">
      <w:pPr>
        <w:pStyle w:val="TabFigSW"/>
      </w:pPr>
      <w:r>
        <w:lastRenderedPageBreak/>
        <w:t>Table 8: Summary of metric advantages and disadvantages</w:t>
      </w:r>
    </w:p>
    <w:tbl>
      <w:tblPr>
        <w:tblStyle w:val="PlainTable2"/>
        <w:tblW w:w="0" w:type="auto"/>
        <w:tblLayout w:type="fixed"/>
        <w:tblLook w:val="04A0" w:firstRow="1" w:lastRow="0" w:firstColumn="1" w:lastColumn="0" w:noHBand="0" w:noVBand="1"/>
      </w:tblPr>
      <w:tblGrid>
        <w:gridCol w:w="1620"/>
        <w:gridCol w:w="1057"/>
        <w:gridCol w:w="1193"/>
        <w:gridCol w:w="1170"/>
        <w:gridCol w:w="1239"/>
        <w:gridCol w:w="1423"/>
        <w:gridCol w:w="1324"/>
      </w:tblGrid>
      <w:tr w:rsidR="00FA4173" w:rsidRPr="00703B65" w14:paraId="2E4E8E0B" w14:textId="77777777" w:rsidTr="00574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B1B44D1" w14:textId="77777777" w:rsidR="00FA4173" w:rsidRPr="00DB3732" w:rsidRDefault="00FA4173" w:rsidP="005749C7">
            <w:pPr>
              <w:rPr>
                <w:color w:val="002F59" w:themeColor="text2"/>
                <w:sz w:val="18"/>
                <w:szCs w:val="18"/>
              </w:rPr>
            </w:pPr>
          </w:p>
        </w:tc>
        <w:tc>
          <w:tcPr>
            <w:tcW w:w="1057" w:type="dxa"/>
          </w:tcPr>
          <w:p w14:paraId="702BDA24"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IRIS framework</w:t>
            </w:r>
          </w:p>
        </w:tc>
        <w:tc>
          <w:tcPr>
            <w:tcW w:w="1193" w:type="dxa"/>
          </w:tcPr>
          <w:p w14:paraId="5D5C9D93"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1: Composite metric across all criteria</w:t>
            </w:r>
          </w:p>
        </w:tc>
        <w:tc>
          <w:tcPr>
            <w:tcW w:w="1170" w:type="dxa"/>
          </w:tcPr>
          <w:p w14:paraId="4515EC0A"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2: Composite metric at the criterion level</w:t>
            </w:r>
          </w:p>
        </w:tc>
        <w:tc>
          <w:tcPr>
            <w:tcW w:w="1239" w:type="dxa"/>
          </w:tcPr>
          <w:p w14:paraId="750D1B17"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3: Composite metric at sub-criterion level</w:t>
            </w:r>
          </w:p>
        </w:tc>
        <w:tc>
          <w:tcPr>
            <w:tcW w:w="1423" w:type="dxa"/>
          </w:tcPr>
          <w:p w14:paraId="12D52AEF"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sidRPr="00DB3732">
              <w:rPr>
                <w:color w:val="002F59" w:themeColor="text2"/>
                <w:sz w:val="18"/>
                <w:szCs w:val="18"/>
              </w:rPr>
              <w:t>Option 4: homogenous cells</w:t>
            </w:r>
          </w:p>
        </w:tc>
        <w:tc>
          <w:tcPr>
            <w:tcW w:w="1324" w:type="dxa"/>
          </w:tcPr>
          <w:p w14:paraId="16DCC3C1" w14:textId="77777777" w:rsidR="00FA4173" w:rsidRPr="00DB3732" w:rsidRDefault="00FA4173" w:rsidP="005749C7">
            <w:pPr>
              <w:cnfStyle w:val="100000000000" w:firstRow="1" w:lastRow="0" w:firstColumn="0" w:lastColumn="0" w:oddVBand="0" w:evenVBand="0" w:oddHBand="0" w:evenHBand="0" w:firstRowFirstColumn="0" w:firstRowLastColumn="0" w:lastRowFirstColumn="0" w:lastRowLastColumn="0"/>
              <w:rPr>
                <w:color w:val="002F59" w:themeColor="text2"/>
                <w:sz w:val="18"/>
                <w:szCs w:val="18"/>
              </w:rPr>
            </w:pPr>
            <w:r>
              <w:rPr>
                <w:color w:val="002F59" w:themeColor="text2"/>
                <w:sz w:val="18"/>
                <w:szCs w:val="18"/>
              </w:rPr>
              <w:t xml:space="preserve">Option 5: regression-based </w:t>
            </w:r>
          </w:p>
        </w:tc>
      </w:tr>
      <w:tr w:rsidR="00FA4173" w:rsidRPr="00703B65" w14:paraId="0E86B81D" w14:textId="77777777" w:rsidTr="0057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6AC080D" w14:textId="77777777" w:rsidR="00FA4173" w:rsidRPr="00DB3732" w:rsidRDefault="00FA4173" w:rsidP="005749C7">
            <w:pPr>
              <w:rPr>
                <w:color w:val="002F59" w:themeColor="text2"/>
                <w:sz w:val="18"/>
                <w:szCs w:val="18"/>
              </w:rPr>
            </w:pPr>
            <w:r w:rsidRPr="00DB3732">
              <w:rPr>
                <w:color w:val="002F59" w:themeColor="text2"/>
                <w:sz w:val="18"/>
                <w:szCs w:val="18"/>
              </w:rPr>
              <w:t>Aggregation of indicators to indices</w:t>
            </w:r>
          </w:p>
        </w:tc>
        <w:tc>
          <w:tcPr>
            <w:tcW w:w="1057" w:type="dxa"/>
          </w:tcPr>
          <w:p w14:paraId="60BD9C35"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No aggregation</w:t>
            </w:r>
          </w:p>
        </w:tc>
        <w:tc>
          <w:tcPr>
            <w:tcW w:w="1193" w:type="dxa"/>
          </w:tcPr>
          <w:p w14:paraId="651E9403"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High</w:t>
            </w:r>
            <w:r>
              <w:rPr>
                <w:sz w:val="18"/>
                <w:szCs w:val="18"/>
              </w:rPr>
              <w:t>-level</w:t>
            </w:r>
            <w:r w:rsidRPr="00DB3732">
              <w:rPr>
                <w:sz w:val="18"/>
                <w:szCs w:val="18"/>
              </w:rPr>
              <w:t xml:space="preserve"> aggregation</w:t>
            </w:r>
          </w:p>
        </w:tc>
        <w:tc>
          <w:tcPr>
            <w:tcW w:w="1170" w:type="dxa"/>
          </w:tcPr>
          <w:p w14:paraId="61213378"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Medium</w:t>
            </w:r>
            <w:r>
              <w:rPr>
                <w:sz w:val="18"/>
                <w:szCs w:val="18"/>
              </w:rPr>
              <w:t>-level</w:t>
            </w:r>
            <w:r w:rsidRPr="00DB3732">
              <w:rPr>
                <w:sz w:val="18"/>
                <w:szCs w:val="18"/>
              </w:rPr>
              <w:t xml:space="preserve"> aggregation</w:t>
            </w:r>
          </w:p>
        </w:tc>
        <w:tc>
          <w:tcPr>
            <w:tcW w:w="1239" w:type="dxa"/>
          </w:tcPr>
          <w:p w14:paraId="51C07083"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Low</w:t>
            </w:r>
            <w:r>
              <w:rPr>
                <w:sz w:val="18"/>
                <w:szCs w:val="18"/>
              </w:rPr>
              <w:t xml:space="preserve">-level </w:t>
            </w:r>
            <w:r w:rsidRPr="00DB3732">
              <w:rPr>
                <w:sz w:val="18"/>
                <w:szCs w:val="18"/>
              </w:rPr>
              <w:t>aggregation</w:t>
            </w:r>
          </w:p>
        </w:tc>
        <w:tc>
          <w:tcPr>
            <w:tcW w:w="1423" w:type="dxa"/>
          </w:tcPr>
          <w:p w14:paraId="5EA93D56"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No aggregation</w:t>
            </w:r>
          </w:p>
        </w:tc>
        <w:tc>
          <w:tcPr>
            <w:tcW w:w="1324" w:type="dxa"/>
          </w:tcPr>
          <w:p w14:paraId="1DA2EDBA"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aggregation</w:t>
            </w:r>
          </w:p>
        </w:tc>
      </w:tr>
      <w:tr w:rsidR="00FA4173" w:rsidRPr="00703B65" w14:paraId="36C60750" w14:textId="77777777" w:rsidTr="005749C7">
        <w:tc>
          <w:tcPr>
            <w:cnfStyle w:val="001000000000" w:firstRow="0" w:lastRow="0" w:firstColumn="1" w:lastColumn="0" w:oddVBand="0" w:evenVBand="0" w:oddHBand="0" w:evenHBand="0" w:firstRowFirstColumn="0" w:firstRowLastColumn="0" w:lastRowFirstColumn="0" w:lastRowLastColumn="0"/>
            <w:tcW w:w="1620" w:type="dxa"/>
          </w:tcPr>
          <w:p w14:paraId="6151E535" w14:textId="77777777" w:rsidR="00FA4173" w:rsidRPr="00DB3732" w:rsidRDefault="00FA4173" w:rsidP="005749C7">
            <w:pPr>
              <w:rPr>
                <w:color w:val="002F59" w:themeColor="text2"/>
                <w:sz w:val="18"/>
                <w:szCs w:val="18"/>
              </w:rPr>
            </w:pPr>
            <w:r w:rsidRPr="00DB3732">
              <w:rPr>
                <w:color w:val="002F59" w:themeColor="text2"/>
                <w:sz w:val="18"/>
                <w:szCs w:val="18"/>
              </w:rPr>
              <w:t xml:space="preserve">Crudeness of </w:t>
            </w:r>
            <w:r>
              <w:rPr>
                <w:color w:val="002F59" w:themeColor="text2"/>
                <w:sz w:val="18"/>
                <w:szCs w:val="18"/>
              </w:rPr>
              <w:t>(sub-)</w:t>
            </w:r>
            <w:r w:rsidRPr="00DB3732">
              <w:rPr>
                <w:color w:val="002F59" w:themeColor="text2"/>
                <w:sz w:val="18"/>
                <w:szCs w:val="18"/>
              </w:rPr>
              <w:t>indices</w:t>
            </w:r>
          </w:p>
        </w:tc>
        <w:tc>
          <w:tcPr>
            <w:tcW w:w="1057" w:type="dxa"/>
          </w:tcPr>
          <w:p w14:paraId="1DD316B2"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Not applicable, no index</w:t>
            </w:r>
          </w:p>
        </w:tc>
        <w:tc>
          <w:tcPr>
            <w:tcW w:w="1193" w:type="dxa"/>
          </w:tcPr>
          <w:p w14:paraId="461A687B"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Low (consists of 10 elements)</w:t>
            </w:r>
          </w:p>
        </w:tc>
        <w:tc>
          <w:tcPr>
            <w:tcW w:w="1170" w:type="dxa"/>
          </w:tcPr>
          <w:p w14:paraId="7E270AE6"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Medium to high (</w:t>
            </w:r>
            <w:r>
              <w:rPr>
                <w:sz w:val="18"/>
                <w:szCs w:val="18"/>
              </w:rPr>
              <w:t>each criterion can be measured with multiple elements</w:t>
            </w:r>
            <w:r w:rsidRPr="00DB3732">
              <w:rPr>
                <w:sz w:val="18"/>
                <w:szCs w:val="18"/>
              </w:rPr>
              <w:t>)</w:t>
            </w:r>
          </w:p>
        </w:tc>
        <w:tc>
          <w:tcPr>
            <w:tcW w:w="1239" w:type="dxa"/>
          </w:tcPr>
          <w:p w14:paraId="3ADA200D"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High (</w:t>
            </w:r>
            <w:r>
              <w:rPr>
                <w:sz w:val="18"/>
                <w:szCs w:val="18"/>
              </w:rPr>
              <w:t xml:space="preserve">realistically each </w:t>
            </w:r>
            <w:r w:rsidRPr="00DB3732">
              <w:rPr>
                <w:sz w:val="18"/>
                <w:szCs w:val="18"/>
              </w:rPr>
              <w:t>sub-criteri</w:t>
            </w:r>
            <w:r>
              <w:rPr>
                <w:sz w:val="18"/>
                <w:szCs w:val="18"/>
              </w:rPr>
              <w:t>on</w:t>
            </w:r>
            <w:r w:rsidRPr="00DB3732">
              <w:rPr>
                <w:sz w:val="18"/>
                <w:szCs w:val="18"/>
              </w:rPr>
              <w:t xml:space="preserve"> can only be measured with 3-4 elements)</w:t>
            </w:r>
          </w:p>
        </w:tc>
        <w:tc>
          <w:tcPr>
            <w:tcW w:w="1423" w:type="dxa"/>
          </w:tcPr>
          <w:p w14:paraId="5D0C6E5C"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sidRPr="00DB3732">
              <w:rPr>
                <w:sz w:val="18"/>
                <w:szCs w:val="18"/>
              </w:rPr>
              <w:t>Not applicable, no index</w:t>
            </w:r>
          </w:p>
        </w:tc>
        <w:tc>
          <w:tcPr>
            <w:tcW w:w="1324" w:type="dxa"/>
          </w:tcPr>
          <w:p w14:paraId="40F29EE1"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applicable, no index</w:t>
            </w:r>
          </w:p>
        </w:tc>
      </w:tr>
      <w:tr w:rsidR="00FA4173" w:rsidRPr="00703B65" w14:paraId="6418DA0B" w14:textId="77777777" w:rsidTr="0057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6135F47" w14:textId="77777777" w:rsidR="00FA4173" w:rsidRPr="00DB3732" w:rsidRDefault="00FA4173" w:rsidP="005749C7">
            <w:pPr>
              <w:rPr>
                <w:color w:val="002F59" w:themeColor="text2"/>
                <w:sz w:val="18"/>
                <w:szCs w:val="18"/>
              </w:rPr>
            </w:pPr>
            <w:r w:rsidRPr="00DB3732">
              <w:rPr>
                <w:color w:val="002F59" w:themeColor="text2"/>
                <w:sz w:val="18"/>
                <w:szCs w:val="18"/>
              </w:rPr>
              <w:t xml:space="preserve">Importance of indicator choice </w:t>
            </w:r>
          </w:p>
        </w:tc>
        <w:tc>
          <w:tcPr>
            <w:tcW w:w="1057" w:type="dxa"/>
          </w:tcPr>
          <w:p w14:paraId="103B111F"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low to l</w:t>
            </w:r>
            <w:r w:rsidRPr="00DB3732">
              <w:rPr>
                <w:sz w:val="18"/>
                <w:szCs w:val="18"/>
              </w:rPr>
              <w:t>ow</w:t>
            </w:r>
          </w:p>
        </w:tc>
        <w:tc>
          <w:tcPr>
            <w:tcW w:w="1193" w:type="dxa"/>
          </w:tcPr>
          <w:p w14:paraId="450C7C12"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High</w:t>
            </w:r>
            <w:r>
              <w:rPr>
                <w:sz w:val="18"/>
                <w:szCs w:val="18"/>
              </w:rPr>
              <w:t xml:space="preserve"> to medium</w:t>
            </w:r>
          </w:p>
        </w:tc>
        <w:tc>
          <w:tcPr>
            <w:tcW w:w="1170" w:type="dxa"/>
          </w:tcPr>
          <w:p w14:paraId="0B00A605"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sidRPr="00DB3732">
              <w:rPr>
                <w:sz w:val="18"/>
                <w:szCs w:val="18"/>
              </w:rPr>
              <w:t>Medium</w:t>
            </w:r>
            <w:r>
              <w:rPr>
                <w:sz w:val="18"/>
                <w:szCs w:val="18"/>
              </w:rPr>
              <w:t xml:space="preserve"> to low </w:t>
            </w:r>
          </w:p>
        </w:tc>
        <w:tc>
          <w:tcPr>
            <w:tcW w:w="1239" w:type="dxa"/>
          </w:tcPr>
          <w:p w14:paraId="32EDBB60"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variation</w:t>
            </w:r>
          </w:p>
        </w:tc>
        <w:tc>
          <w:tcPr>
            <w:tcW w:w="1423" w:type="dxa"/>
          </w:tcPr>
          <w:p w14:paraId="653A1622" w14:textId="77777777" w:rsidR="00FA4173" w:rsidRPr="00DB3732"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low to no importance</w:t>
            </w:r>
          </w:p>
        </w:tc>
        <w:tc>
          <w:tcPr>
            <w:tcW w:w="1324" w:type="dxa"/>
          </w:tcPr>
          <w:p w14:paraId="00700267" w14:textId="77777777" w:rsidR="00FA4173" w:rsidRDefault="00FA4173" w:rsidP="005749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 to very high</w:t>
            </w:r>
          </w:p>
        </w:tc>
      </w:tr>
      <w:tr w:rsidR="00FA4173" w:rsidRPr="00703B65" w14:paraId="5448A3C2" w14:textId="77777777" w:rsidTr="005749C7">
        <w:tc>
          <w:tcPr>
            <w:cnfStyle w:val="001000000000" w:firstRow="0" w:lastRow="0" w:firstColumn="1" w:lastColumn="0" w:oddVBand="0" w:evenVBand="0" w:oddHBand="0" w:evenHBand="0" w:firstRowFirstColumn="0" w:firstRowLastColumn="0" w:lastRowFirstColumn="0" w:lastRowLastColumn="0"/>
            <w:tcW w:w="1620" w:type="dxa"/>
          </w:tcPr>
          <w:p w14:paraId="2871D3C8" w14:textId="77777777" w:rsidR="00FA4173" w:rsidRPr="00DB3732" w:rsidRDefault="00FA4173" w:rsidP="005749C7">
            <w:pPr>
              <w:rPr>
                <w:color w:val="002F59" w:themeColor="text2"/>
                <w:sz w:val="18"/>
                <w:szCs w:val="18"/>
              </w:rPr>
            </w:pPr>
            <w:r>
              <w:rPr>
                <w:color w:val="002F59" w:themeColor="text2"/>
                <w:sz w:val="18"/>
                <w:szCs w:val="18"/>
              </w:rPr>
              <w:t>Characteristics of the metric</w:t>
            </w:r>
          </w:p>
        </w:tc>
        <w:tc>
          <w:tcPr>
            <w:tcW w:w="1057" w:type="dxa"/>
          </w:tcPr>
          <w:p w14:paraId="31D6614B" w14:textId="77777777" w:rsidR="00FA4173"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Easy to implement; no comparison between IDPs and hosts</w:t>
            </w:r>
          </w:p>
        </w:tc>
        <w:tc>
          <w:tcPr>
            <w:tcW w:w="1193" w:type="dxa"/>
          </w:tcPr>
          <w:p w14:paraId="085F5896"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variability of index likely reduces comparability across contexts</w:t>
            </w:r>
          </w:p>
        </w:tc>
        <w:tc>
          <w:tcPr>
            <w:tcW w:w="1170" w:type="dxa"/>
          </w:tcPr>
          <w:p w14:paraId="4CD619E7"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Need to define multiple indicators for each of the criteria</w:t>
            </w:r>
          </w:p>
        </w:tc>
        <w:tc>
          <w:tcPr>
            <w:tcW w:w="1239" w:type="dxa"/>
          </w:tcPr>
          <w:p w14:paraId="4CACA196" w14:textId="77777777" w:rsidR="00FA4173" w:rsidRPr="00DB3732"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High data demands; potentially sensitive to the crudeness of the index </w:t>
            </w:r>
          </w:p>
        </w:tc>
        <w:tc>
          <w:tcPr>
            <w:tcW w:w="1423" w:type="dxa"/>
          </w:tcPr>
          <w:p w14:paraId="15BFDC33" w14:textId="77777777" w:rsidR="00FA4173"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Potential challenges in defining the cells</w:t>
            </w:r>
          </w:p>
        </w:tc>
        <w:tc>
          <w:tcPr>
            <w:tcW w:w="1324" w:type="dxa"/>
          </w:tcPr>
          <w:p w14:paraId="7C6F48CC" w14:textId="77777777" w:rsidR="00FA4173" w:rsidRDefault="00FA4173" w:rsidP="005749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Potential challenges in defining cut-off points and comparing across contexts</w:t>
            </w:r>
          </w:p>
        </w:tc>
      </w:tr>
    </w:tbl>
    <w:p w14:paraId="7BA5ACF2" w14:textId="77777777" w:rsidR="001D74D2" w:rsidRDefault="001D74D2" w:rsidP="00AC444F">
      <w:pPr>
        <w:jc w:val="both"/>
      </w:pPr>
    </w:p>
    <w:p w14:paraId="0BFCA37B" w14:textId="29884E8A" w:rsidR="00AC444F" w:rsidRDefault="00AC444F" w:rsidP="00AC444F">
      <w:pPr>
        <w:jc w:val="both"/>
      </w:pPr>
      <w:r>
        <w:t xml:space="preserve">Option </w:t>
      </w:r>
      <w:r w:rsidR="001D74D2">
        <w:t>2 has</w:t>
      </w:r>
      <w:r>
        <w:t xml:space="preserve"> merits as </w:t>
      </w:r>
      <w:r w:rsidR="0068308B">
        <w:t xml:space="preserve">it is not overly sensitive to </w:t>
      </w:r>
      <w:r>
        <w:t xml:space="preserve">the </w:t>
      </w:r>
      <w:r w:rsidR="0068308B">
        <w:t xml:space="preserve">choice </w:t>
      </w:r>
      <w:r>
        <w:t xml:space="preserve">of indicators </w:t>
      </w:r>
      <w:r w:rsidR="00A25C7A">
        <w:t xml:space="preserve">in </w:t>
      </w:r>
      <w:r w:rsidR="00406EF7">
        <w:t xml:space="preserve">the </w:t>
      </w:r>
      <w:r>
        <w:t>composite metri</w:t>
      </w:r>
      <w:r w:rsidR="00A25C7A">
        <w:t>ces</w:t>
      </w:r>
      <w:r>
        <w:t xml:space="preserve"> at the criterion </w:t>
      </w:r>
      <w:r w:rsidR="001D74D2">
        <w:t>level</w:t>
      </w:r>
      <w:r>
        <w:t xml:space="preserve">. However, it is necessary to define enough indicators for each </w:t>
      </w:r>
      <w:r w:rsidR="00A25C7A">
        <w:t xml:space="preserve">criterion </w:t>
      </w:r>
      <w:r>
        <w:t xml:space="preserve">to ensure that the indices are not too crude. This increases the data demands to implement these options. </w:t>
      </w:r>
      <w:r w:rsidR="00AB7917">
        <w:t xml:space="preserve">Option 3 is based on a similar approach as option 2 but is focused on indices on the sub-criterion level. This yielded no variation in the results as zero IDPs were classified as exiting the stock. </w:t>
      </w:r>
      <w:r w:rsidR="00553DDB">
        <w:t>Moerover, o</w:t>
      </w:r>
      <w:r w:rsidR="00941D6F">
        <w:t xml:space="preserve">ption 3 </w:t>
      </w:r>
      <w:r w:rsidR="00553DDB">
        <w:t xml:space="preserve">will often be </w:t>
      </w:r>
      <w:r>
        <w:t xml:space="preserve">infeasible </w:t>
      </w:r>
      <w:r w:rsidR="00553DDB">
        <w:t xml:space="preserve">in practical terms </w:t>
      </w:r>
      <w:r>
        <w:t>as the datasets used simply d</w:t>
      </w:r>
      <w:r w:rsidR="00CA6166">
        <w:t>o</w:t>
      </w:r>
      <w:r>
        <w:t xml:space="preserve"> not contain enough </w:t>
      </w:r>
      <w:r w:rsidR="00941D6F">
        <w:t>indicators</w:t>
      </w:r>
      <w:r>
        <w:t xml:space="preserve"> to fully implement </w:t>
      </w:r>
      <w:r w:rsidR="00941D6F">
        <w:t>indices at the sub-criterion level</w:t>
      </w:r>
      <w:r>
        <w:t xml:space="preserve">. The recommendation is that further analysis and better data is needed to first fully implement these two composite metrics and to then assess how they behave comparatively. A first indication is that a composite metric at the criterion level may be more realistic although it also violates the IRIS principle that all sub-criteria must be </w:t>
      </w:r>
      <w:r w:rsidR="00CA6166">
        <w:t>met</w:t>
      </w:r>
      <w:r>
        <w:t xml:space="preserve">. </w:t>
      </w:r>
    </w:p>
    <w:p w14:paraId="76186CCA" w14:textId="773EE14B" w:rsidR="00AC444F" w:rsidRDefault="00965C82" w:rsidP="00AC444F">
      <w:pPr>
        <w:jc w:val="both"/>
      </w:pPr>
      <w:r>
        <w:t>T</w:t>
      </w:r>
      <w:r w:rsidR="00AC444F">
        <w:t xml:space="preserve">he simulations assessed whether a division of the IDP stock into sub-groups that can then be compared to the host population may be a feasible option. The analysis </w:t>
      </w:r>
      <w:r w:rsidR="008773AF">
        <w:t xml:space="preserve">delivered generally favorable findings but </w:t>
      </w:r>
      <w:r w:rsidR="00AC444F">
        <w:t xml:space="preserve">is not fully conclusive </w:t>
      </w:r>
      <w:r w:rsidR="008773AF">
        <w:t xml:space="preserve">on this </w:t>
      </w:r>
      <w:r w:rsidR="00AC444F">
        <w:t xml:space="preserve">option 4. </w:t>
      </w:r>
      <w:r w:rsidR="00895AB6">
        <w:t xml:space="preserve">On the one hand, </w:t>
      </w:r>
      <w:r w:rsidR="003424B3">
        <w:t xml:space="preserve">the </w:t>
      </w:r>
      <w:r w:rsidR="00895AB6">
        <w:t>h</w:t>
      </w:r>
      <w:r w:rsidR="00AC444F">
        <w:t xml:space="preserve">omogenous cell </w:t>
      </w:r>
      <w:r w:rsidR="003424B3">
        <w:t xml:space="preserve">approach is </w:t>
      </w:r>
      <w:r w:rsidR="00AC444F">
        <w:t>easy to implement</w:t>
      </w:r>
      <w:r w:rsidR="00CD6096">
        <w:t xml:space="preserve">, </w:t>
      </w:r>
      <w:r w:rsidR="003424B3">
        <w:t xml:space="preserve">comes with manageable data needs, </w:t>
      </w:r>
      <w:r w:rsidR="00F1355A">
        <w:t xml:space="preserve">is </w:t>
      </w:r>
      <w:r w:rsidR="00CD6096">
        <w:t xml:space="preserve">relatively straightforward to communicate, </w:t>
      </w:r>
      <w:r w:rsidR="00895AB6">
        <w:t>and do</w:t>
      </w:r>
      <w:r w:rsidR="00F1355A">
        <w:t>es</w:t>
      </w:r>
      <w:r w:rsidR="00895AB6">
        <w:t xml:space="preserve"> not appear </w:t>
      </w:r>
      <w:r w:rsidR="00A50073">
        <w:t>overly</w:t>
      </w:r>
      <w:r w:rsidR="00895AB6">
        <w:t xml:space="preserve"> sensitive to indicator choice. On the other hand, </w:t>
      </w:r>
      <w:r w:rsidR="00F1355A">
        <w:t xml:space="preserve">it might </w:t>
      </w:r>
      <w:r w:rsidR="00AC444F">
        <w:t xml:space="preserve">be </w:t>
      </w:r>
      <w:r w:rsidR="006508A5">
        <w:t>sensitive to</w:t>
      </w:r>
      <w:r w:rsidR="00AC444F">
        <w:t xml:space="preserve"> how the IDP population is divided</w:t>
      </w:r>
      <w:r w:rsidR="00BC4843">
        <w:t xml:space="preserve"> into cells</w:t>
      </w:r>
      <w:r w:rsidR="00AC444F">
        <w:t>. This assessment did not find any</w:t>
      </w:r>
      <w:r w:rsidR="00B82725">
        <w:t xml:space="preserve"> stark</w:t>
      </w:r>
      <w:r w:rsidR="00AC444F">
        <w:t xml:space="preserve"> differences between different ways of dividing the IDP stock</w:t>
      </w:r>
      <w:r w:rsidR="00A50073">
        <w:t xml:space="preserve"> into cells</w:t>
      </w:r>
      <w:r w:rsidR="00AC444F">
        <w:t xml:space="preserve">. Nevertheless, more analysis is needed to be sure and clear guidance </w:t>
      </w:r>
      <w:r w:rsidR="00CF3504">
        <w:t xml:space="preserve">would need to be developed </w:t>
      </w:r>
      <w:r w:rsidR="00770606">
        <w:t xml:space="preserve">by EGRIS </w:t>
      </w:r>
      <w:r w:rsidR="00AC444F">
        <w:t xml:space="preserve">for producers of IDP statistics </w:t>
      </w:r>
      <w:r w:rsidR="00CF3504">
        <w:t xml:space="preserve">on </w:t>
      </w:r>
      <w:r w:rsidR="00AC444F">
        <w:t xml:space="preserve">how to </w:t>
      </w:r>
      <w:r w:rsidR="00F1667A">
        <w:t xml:space="preserve">segment the population under analysis </w:t>
      </w:r>
      <w:r w:rsidR="00AC444F">
        <w:t>in</w:t>
      </w:r>
      <w:r w:rsidR="00F1667A">
        <w:t>to</w:t>
      </w:r>
      <w:r w:rsidR="00AC444F">
        <w:t xml:space="preserve"> smaller cells while maintaining cross-context comparability. </w:t>
      </w:r>
    </w:p>
    <w:p w14:paraId="2989510A" w14:textId="44AE42DF" w:rsidR="00A26B8E" w:rsidRDefault="00965C82" w:rsidP="00B82725">
      <w:pPr>
        <w:jc w:val="both"/>
      </w:pPr>
      <w:r>
        <w:t>Eventually, it may also be possible to use a regression-based approach classifying IDP households as being more similar or dissimilar with other IDP households and the host community.</w:t>
      </w:r>
      <w:r w:rsidR="00271C55">
        <w:t xml:space="preserve"> However, this approach is highly sensitive to the indicator selection, with the highest variability across indicator combinations. </w:t>
      </w:r>
      <w:r w:rsidR="00635D05">
        <w:t xml:space="preserve">Similar to option 1, it is not necessarily </w:t>
      </w:r>
      <w:r w:rsidR="00635D05">
        <w:lastRenderedPageBreak/>
        <w:t>advisable to use one regression-based approach because</w:t>
      </w:r>
      <w:r w:rsidR="00616CB6">
        <w:t>: (a)</w:t>
      </w:r>
      <w:r w:rsidR="00635D05">
        <w:t xml:space="preserve"> it violates the IRIS principle that all sub-criteria must be met, </w:t>
      </w:r>
      <w:r w:rsidR="00616CB6">
        <w:t xml:space="preserve">(b) </w:t>
      </w:r>
      <w:r w:rsidR="00635D05">
        <w:t xml:space="preserve">it is sensitive to the indicator selection, and </w:t>
      </w:r>
      <w:r w:rsidR="00616CB6">
        <w:t xml:space="preserve">(c) </w:t>
      </w:r>
      <w:r w:rsidR="00635D05">
        <w:t xml:space="preserve">it might be difficult to compare different displacement situations. </w:t>
      </w:r>
      <w:r>
        <w:t xml:space="preserve">This option requires further methodological work to assess how the choice of a probability cut-off point, and the choice of a classifying framework affect the results. Further work is also needed to investigate how the regression coefficients for the 10 different sub-criteria may vary across contexts and how this affects the comparability between countries and displacement situations. Another issue with this option is that it yields a </w:t>
      </w:r>
      <w:r w:rsidR="00B13EEA">
        <w:t xml:space="preserve">multimodal distribution (i.e. two peaks) which raises the question what the true average population of IDPs </w:t>
      </w:r>
      <w:r w:rsidR="00635D05">
        <w:t xml:space="preserve">that </w:t>
      </w:r>
      <w:r w:rsidR="00545D97">
        <w:t>has</w:t>
      </w:r>
      <w:r w:rsidR="00B13EEA">
        <w:t xml:space="preserve"> achieved a durable solution</w:t>
      </w:r>
      <w:r w:rsidR="00545D97">
        <w:t xml:space="preserve"> is</w:t>
      </w:r>
      <w:r w:rsidR="00B13EEA">
        <w:t xml:space="preserve">. </w:t>
      </w:r>
    </w:p>
    <w:p w14:paraId="475D43F9" w14:textId="79878E56" w:rsidR="00B82725" w:rsidRPr="00C37171" w:rsidRDefault="002A4882" w:rsidP="002A4882">
      <w:pPr>
        <w:pStyle w:val="TabFigSW"/>
      </w:pPr>
      <w:r>
        <w:t>Box 4: Key conclusions and recommendations</w:t>
      </w:r>
    </w:p>
    <w:tbl>
      <w:tblPr>
        <w:tblStyle w:val="TableGrid"/>
        <w:tblW w:w="0" w:type="auto"/>
        <w:shd w:val="clear" w:color="auto" w:fill="F3F9FF"/>
        <w:tblLook w:val="04A0" w:firstRow="1" w:lastRow="0" w:firstColumn="1" w:lastColumn="0" w:noHBand="0" w:noVBand="1"/>
      </w:tblPr>
      <w:tblGrid>
        <w:gridCol w:w="8980"/>
      </w:tblGrid>
      <w:tr w:rsidR="00A26B8E" w14:paraId="533FB07D" w14:textId="77777777" w:rsidTr="00AA0A9E">
        <w:tc>
          <w:tcPr>
            <w:tcW w:w="9016" w:type="dxa"/>
            <w:tcBorders>
              <w:top w:val="single" w:sz="18" w:space="0" w:color="002F59" w:themeColor="text2"/>
              <w:left w:val="single" w:sz="18" w:space="0" w:color="002F59" w:themeColor="text2"/>
              <w:bottom w:val="single" w:sz="18" w:space="0" w:color="002F59" w:themeColor="text2"/>
              <w:right w:val="single" w:sz="18" w:space="0" w:color="002F59" w:themeColor="text2"/>
            </w:tcBorders>
            <w:shd w:val="clear" w:color="auto" w:fill="F3F9FF"/>
          </w:tcPr>
          <w:p w14:paraId="13F6BED5" w14:textId="77777777" w:rsidR="00A26B8E" w:rsidRPr="00A26B8E" w:rsidRDefault="00A26B8E" w:rsidP="00AA0A9E">
            <w:pPr>
              <w:keepNext/>
              <w:rPr>
                <w:b/>
                <w:bCs/>
                <w:color w:val="002F59" w:themeColor="text2"/>
              </w:rPr>
            </w:pPr>
            <w:r w:rsidRPr="00A26B8E">
              <w:rPr>
                <w:b/>
                <w:bCs/>
                <w:color w:val="002F59" w:themeColor="text2"/>
              </w:rPr>
              <w:t>Indicator selection</w:t>
            </w:r>
          </w:p>
          <w:p w14:paraId="7C03AED1" w14:textId="6F6DF94E" w:rsidR="00A26B8E" w:rsidRDefault="00A26B8E" w:rsidP="00B92AF5">
            <w:pPr>
              <w:pStyle w:val="ListParagraph"/>
              <w:keepNext/>
              <w:numPr>
                <w:ilvl w:val="0"/>
                <w:numId w:val="4"/>
              </w:numPr>
            </w:pPr>
            <w:r>
              <w:t xml:space="preserve">Indicator selection may matter less for </w:t>
            </w:r>
            <w:r w:rsidR="005D3EC3">
              <w:t xml:space="preserve">aggregate outcomes </w:t>
            </w:r>
            <w:r>
              <w:t>than data quality</w:t>
            </w:r>
            <w:r w:rsidR="00B82725">
              <w:t xml:space="preserve"> &amp; </w:t>
            </w:r>
            <w:r>
              <w:t xml:space="preserve">metric </w:t>
            </w:r>
            <w:r w:rsidR="005E0F85">
              <w:t>selection</w:t>
            </w:r>
          </w:p>
          <w:p w14:paraId="34568608" w14:textId="77777777" w:rsidR="00A26B8E" w:rsidRDefault="00A26B8E" w:rsidP="00B92AF5">
            <w:pPr>
              <w:pStyle w:val="ListParagraph"/>
              <w:keepNext/>
              <w:numPr>
                <w:ilvl w:val="0"/>
                <w:numId w:val="4"/>
              </w:numPr>
            </w:pPr>
            <w:r>
              <w:t>Focus on indicators that maximize coverage of the IDP population</w:t>
            </w:r>
          </w:p>
          <w:p w14:paraId="7660AF5A" w14:textId="77777777" w:rsidR="00A26B8E" w:rsidRDefault="00A26B8E" w:rsidP="00B92AF5">
            <w:pPr>
              <w:pStyle w:val="ListParagraph"/>
              <w:keepNext/>
              <w:numPr>
                <w:ilvl w:val="0"/>
                <w:numId w:val="4"/>
              </w:numPr>
            </w:pPr>
            <w:r>
              <w:t>Focus on indicators that are commonly available and clearly defined (e.g. SDG indicators)</w:t>
            </w:r>
          </w:p>
          <w:p w14:paraId="763416B7" w14:textId="4BB06E84" w:rsidR="00A26B8E" w:rsidRDefault="005E0F85" w:rsidP="00B92AF5">
            <w:pPr>
              <w:pStyle w:val="ListParagraph"/>
              <w:keepNext/>
              <w:numPr>
                <w:ilvl w:val="0"/>
                <w:numId w:val="4"/>
              </w:numPr>
            </w:pPr>
            <w:r>
              <w:t xml:space="preserve">Clarify the scope of sub-criteria </w:t>
            </w:r>
            <w:r w:rsidR="00A26B8E" w:rsidRPr="005E01AC">
              <w:rPr>
                <w:i/>
                <w:iCs/>
              </w:rPr>
              <w:t xml:space="preserve">3.1 Employment &amp; livelihoods </w:t>
            </w:r>
            <w:r w:rsidR="00A26B8E">
              <w:t xml:space="preserve">and </w:t>
            </w:r>
            <w:r w:rsidR="00A26B8E" w:rsidRPr="005E01AC">
              <w:rPr>
                <w:i/>
                <w:iCs/>
              </w:rPr>
              <w:t>3.2 Economic security</w:t>
            </w:r>
          </w:p>
          <w:p w14:paraId="22193A54" w14:textId="1FC2AC3A" w:rsidR="00A26B8E" w:rsidRDefault="00A26B8E" w:rsidP="00AA0A9E">
            <w:pPr>
              <w:pStyle w:val="ListParagraph"/>
              <w:keepNext/>
              <w:numPr>
                <w:ilvl w:val="0"/>
                <w:numId w:val="4"/>
              </w:numPr>
            </w:pPr>
            <w:r>
              <w:t>Address rights-based indicators that could be measured based on documentation for rights, access to compensation mechanisms</w:t>
            </w:r>
            <w:r w:rsidR="00E51FFF">
              <w:t>/replacements</w:t>
            </w:r>
            <w:r>
              <w:t xml:space="preserve"> or factual compensation</w:t>
            </w:r>
            <w:r w:rsidR="00E51FFF">
              <w:t>/replacement</w:t>
            </w:r>
          </w:p>
          <w:p w14:paraId="4FC3D429" w14:textId="77777777" w:rsidR="00434A62" w:rsidRDefault="00434A62" w:rsidP="00434A62">
            <w:pPr>
              <w:pStyle w:val="ListParagraph"/>
              <w:keepNext/>
            </w:pPr>
          </w:p>
          <w:p w14:paraId="3CDF7132" w14:textId="77777777" w:rsidR="00A26B8E" w:rsidRPr="00A26B8E" w:rsidRDefault="00A26B8E" w:rsidP="00AA0A9E">
            <w:pPr>
              <w:keepNext/>
              <w:rPr>
                <w:b/>
                <w:bCs/>
                <w:color w:val="002F59" w:themeColor="text2"/>
              </w:rPr>
            </w:pPr>
            <w:r w:rsidRPr="00A26B8E">
              <w:rPr>
                <w:b/>
                <w:bCs/>
                <w:color w:val="002F59" w:themeColor="text2"/>
              </w:rPr>
              <w:t>Metric selection</w:t>
            </w:r>
          </w:p>
          <w:p w14:paraId="63066C58" w14:textId="1C1C6DAF" w:rsidR="00A26B8E" w:rsidRDefault="00A26B8E" w:rsidP="00B92AF5">
            <w:pPr>
              <w:pStyle w:val="ListParagraph"/>
              <w:keepNext/>
              <w:numPr>
                <w:ilvl w:val="0"/>
                <w:numId w:val="5"/>
              </w:numPr>
            </w:pPr>
            <w:r>
              <w:t>Concerns about one full composite metric</w:t>
            </w:r>
            <w:r w:rsidR="000A0E4A">
              <w:t xml:space="preserve"> </w:t>
            </w:r>
            <w:r w:rsidR="00221930">
              <w:t xml:space="preserve">(option 1) </w:t>
            </w:r>
            <w:r w:rsidR="000A0E4A">
              <w:t>and a regression-based approach</w:t>
            </w:r>
            <w:r>
              <w:t xml:space="preserve"> </w:t>
            </w:r>
            <w:r w:rsidR="00221930">
              <w:t xml:space="preserve">(option 5) </w:t>
            </w:r>
            <w:r>
              <w:t>due to high variability</w:t>
            </w:r>
            <w:r w:rsidR="00221930">
              <w:t xml:space="preserve"> and lack of alignment with IRIS principle of achieving a solution in each (sub-)criteria.</w:t>
            </w:r>
          </w:p>
          <w:p w14:paraId="293F881E" w14:textId="307EFC12" w:rsidR="006F5FF2" w:rsidRDefault="006F5FF2" w:rsidP="00B92AF5">
            <w:pPr>
              <w:pStyle w:val="ListParagraph"/>
              <w:keepNext/>
              <w:numPr>
                <w:ilvl w:val="0"/>
                <w:numId w:val="5"/>
              </w:numPr>
            </w:pPr>
            <w:r>
              <w:t xml:space="preserve">Excessive data demands and too little variability to implement a composite metric at the sub-criterion level </w:t>
            </w:r>
            <w:r w:rsidR="00C36FC6">
              <w:t>(option 3)</w:t>
            </w:r>
          </w:p>
          <w:p w14:paraId="661F20F1" w14:textId="12368C89" w:rsidR="00A26B8E" w:rsidRDefault="00A26B8E" w:rsidP="006F5FF2">
            <w:pPr>
              <w:pStyle w:val="ListParagraph"/>
              <w:keepNext/>
              <w:numPr>
                <w:ilvl w:val="0"/>
                <w:numId w:val="5"/>
              </w:numPr>
            </w:pPr>
            <w:r>
              <w:t>Further analysis needed to fully implement and assess a composite metric at the criterion level</w:t>
            </w:r>
            <w:r w:rsidR="00C36FC6">
              <w:t xml:space="preserve"> (option 2) </w:t>
            </w:r>
            <w:r>
              <w:t>or homogenous cells</w:t>
            </w:r>
            <w:r w:rsidR="00C36FC6">
              <w:t xml:space="preserve"> (option 4).</w:t>
            </w:r>
          </w:p>
        </w:tc>
      </w:tr>
    </w:tbl>
    <w:p w14:paraId="6FD79990" w14:textId="77777777" w:rsidR="00DC7B46" w:rsidRDefault="00DC7B46" w:rsidP="00BE3288"/>
    <w:p w14:paraId="566E2DD8" w14:textId="48D39E62" w:rsidR="00A607FD" w:rsidRDefault="00A607FD" w:rsidP="00A607FD">
      <w:pPr>
        <w:jc w:val="both"/>
      </w:pPr>
      <w:r>
        <w:t xml:space="preserve">As stated in the introductory sections of this note, at least 7 challenges remain </w:t>
      </w:r>
      <w:r w:rsidR="00C57478">
        <w:t>in</w:t>
      </w:r>
      <w:r>
        <w:t xml:space="preserve"> turning the </w:t>
      </w:r>
      <w:r w:rsidR="0085014D">
        <w:t xml:space="preserve">IRIS </w:t>
      </w:r>
      <w:r>
        <w:t>solutions measure into a fully workable and robust statistical metric. This note explored only the first two of these challenges</w:t>
      </w:r>
      <w:r w:rsidR="004E33FA">
        <w:t>.</w:t>
      </w:r>
      <w:r>
        <w:t xml:space="preserve"> </w:t>
      </w:r>
      <w:r w:rsidR="004E33FA">
        <w:t>T</w:t>
      </w:r>
      <w:r>
        <w:t xml:space="preserve">he other challenges </w:t>
      </w:r>
      <w:r w:rsidR="004E33FA">
        <w:t xml:space="preserve">will </w:t>
      </w:r>
      <w:r>
        <w:t xml:space="preserve">also </w:t>
      </w:r>
      <w:r w:rsidR="004E33FA">
        <w:t xml:space="preserve">need to </w:t>
      </w:r>
      <w:r>
        <w:t xml:space="preserve">be discussed. </w:t>
      </w:r>
    </w:p>
    <w:p w14:paraId="4214CD9B" w14:textId="3D2B100A" w:rsidR="00DC7B46" w:rsidRPr="00BE3288" w:rsidRDefault="00DC7B46" w:rsidP="00BE3288">
      <w:pPr>
        <w:sectPr w:rsidR="00DC7B46" w:rsidRPr="00BE3288" w:rsidSect="005C148F">
          <w:headerReference w:type="default" r:id="rId20"/>
          <w:footerReference w:type="default" r:id="rId21"/>
          <w:headerReference w:type="first" r:id="rId22"/>
          <w:footerReference w:type="first" r:id="rId23"/>
          <w:pgSz w:w="11906" w:h="16838" w:code="9"/>
          <w:pgMar w:top="1440" w:right="1440" w:bottom="1440" w:left="1440" w:header="0" w:footer="432" w:gutter="0"/>
          <w:pgNumType w:start="0"/>
          <w:cols w:space="720"/>
          <w:titlePg/>
          <w:docGrid w:linePitch="360"/>
        </w:sectPr>
      </w:pPr>
    </w:p>
    <w:p w14:paraId="337D1802" w14:textId="77777777" w:rsidR="00A607FD" w:rsidRDefault="00A607FD">
      <w:pPr>
        <w:spacing w:after="160"/>
        <w:rPr>
          <w:rFonts w:asciiTheme="majorHAnsi" w:eastAsiaTheme="majorEastAsia" w:hAnsiTheme="majorHAnsi" w:cstheme="majorBidi"/>
          <w:b/>
          <w:color w:val="00548C" w:themeColor="accent1" w:themeShade="BF"/>
          <w:sz w:val="30"/>
          <w:szCs w:val="30"/>
        </w:rPr>
      </w:pPr>
      <w:bookmarkStart w:id="17" w:name="_Toc63432144"/>
      <w:r>
        <w:br w:type="page"/>
      </w:r>
    </w:p>
    <w:p w14:paraId="5886506D" w14:textId="41DC1777" w:rsidR="00DC7B46" w:rsidRPr="00DC7B46" w:rsidRDefault="00204F0D" w:rsidP="00DC7B46">
      <w:pPr>
        <w:pStyle w:val="Heading1"/>
      </w:pPr>
      <w:r>
        <w:lastRenderedPageBreak/>
        <w:t>A</w:t>
      </w:r>
      <w:r w:rsidR="00D924CF">
        <w:t>nnex</w:t>
      </w:r>
      <w:r w:rsidR="007835A1">
        <w:t>es</w:t>
      </w:r>
      <w:bookmarkEnd w:id="17"/>
    </w:p>
    <w:p w14:paraId="46E0BCA9" w14:textId="5B4CF3A5" w:rsidR="000474F6" w:rsidRDefault="000474F6" w:rsidP="00D924CF">
      <w:pPr>
        <w:pStyle w:val="Heading2"/>
      </w:pPr>
      <w:bookmarkStart w:id="18" w:name="_Toc63432145"/>
      <w:r>
        <w:t>Annex</w:t>
      </w:r>
      <w:r w:rsidR="006D6FCC">
        <w:t xml:space="preserve"> A</w:t>
      </w:r>
      <w:r>
        <w:t xml:space="preserve">: </w:t>
      </w:r>
      <w:r w:rsidR="00790696">
        <w:t>Mapping of all indicators</w:t>
      </w:r>
      <w:r w:rsidR="00B53105">
        <w:t xml:space="preserve"> available to measure IASC criteria</w:t>
      </w:r>
      <w:bookmarkEnd w:id="18"/>
    </w:p>
    <w:tbl>
      <w:tblPr>
        <w:tblStyle w:val="PlainTable2"/>
        <w:tblpPr w:leftFromText="180" w:rightFromText="180" w:vertAnchor="text" w:horzAnchor="margin" w:tblpY="112"/>
        <w:tblW w:w="5260" w:type="pct"/>
        <w:tblLayout w:type="fixed"/>
        <w:tblLook w:val="04A0" w:firstRow="1" w:lastRow="0" w:firstColumn="1" w:lastColumn="0" w:noHBand="0" w:noVBand="1"/>
      </w:tblPr>
      <w:tblGrid>
        <w:gridCol w:w="1080"/>
        <w:gridCol w:w="3150"/>
        <w:gridCol w:w="2790"/>
        <w:gridCol w:w="2454"/>
        <w:gridCol w:w="21"/>
      </w:tblGrid>
      <w:tr w:rsidR="00B84D1C" w:rsidRPr="006C0314" w14:paraId="506E5B85" w14:textId="77777777" w:rsidTr="00910616">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18D088D4" w14:textId="77777777" w:rsidR="003226C0" w:rsidRPr="006C0314" w:rsidRDefault="003226C0" w:rsidP="009B045F">
            <w:pPr>
              <w:textAlignment w:val="baseline"/>
              <w:rPr>
                <w:rFonts w:asciiTheme="majorHAnsi" w:eastAsia="Times New Roman" w:hAnsiTheme="majorHAnsi" w:cstheme="majorHAnsi"/>
                <w:b w:val="0"/>
                <w:bCs w:val="0"/>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Sub-criteria (IRIS)</w:t>
            </w:r>
          </w:p>
        </w:tc>
        <w:tc>
          <w:tcPr>
            <w:tcW w:w="1659" w:type="pct"/>
            <w:vMerge w:val="restart"/>
          </w:tcPr>
          <w:p w14:paraId="131DFED7" w14:textId="77777777" w:rsidR="003226C0" w:rsidRPr="006C0314" w:rsidRDefault="003226C0" w:rsidP="009B045F">
            <w:pPr>
              <w:textAlignment w:val="baseline"/>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Potential indicators from the inter-agency Durable Solution Library</w:t>
            </w:r>
          </w:p>
        </w:tc>
        <w:tc>
          <w:tcPr>
            <w:tcW w:w="2773" w:type="pct"/>
            <w:gridSpan w:val="3"/>
          </w:tcPr>
          <w:p w14:paraId="00C63F13" w14:textId="77777777" w:rsidR="003226C0" w:rsidRPr="006C0314" w:rsidRDefault="003226C0" w:rsidP="009B045F">
            <w:pPr>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Of which, available in…</w:t>
            </w:r>
          </w:p>
        </w:tc>
      </w:tr>
      <w:tr w:rsidR="00B84D1C" w:rsidRPr="006C0314" w14:paraId="78258764"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4B9F02F" w14:textId="77777777" w:rsidR="00857D0D" w:rsidRPr="006C0314" w:rsidRDefault="00857D0D" w:rsidP="009B045F">
            <w:pPr>
              <w:textAlignment w:val="baseline"/>
              <w:rPr>
                <w:rFonts w:asciiTheme="majorHAnsi" w:eastAsia="Times New Roman" w:hAnsiTheme="majorHAnsi" w:cstheme="majorHAnsi"/>
                <w:b w:val="0"/>
                <w:bCs w:val="0"/>
                <w:color w:val="002F59" w:themeColor="text2"/>
                <w:sz w:val="16"/>
                <w:szCs w:val="16"/>
                <w:lang w:eastAsia="en-GB"/>
              </w:rPr>
            </w:pPr>
          </w:p>
        </w:tc>
        <w:tc>
          <w:tcPr>
            <w:tcW w:w="1659" w:type="pct"/>
            <w:vMerge/>
          </w:tcPr>
          <w:p w14:paraId="5C400B79" w14:textId="77777777" w:rsidR="00857D0D" w:rsidRPr="006C0314" w:rsidRDefault="00857D0D"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6"/>
                <w:szCs w:val="16"/>
                <w:lang w:eastAsia="en-GB"/>
              </w:rPr>
            </w:pPr>
          </w:p>
        </w:tc>
        <w:tc>
          <w:tcPr>
            <w:tcW w:w="1469" w:type="pct"/>
          </w:tcPr>
          <w:p w14:paraId="2004F6FA" w14:textId="1598B9B0" w:rsidR="00857D0D" w:rsidRPr="006C0314" w:rsidRDefault="00857D0D"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6"/>
                <w:szCs w:val="16"/>
                <w:lang w:eastAsia="en-GB"/>
              </w:rPr>
            </w:pPr>
            <w:r w:rsidRPr="006C0314">
              <w:rPr>
                <w:rFonts w:asciiTheme="majorHAnsi" w:eastAsia="Times New Roman" w:hAnsiTheme="majorHAnsi" w:cstheme="majorHAnsi"/>
                <w:b/>
                <w:bCs/>
                <w:color w:val="002F59" w:themeColor="text2"/>
                <w:sz w:val="16"/>
                <w:szCs w:val="16"/>
                <w:lang w:eastAsia="en-GB"/>
              </w:rPr>
              <w:t>IDP Profiling in Hargeisa (UNHCR 2015)</w:t>
            </w:r>
          </w:p>
        </w:tc>
        <w:tc>
          <w:tcPr>
            <w:tcW w:w="1292" w:type="pct"/>
          </w:tcPr>
          <w:p w14:paraId="79839C60" w14:textId="0734718E" w:rsidR="00857D0D" w:rsidRPr="006C0314" w:rsidRDefault="00857D0D" w:rsidP="009B045F">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2F59" w:themeColor="text2"/>
                <w:sz w:val="16"/>
                <w:szCs w:val="16"/>
                <w:lang w:eastAsia="en-GB"/>
              </w:rPr>
            </w:pPr>
            <w:r w:rsidRPr="006C0314">
              <w:rPr>
                <w:rFonts w:asciiTheme="majorHAnsi" w:eastAsia="Times New Roman" w:hAnsiTheme="majorHAnsi" w:cstheme="majorHAnsi"/>
                <w:b/>
                <w:bCs/>
                <w:color w:val="002F59" w:themeColor="text2"/>
                <w:sz w:val="16"/>
                <w:szCs w:val="16"/>
                <w:lang w:eastAsia="en-GB"/>
              </w:rPr>
              <w:t>IDP Profiling in Nigeria (World Bank 2018)</w:t>
            </w:r>
          </w:p>
        </w:tc>
      </w:tr>
      <w:tr w:rsidR="00B84D1C" w:rsidRPr="006C0314" w14:paraId="13052EC0"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552FF613" w14:textId="1B7CEF1E"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1.1 Victims of violence </w:t>
            </w:r>
          </w:p>
        </w:tc>
        <w:tc>
          <w:tcPr>
            <w:tcW w:w="1659" w:type="pct"/>
          </w:tcPr>
          <w:p w14:paraId="2C000E7F" w14:textId="7ADD32BA"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think it likely they will experience serious consequences due to armed conflict and other situations of social instability or tension which are subject to international humanitarian law, human rights violations and national legislation.</w:t>
            </w:r>
          </w:p>
        </w:tc>
        <w:tc>
          <w:tcPr>
            <w:tcW w:w="1469" w:type="pct"/>
          </w:tcPr>
          <w:p w14:paraId="1938DE94" w14:textId="77777777"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35BF8F56" w14:textId="77777777"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B84D1C" w:rsidRPr="006C0314" w14:paraId="4BC206B7"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9BC9288"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24E31B0" w14:textId="373969D7"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think it likely they will experience serious consequences due to a hazard. </w:t>
            </w:r>
          </w:p>
        </w:tc>
        <w:tc>
          <w:tcPr>
            <w:tcW w:w="1469" w:type="pct"/>
          </w:tcPr>
          <w:p w14:paraId="3CD51550" w14:textId="560538CA" w:rsidR="00B84D1C" w:rsidRPr="006C0314" w:rsidRDefault="008956E3" w:rsidP="0006393D">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sz w:val="16"/>
                <w:szCs w:val="16"/>
                <w:lang w:eastAsia="en-GB"/>
              </w:rPr>
              <w:t>Target population is</w:t>
            </w:r>
            <w:r w:rsidR="00B84D1C" w:rsidRPr="006C0314">
              <w:rPr>
                <w:rFonts w:asciiTheme="majorHAnsi" w:eastAsia="Times New Roman" w:hAnsiTheme="majorHAnsi" w:cstheme="majorHAnsi"/>
                <w:sz w:val="16"/>
                <w:szCs w:val="16"/>
                <w:lang w:eastAsia="en-GB"/>
              </w:rPr>
              <w:t xml:space="preserve"> worried about being exposed to theft, crime or vandalism in their place of residence.</w:t>
            </w:r>
          </w:p>
        </w:tc>
        <w:tc>
          <w:tcPr>
            <w:tcW w:w="1292" w:type="pct"/>
          </w:tcPr>
          <w:p w14:paraId="559F78F3" w14:textId="77777777"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B84D1C" w:rsidRPr="006C0314" w14:paraId="07A3BAB5"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8DA4EC8"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A0D06DA" w14:textId="0C86461C"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feel safe walking alone around the area they live (during day or night).</w:t>
            </w:r>
          </w:p>
        </w:tc>
        <w:tc>
          <w:tcPr>
            <w:tcW w:w="1469" w:type="pct"/>
          </w:tcPr>
          <w:p w14:paraId="40CCBBE0" w14:textId="7DCC9E39" w:rsidR="00B84D1C" w:rsidRPr="006C0314" w:rsidRDefault="008956E3"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 is</w:t>
            </w:r>
            <w:r w:rsidR="00B84D1C" w:rsidRPr="006C0314">
              <w:rPr>
                <w:rFonts w:asciiTheme="majorHAnsi" w:eastAsia="Times New Roman" w:hAnsiTheme="majorHAnsi" w:cstheme="majorHAnsi"/>
                <w:color w:val="000000"/>
                <w:sz w:val="16"/>
                <w:szCs w:val="16"/>
                <w:lang w:eastAsia="en-GB"/>
              </w:rPr>
              <w:t xml:space="preserve"> feeling unsafe or insecure in their place of residence.</w:t>
            </w:r>
          </w:p>
        </w:tc>
        <w:tc>
          <w:tcPr>
            <w:tcW w:w="1292" w:type="pct"/>
          </w:tcPr>
          <w:p w14:paraId="6AE1285E" w14:textId="381ED430"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w:t>
            </w:r>
            <w:r w:rsidR="00B84D1C" w:rsidRPr="006C0314">
              <w:rPr>
                <w:rFonts w:asciiTheme="majorHAnsi" w:eastAsia="Times New Roman" w:hAnsiTheme="majorHAnsi" w:cstheme="majorHAnsi"/>
                <w:color w:val="000000"/>
                <w:sz w:val="16"/>
                <w:szCs w:val="16"/>
                <w:lang w:eastAsia="en-GB"/>
              </w:rPr>
              <w:t xml:space="preserve"> feeling very or moderately safe. </w:t>
            </w:r>
          </w:p>
          <w:p w14:paraId="27ACD4E9" w14:textId="2298E54B"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00B84D1C" w:rsidRPr="006C0314">
              <w:rPr>
                <w:rFonts w:asciiTheme="majorHAnsi" w:eastAsia="Times New Roman" w:hAnsiTheme="majorHAnsi" w:cstheme="majorHAnsi"/>
                <w:color w:val="000000"/>
                <w:sz w:val="16"/>
                <w:szCs w:val="16"/>
                <w:lang w:eastAsia="en-GB"/>
              </w:rPr>
              <w:t xml:space="preserve"> population feeling very or moderately safe walking at night.</w:t>
            </w:r>
          </w:p>
          <w:p w14:paraId="095062AF" w14:textId="5A1CEFF2"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00B84D1C" w:rsidRPr="006C0314">
              <w:rPr>
                <w:rFonts w:asciiTheme="majorHAnsi" w:eastAsia="Times New Roman" w:hAnsiTheme="majorHAnsi" w:cstheme="majorHAnsi"/>
                <w:color w:val="000000"/>
                <w:sz w:val="16"/>
                <w:szCs w:val="16"/>
                <w:lang w:eastAsia="en-GB"/>
              </w:rPr>
              <w:t xml:space="preserve"> population feeling very or moderately safe walking during the day.</w:t>
            </w:r>
          </w:p>
        </w:tc>
      </w:tr>
      <w:tr w:rsidR="00B84D1C" w:rsidRPr="006C0314" w14:paraId="54C636F3"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B779F92"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731593D" w14:textId="02BE174B"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were subjected to physical, psychological or sexual violence in the previous 12 months (or since time of displacement, if displaced for less than 12 months).</w:t>
            </w:r>
          </w:p>
        </w:tc>
        <w:tc>
          <w:tcPr>
            <w:tcW w:w="1469" w:type="pct"/>
          </w:tcPr>
          <w:p w14:paraId="1B3951A7" w14:textId="68979A98" w:rsidR="00B84D1C" w:rsidRPr="006C0314" w:rsidRDefault="00B84D1C" w:rsidP="00BC414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00FE3B01" w14:textId="615BE1FC" w:rsidR="00B84D1C" w:rsidRPr="006C0314" w:rsidRDefault="009E7ED9"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w:t>
            </w:r>
            <w:r w:rsidR="00B84D1C" w:rsidRPr="006C0314">
              <w:rPr>
                <w:rFonts w:asciiTheme="majorHAnsi" w:eastAsia="Times New Roman" w:hAnsiTheme="majorHAnsi" w:cstheme="majorHAnsi"/>
                <w:color w:val="000000"/>
                <w:sz w:val="16"/>
                <w:szCs w:val="16"/>
                <w:lang w:eastAsia="en-GB"/>
              </w:rPr>
              <w:t xml:space="preserve"> experiencing non-physical or physical harm in the last 12 months.</w:t>
            </w:r>
          </w:p>
        </w:tc>
      </w:tr>
      <w:tr w:rsidR="00B84D1C" w:rsidRPr="006C0314" w14:paraId="531434DC"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6D6359D"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2D39E47" w14:textId="20112C7A"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have experienced other safety or security incidents in the previous 12 months (or since time of displacement, if displaced for less than 12 months).</w:t>
            </w:r>
          </w:p>
        </w:tc>
        <w:tc>
          <w:tcPr>
            <w:tcW w:w="1469" w:type="pct"/>
          </w:tcPr>
          <w:p w14:paraId="1B6BE642" w14:textId="766C82FF" w:rsidR="00B84D1C" w:rsidRPr="006C0314" w:rsidRDefault="009E7ED9" w:rsidP="00BC414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arget population who experienced victimizing events in their place of residence in the past 12 months.</w:t>
            </w:r>
          </w:p>
        </w:tc>
        <w:tc>
          <w:tcPr>
            <w:tcW w:w="1292" w:type="pct"/>
          </w:tcPr>
          <w:p w14:paraId="156D2B00" w14:textId="46D99C4E"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arget population who have experienced harm and have reported it in the last 12 months.</w:t>
            </w:r>
          </w:p>
        </w:tc>
      </w:tr>
      <w:tr w:rsidR="00B84D1C" w:rsidRPr="006C0314" w14:paraId="7C0531F4"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74DB2EA5"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799656F" w14:textId="25F65F10"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were affected by hazard in the previous 12 months (or since time of displacement, if displaced for less than 12 months).</w:t>
            </w:r>
          </w:p>
        </w:tc>
        <w:tc>
          <w:tcPr>
            <w:tcW w:w="1469" w:type="pct"/>
          </w:tcPr>
          <w:p w14:paraId="72D4FF9B" w14:textId="77777777"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705EC48F" w14:textId="77777777" w:rsidR="00B84D1C" w:rsidRPr="006C0314" w:rsidRDefault="00B84D1C"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B84D1C" w:rsidRPr="006C0314" w14:paraId="59441504"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05E4CA38" w14:textId="77777777" w:rsidR="00B84D1C" w:rsidRPr="006C0314" w:rsidRDefault="00B84D1C" w:rsidP="003226C0">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52E84C3" w14:textId="5155969C"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who experienced violence in the previous 12 months, who reported their victimization to competent authorities or other officially recognized conflict resolution mechanism.</w:t>
            </w:r>
          </w:p>
        </w:tc>
        <w:tc>
          <w:tcPr>
            <w:tcW w:w="1469" w:type="pct"/>
          </w:tcPr>
          <w:p w14:paraId="54A7EC14" w14:textId="4FEE5EBB" w:rsidR="00B84D1C" w:rsidRPr="006C0314" w:rsidRDefault="00B84D1C"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051984A" w14:textId="3B306B36"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 xml:space="preserve">arget population who report thefts or disputes to formal conflict resolution mechanisms. </w:t>
            </w:r>
          </w:p>
          <w:p w14:paraId="0CE8BEBF" w14:textId="40DDD432"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 xml:space="preserve">arget population who find it very easy or somewhat easy to access dispute resolution mechanisms. </w:t>
            </w:r>
          </w:p>
          <w:p w14:paraId="4918A0CB" w14:textId="780E4149" w:rsidR="00B84D1C" w:rsidRPr="006C0314" w:rsidRDefault="009E7ED9" w:rsidP="003226C0">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00B84D1C" w:rsidRPr="006C0314">
              <w:rPr>
                <w:rFonts w:asciiTheme="majorHAnsi" w:eastAsia="Times New Roman" w:hAnsiTheme="majorHAnsi" w:cstheme="majorHAnsi"/>
                <w:color w:val="000000"/>
                <w:sz w:val="16"/>
                <w:szCs w:val="16"/>
                <w:lang w:eastAsia="en-GB"/>
              </w:rPr>
              <w:t>arget population that find dispute resolution very or moderately effective</w:t>
            </w:r>
          </w:p>
        </w:tc>
      </w:tr>
      <w:tr w:rsidR="00B84D1C" w:rsidRPr="006C0314" w14:paraId="4D8585D2"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tcPr>
          <w:p w14:paraId="7D164699" w14:textId="74E728A8" w:rsidR="00857D0D" w:rsidRPr="006C0314" w:rsidRDefault="00857D0D" w:rsidP="003226C0">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1.2 Freedom of movement </w:t>
            </w:r>
          </w:p>
        </w:tc>
        <w:tc>
          <w:tcPr>
            <w:tcW w:w="1659" w:type="pct"/>
          </w:tcPr>
          <w:p w14:paraId="5A9F4E5F" w14:textId="31F9F4F9" w:rsidR="00857D0D" w:rsidRPr="006C0314" w:rsidRDefault="00857D0D"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facing restrictions to their freedom of movement. </w:t>
            </w:r>
          </w:p>
        </w:tc>
        <w:tc>
          <w:tcPr>
            <w:tcW w:w="1469" w:type="pct"/>
          </w:tcPr>
          <w:p w14:paraId="2C8E76D8" w14:textId="29AFD9F6" w:rsidR="00857D0D" w:rsidRPr="006C0314" w:rsidRDefault="009E7ED9" w:rsidP="00797675">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00857D0D" w:rsidRPr="006C0314">
              <w:rPr>
                <w:rFonts w:asciiTheme="majorHAnsi" w:eastAsia="Times New Roman" w:hAnsiTheme="majorHAnsi" w:cstheme="majorHAnsi"/>
                <w:color w:val="000000"/>
                <w:sz w:val="16"/>
                <w:szCs w:val="16"/>
                <w:lang w:eastAsia="en-GB"/>
              </w:rPr>
              <w:t xml:space="preserve"> population who face legal or administrative restrictions of their freedom of movement (i.e. lack of documentation, restricted movements in living area).</w:t>
            </w:r>
          </w:p>
        </w:tc>
        <w:tc>
          <w:tcPr>
            <w:tcW w:w="1292" w:type="pct"/>
          </w:tcPr>
          <w:p w14:paraId="7071F842" w14:textId="7310C411" w:rsidR="00857D0D" w:rsidRPr="006C0314" w:rsidRDefault="009E7ED9" w:rsidP="003226C0">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00857D0D" w:rsidRPr="006C0314">
              <w:rPr>
                <w:rFonts w:asciiTheme="majorHAnsi" w:eastAsia="Times New Roman" w:hAnsiTheme="majorHAnsi" w:cstheme="majorHAnsi"/>
                <w:color w:val="000000"/>
                <w:sz w:val="16"/>
                <w:szCs w:val="16"/>
                <w:lang w:eastAsia="en-GB"/>
              </w:rPr>
              <w:t xml:space="preserve"> population feeling free to move in and out of their area. </w:t>
            </w:r>
          </w:p>
        </w:tc>
      </w:tr>
      <w:tr w:rsidR="00F07B0A" w:rsidRPr="006C0314" w14:paraId="244B5837"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tcPr>
          <w:p w14:paraId="412B15FC" w14:textId="785057AB" w:rsidR="00F07B0A" w:rsidRPr="006C0314" w:rsidRDefault="00F07B0A" w:rsidP="00F07B0A">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2.1 Food security </w:t>
            </w:r>
          </w:p>
        </w:tc>
        <w:tc>
          <w:tcPr>
            <w:tcW w:w="1659" w:type="pct"/>
          </w:tcPr>
          <w:p w14:paraId="2CF7473B" w14:textId="72D3D2BB" w:rsidR="00F07B0A" w:rsidRPr="006C0314" w:rsidRDefault="00F07B0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by prevalence of moderate or severe food insecurity in the past year, based on the Food Insecurity Experience Scale (FIES)</w:t>
            </w:r>
          </w:p>
        </w:tc>
        <w:tc>
          <w:tcPr>
            <w:tcW w:w="1469" w:type="pct"/>
          </w:tcPr>
          <w:p w14:paraId="43484F3D" w14:textId="0412A067" w:rsidR="00F07B0A" w:rsidRPr="006C0314" w:rsidRDefault="009E7ED9"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w:t>
            </w:r>
            <w:r w:rsidR="00F07B0A" w:rsidRPr="006C0314">
              <w:rPr>
                <w:rFonts w:asciiTheme="majorHAnsi" w:eastAsia="Times New Roman" w:hAnsiTheme="majorHAnsi" w:cstheme="majorHAnsi"/>
                <w:color w:val="000000"/>
                <w:sz w:val="16"/>
                <w:szCs w:val="16"/>
                <w:lang w:eastAsia="en-GB"/>
              </w:rPr>
              <w:t xml:space="preserve"> unable to pay for food in the last 6 months.</w:t>
            </w:r>
          </w:p>
          <w:p w14:paraId="25745E61" w14:textId="4814A203" w:rsidR="00F07B0A" w:rsidRPr="006C0314" w:rsidRDefault="00F07B0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Number of meals eaten per day</w:t>
            </w:r>
          </w:p>
        </w:tc>
        <w:tc>
          <w:tcPr>
            <w:tcW w:w="1292" w:type="pct"/>
          </w:tcPr>
          <w:p w14:paraId="7C556EB3" w14:textId="25D680C8" w:rsidR="00F07B0A" w:rsidRPr="006C0314" w:rsidRDefault="00F07B0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Index of food </w:t>
            </w:r>
            <w:r w:rsidR="006D2797">
              <w:rPr>
                <w:rFonts w:asciiTheme="majorHAnsi" w:eastAsia="Times New Roman" w:hAnsiTheme="majorHAnsi" w:cstheme="majorHAnsi"/>
                <w:color w:val="000000"/>
                <w:sz w:val="16"/>
                <w:szCs w:val="16"/>
                <w:lang w:eastAsia="en-GB"/>
              </w:rPr>
              <w:t>insecurity from a combination of indicators</w:t>
            </w:r>
          </w:p>
        </w:tc>
      </w:tr>
      <w:tr w:rsidR="00FC7FAA" w:rsidRPr="006C0314" w14:paraId="3987C5C8"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69CEEC83" w14:textId="3C39354B"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lastRenderedPageBreak/>
              <w:t>2.2 Shelter and housing </w:t>
            </w:r>
          </w:p>
        </w:tc>
        <w:tc>
          <w:tcPr>
            <w:tcW w:w="1659" w:type="pct"/>
          </w:tcPr>
          <w:p w14:paraId="4254406C" w14:textId="103E1E38"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secure tenure rights to land, with legally recognized documentation, and who perceive their rights to land as secure. </w:t>
            </w:r>
          </w:p>
        </w:tc>
        <w:tc>
          <w:tcPr>
            <w:tcW w:w="1469" w:type="pct"/>
          </w:tcPr>
          <w:p w14:paraId="3538391D" w14:textId="77777777"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48F3EB1F" w14:textId="6D95A23F"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having access to land and renting or owning it legally</w:t>
            </w:r>
          </w:p>
        </w:tc>
      </w:tr>
      <w:tr w:rsidR="00FC7FAA" w:rsidRPr="006C0314" w14:paraId="45ED1518"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C3654BB" w14:textId="77777777"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B5D79A6" w14:textId="61A3C208"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having been forcibly evicted over the past 12 months. </w:t>
            </w:r>
          </w:p>
        </w:tc>
        <w:tc>
          <w:tcPr>
            <w:tcW w:w="1469" w:type="pct"/>
          </w:tcPr>
          <w:p w14:paraId="2C10CED7"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BDBD969"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FC7FAA" w:rsidRPr="006C0314" w14:paraId="46DCE702"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AC50D34" w14:textId="77777777"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64983CC2" w14:textId="13F6FEA5"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not being evicted in the past 12 months, but living in constant fear of eviction (population who do not perceive their current tenure rights a secure).</w:t>
            </w:r>
          </w:p>
        </w:tc>
        <w:tc>
          <w:tcPr>
            <w:tcW w:w="1469" w:type="pct"/>
          </w:tcPr>
          <w:p w14:paraId="3F5FD982" w14:textId="77777777"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5B2833CE" w14:textId="77777777"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FC7FAA" w:rsidRPr="006C0314" w14:paraId="174942C4"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07F1DE0" w14:textId="77777777"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07A9FB90" w14:textId="3987DBB1"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residing in sufficient living space. </w:t>
            </w:r>
          </w:p>
        </w:tc>
        <w:tc>
          <w:tcPr>
            <w:tcW w:w="1469" w:type="pct"/>
          </w:tcPr>
          <w:p w14:paraId="20453C02" w14:textId="245EEA42"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living in overcrowded housing/shelter (&gt; X persons per room)</w:t>
            </w:r>
          </w:p>
          <w:p w14:paraId="457D06A7" w14:textId="378EE5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 xml:space="preserve">Target </w:t>
            </w:r>
            <w:r w:rsidRPr="006C0314">
              <w:rPr>
                <w:rFonts w:asciiTheme="majorHAnsi" w:eastAsia="Times New Roman" w:hAnsiTheme="majorHAnsi" w:cstheme="majorHAnsi"/>
                <w:color w:val="000000"/>
                <w:sz w:val="16"/>
                <w:szCs w:val="16"/>
                <w:lang w:eastAsia="en-GB"/>
              </w:rPr>
              <w:t>population living in inadequate housing conditions (risk of landslide, near trash receptacles or industry)</w:t>
            </w:r>
          </w:p>
          <w:p w14:paraId="1F2466FB" w14:textId="188843D0"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Pr="006C0314">
              <w:rPr>
                <w:rFonts w:asciiTheme="majorHAnsi" w:eastAsia="Times New Roman" w:hAnsiTheme="majorHAnsi" w:cstheme="majorHAnsi"/>
                <w:color w:val="000000"/>
                <w:sz w:val="16"/>
                <w:szCs w:val="16"/>
                <w:lang w:eastAsia="en-GB"/>
              </w:rPr>
              <w:t>arget population with access to electricity or other modern energy services.</w:t>
            </w:r>
          </w:p>
        </w:tc>
        <w:tc>
          <w:tcPr>
            <w:tcW w:w="1292" w:type="pct"/>
          </w:tcPr>
          <w:p w14:paraId="09CA8FCE" w14:textId="31CD8E03"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living in overcrowded housing/shelter (&gt; X persons per sleeping room)</w:t>
            </w:r>
          </w:p>
          <w:p w14:paraId="5F3322BB"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p w14:paraId="676E71D3"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p w14:paraId="24A52FA8" w14:textId="7777777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p w14:paraId="528F7057" w14:textId="44CF0207"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FC7FAA" w:rsidRPr="006C0314" w14:paraId="3B832FBB"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1BCE256" w14:textId="77777777"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643BAD6" w14:textId="3770C3B5"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residing in durable housing structures. </w:t>
            </w:r>
          </w:p>
        </w:tc>
        <w:tc>
          <w:tcPr>
            <w:tcW w:w="1469" w:type="pct"/>
          </w:tcPr>
          <w:p w14:paraId="3F63630F" w14:textId="77777777"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0B643E99" w14:textId="45E3D751"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living in non-durable housing conditions (incomplete, not intended or makeshift housing)</w:t>
            </w:r>
          </w:p>
          <w:p w14:paraId="74D76DD6" w14:textId="5A849F79"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squatting or living in temporary shelter</w:t>
            </w:r>
          </w:p>
          <w:p w14:paraId="62DBFC95" w14:textId="47E821AC" w:rsidR="00FC7FAA" w:rsidRPr="006C0314" w:rsidRDefault="00FC7FAA" w:rsidP="00F07B0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owning or renting housing</w:t>
            </w:r>
          </w:p>
        </w:tc>
      </w:tr>
      <w:tr w:rsidR="00FC7FAA" w:rsidRPr="006C0314" w14:paraId="2153573E"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hideMark/>
          </w:tcPr>
          <w:p w14:paraId="3F75AA24" w14:textId="2BC45E34" w:rsidR="00FC7FAA" w:rsidRPr="006C0314" w:rsidRDefault="00FC7FAA" w:rsidP="00F07B0A">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1DA0478" w14:textId="7C10D22A"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urban population living in slums, informal settlements, or inadequate housing.</w:t>
            </w:r>
          </w:p>
        </w:tc>
        <w:tc>
          <w:tcPr>
            <w:tcW w:w="1469" w:type="pct"/>
          </w:tcPr>
          <w:p w14:paraId="17C33360" w14:textId="06F1DE08"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 </w:t>
            </w:r>
          </w:p>
        </w:tc>
        <w:tc>
          <w:tcPr>
            <w:tcW w:w="1292" w:type="pct"/>
          </w:tcPr>
          <w:p w14:paraId="3696BB06" w14:textId="01B24A2A" w:rsidR="00FC7FAA" w:rsidRPr="006C0314" w:rsidRDefault="00FC7FAA" w:rsidP="00F07B0A">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squatting</w:t>
            </w:r>
          </w:p>
        </w:tc>
      </w:tr>
      <w:tr w:rsidR="00FC7FAA" w:rsidRPr="006C0314" w14:paraId="10FCC75C"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8054F95" w14:textId="77777777" w:rsidR="00FC7FAA" w:rsidRPr="006C0314" w:rsidRDefault="00FC7FAA"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ECAE96F" w14:textId="7F7CC5DA" w:rsidR="00FC7FAA" w:rsidRPr="006C0314" w:rsidRDefault="00FC7FAA"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with access to basic drinking water services.</w:t>
            </w:r>
          </w:p>
        </w:tc>
        <w:tc>
          <w:tcPr>
            <w:tcW w:w="1469" w:type="pct"/>
          </w:tcPr>
          <w:p w14:paraId="096A2D28" w14:textId="70BF27A4" w:rsidR="00FC7FAA" w:rsidRPr="006C0314" w:rsidRDefault="00FC7FAA"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adequate source of drinking water (tanks)</w:t>
            </w:r>
          </w:p>
        </w:tc>
        <w:tc>
          <w:tcPr>
            <w:tcW w:w="1292" w:type="pct"/>
          </w:tcPr>
          <w:p w14:paraId="7060AAB2" w14:textId="77777777" w:rsidR="00FC7FAA" w:rsidRPr="006C0314" w:rsidRDefault="00FC7FAA"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safe drinking water</w:t>
            </w:r>
          </w:p>
          <w:p w14:paraId="4953053D" w14:textId="47817310" w:rsidR="00FC7FAA" w:rsidRDefault="00FC7FAA"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no obstacles for water access</w:t>
            </w:r>
          </w:p>
        </w:tc>
      </w:tr>
      <w:tr w:rsidR="00FC7FAA" w:rsidRPr="006C0314" w14:paraId="79D116C1"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8ACEFA0" w14:textId="77777777" w:rsidR="00FC7FAA" w:rsidRPr="006C0314" w:rsidRDefault="00FC7FAA"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D718F70" w14:textId="625A2B9B" w:rsidR="00FC7FAA" w:rsidRPr="006C0314" w:rsidRDefault="00FC7FAA"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access to basic sanitation facilities including a hand-washing facility on premises with soap and water. </w:t>
            </w:r>
          </w:p>
        </w:tc>
        <w:tc>
          <w:tcPr>
            <w:tcW w:w="1469" w:type="pct"/>
          </w:tcPr>
          <w:p w14:paraId="3847C954" w14:textId="77777777" w:rsidR="00FC7FAA" w:rsidRPr="006C0314" w:rsidRDefault="00FC7FAA"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flushing toilet in household</w:t>
            </w:r>
          </w:p>
          <w:p w14:paraId="48988C03" w14:textId="35036432" w:rsidR="00FC7FAA" w:rsidRPr="006C0314" w:rsidRDefault="00FC7FAA"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bath/shower in household</w:t>
            </w:r>
          </w:p>
        </w:tc>
        <w:tc>
          <w:tcPr>
            <w:tcW w:w="1292" w:type="pct"/>
          </w:tcPr>
          <w:p w14:paraId="1F401E24" w14:textId="5E27B358" w:rsidR="00FC7FAA" w:rsidRDefault="00FC7FAA"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improved sanitation facilities</w:t>
            </w:r>
          </w:p>
        </w:tc>
      </w:tr>
      <w:tr w:rsidR="00910616" w:rsidRPr="006C0314" w14:paraId="1F6BD308" w14:textId="77777777" w:rsidTr="00910616">
        <w:trPr>
          <w:gridAfter w:val="1"/>
          <w:cnfStyle w:val="000000100000" w:firstRow="0" w:lastRow="0" w:firstColumn="0" w:lastColumn="0" w:oddVBand="0" w:evenVBand="0" w:oddHBand="1" w:evenHBand="0" w:firstRowFirstColumn="0" w:firstRowLastColumn="0" w:lastRowFirstColumn="0" w:lastRowLastColumn="0"/>
          <w:wAfter w:w="11" w:type="pct"/>
          <w:trHeight w:val="476"/>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5C5A916C" w14:textId="17D82A05"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2.3 Medical services </w:t>
            </w:r>
          </w:p>
        </w:tc>
        <w:tc>
          <w:tcPr>
            <w:tcW w:w="1659" w:type="pct"/>
          </w:tcPr>
          <w:p w14:paraId="1989C7E9" w14:textId="55606C29" w:rsidR="00910616" w:rsidRPr="006C0314" w:rsidRDefault="00910616" w:rsidP="008B1AB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covered by essential health services. </w:t>
            </w:r>
          </w:p>
        </w:tc>
        <w:tc>
          <w:tcPr>
            <w:tcW w:w="1469" w:type="pct"/>
          </w:tcPr>
          <w:p w14:paraId="55C6E9CB" w14:textId="420118B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4B03FAC5" w14:textId="51EA1FD8" w:rsidR="00910616" w:rsidRPr="006C0314" w:rsidRDefault="00910616" w:rsidP="008B1ABA">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Distance to health facilities in hours </w:t>
            </w:r>
          </w:p>
        </w:tc>
      </w:tr>
      <w:tr w:rsidR="00910616" w:rsidRPr="006C0314" w14:paraId="740417C5"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EBE5C6A"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7EC3C59" w14:textId="5BDA1AA1"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accessed essential health care services (including mental health care) the last time they needed it in the past 12 months. </w:t>
            </w:r>
          </w:p>
        </w:tc>
        <w:tc>
          <w:tcPr>
            <w:tcW w:w="1469" w:type="pct"/>
          </w:tcPr>
          <w:p w14:paraId="3CD42D79" w14:textId="2E9D052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essential health care when needed. </w:t>
            </w:r>
          </w:p>
        </w:tc>
        <w:tc>
          <w:tcPr>
            <w:tcW w:w="1292" w:type="pct"/>
          </w:tcPr>
          <w:p w14:paraId="32E160A3" w14:textId="02EFFC6C"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that access essential health care when needed. </w:t>
            </w:r>
          </w:p>
        </w:tc>
      </w:tr>
      <w:tr w:rsidR="00910616" w:rsidRPr="006C0314" w14:paraId="3B7D0AAB"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21BF46A"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57C5197" w14:textId="4E369BAD"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Births within target population attended by skilled health personnel within the past 12 months (% of total births taken place within the past 12 months).</w:t>
            </w:r>
          </w:p>
        </w:tc>
        <w:tc>
          <w:tcPr>
            <w:tcW w:w="1469" w:type="pct"/>
          </w:tcPr>
          <w:p w14:paraId="2D52C17C" w14:textId="242AD41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births or pregnancies attended by skilled health personnel. </w:t>
            </w:r>
          </w:p>
        </w:tc>
        <w:tc>
          <w:tcPr>
            <w:tcW w:w="1292" w:type="pct"/>
          </w:tcPr>
          <w:p w14:paraId="5AD56B4A"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10287986"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hideMark/>
          </w:tcPr>
          <w:p w14:paraId="1546AEA8" w14:textId="30B4817B"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74EB4DD"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Children under the age of one in the target population covered by all vaccines included in their national programme (% of total child population under one in the target population). </w:t>
            </w:r>
          </w:p>
        </w:tc>
        <w:tc>
          <w:tcPr>
            <w:tcW w:w="1469" w:type="pct"/>
          </w:tcPr>
          <w:p w14:paraId="1B62067C" w14:textId="0A1EF04A"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immunized children. </w:t>
            </w:r>
          </w:p>
          <w:p w14:paraId="6CB7A01C" w14:textId="4D1C73E5"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5B86306E" w14:textId="3BD8BE2E"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026539F3"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18769E16" w14:textId="45C4508A"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2.4 Education </w:t>
            </w:r>
          </w:p>
        </w:tc>
        <w:tc>
          <w:tcPr>
            <w:tcW w:w="1659" w:type="pct"/>
          </w:tcPr>
          <w:p w14:paraId="199B6AA4" w14:textId="1D7D393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Primary school net attendance ratio in targeted population (% of children of primary school age in target population). </w:t>
            </w:r>
          </w:p>
        </w:tc>
        <w:tc>
          <w:tcPr>
            <w:tcW w:w="1469" w:type="pct"/>
          </w:tcPr>
          <w:p w14:paraId="2ED568F4" w14:textId="1A37B04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w:t>
            </w:r>
            <w:r w:rsidRPr="006C0314">
              <w:rPr>
                <w:rFonts w:asciiTheme="majorHAnsi" w:eastAsia="Times New Roman" w:hAnsiTheme="majorHAnsi" w:cstheme="majorHAnsi"/>
                <w:color w:val="000000"/>
                <w:sz w:val="16"/>
                <w:szCs w:val="16"/>
                <w:lang w:eastAsia="en-GB"/>
              </w:rPr>
              <w:t>arget population of school age that can read and write</w:t>
            </w:r>
          </w:p>
          <w:p w14:paraId="4C282465" w14:textId="007671BE"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of school age that has ever attended school (primary and secondary)</w:t>
            </w:r>
          </w:p>
          <w:p w14:paraId="7A56D557" w14:textId="4106EA40"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lastRenderedPageBreak/>
              <w:t>Target</w:t>
            </w:r>
            <w:r w:rsidRPr="006C0314">
              <w:rPr>
                <w:rFonts w:asciiTheme="majorHAnsi" w:eastAsia="Times New Roman" w:hAnsiTheme="majorHAnsi" w:cstheme="majorHAnsi"/>
                <w:color w:val="000000"/>
                <w:sz w:val="16"/>
                <w:szCs w:val="16"/>
                <w:lang w:eastAsia="en-GB"/>
              </w:rPr>
              <w:t xml:space="preserve"> population of school age that is currently attending school</w:t>
            </w:r>
          </w:p>
        </w:tc>
        <w:tc>
          <w:tcPr>
            <w:tcW w:w="1292" w:type="pct"/>
          </w:tcPr>
          <w:p w14:paraId="63B83B00"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lastRenderedPageBreak/>
              <w:t xml:space="preserve">Time to next education facility </w:t>
            </w:r>
          </w:p>
          <w:p w14:paraId="70435A8C" w14:textId="03440861"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being satisfied with primary education</w:t>
            </w:r>
          </w:p>
        </w:tc>
      </w:tr>
      <w:tr w:rsidR="00910616" w:rsidRPr="006C0314" w14:paraId="4707A23D"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9ACA5AC"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F5C9D77" w14:textId="73CDD7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Secondary school net attendance ration in target population (% of children of secondary school age in target population). </w:t>
            </w:r>
          </w:p>
        </w:tc>
        <w:tc>
          <w:tcPr>
            <w:tcW w:w="1469" w:type="pct"/>
          </w:tcPr>
          <w:p w14:paraId="3F1199E0" w14:textId="525ECE10"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of school age that is currently attending or have completed secondary school or university</w:t>
            </w:r>
          </w:p>
        </w:tc>
        <w:tc>
          <w:tcPr>
            <w:tcW w:w="1292" w:type="pct"/>
          </w:tcPr>
          <w:p w14:paraId="2148F055"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5D5CA0D3"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B1461C2"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67F72950" w14:textId="3132D48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own a mobile phone. </w:t>
            </w:r>
          </w:p>
        </w:tc>
        <w:tc>
          <w:tcPr>
            <w:tcW w:w="1469" w:type="pct"/>
          </w:tcPr>
          <w:p w14:paraId="0FF8DA1A" w14:textId="49E4E663"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which owns a mobile phone</w:t>
            </w:r>
          </w:p>
        </w:tc>
        <w:tc>
          <w:tcPr>
            <w:tcW w:w="1292" w:type="pct"/>
          </w:tcPr>
          <w:p w14:paraId="58D3CA78" w14:textId="44C5BD18"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7F1F3DB0"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hideMark/>
          </w:tcPr>
          <w:p w14:paraId="7BCABF66" w14:textId="69B83D73"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3.1 Employ</w:t>
            </w:r>
            <w:r>
              <w:rPr>
                <w:rFonts w:asciiTheme="majorHAnsi" w:eastAsia="Times New Roman" w:hAnsiTheme="majorHAnsi" w:cstheme="majorHAnsi"/>
                <w:color w:val="002F59" w:themeColor="text2"/>
                <w:sz w:val="16"/>
                <w:szCs w:val="16"/>
                <w:lang w:eastAsia="en-GB"/>
              </w:rPr>
              <w:t>-</w:t>
            </w:r>
            <w:r w:rsidRPr="006C0314">
              <w:rPr>
                <w:rFonts w:asciiTheme="majorHAnsi" w:eastAsia="Times New Roman" w:hAnsiTheme="majorHAnsi" w:cstheme="majorHAnsi"/>
                <w:color w:val="002F59" w:themeColor="text2"/>
                <w:sz w:val="16"/>
                <w:szCs w:val="16"/>
                <w:lang w:eastAsia="en-GB"/>
              </w:rPr>
              <w:t>ment and livelihoods </w:t>
            </w:r>
          </w:p>
        </w:tc>
        <w:tc>
          <w:tcPr>
            <w:tcW w:w="1659" w:type="pct"/>
          </w:tcPr>
          <w:p w14:paraId="10224A3B" w14:textId="30B75618"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employed in formal and informal sector (employment rate).</w:t>
            </w:r>
          </w:p>
        </w:tc>
        <w:tc>
          <w:tcPr>
            <w:tcW w:w="1469" w:type="pct"/>
          </w:tcPr>
          <w:p w14:paraId="3E49B568" w14:textId="01BE651A"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 breadwinner in household </w:t>
            </w:r>
          </w:p>
        </w:tc>
        <w:tc>
          <w:tcPr>
            <w:tcW w:w="1292" w:type="pct"/>
          </w:tcPr>
          <w:p w14:paraId="2CC13F3C" w14:textId="64E06A4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whose primary income are wages, salary, own businesses, or pension</w:t>
            </w:r>
          </w:p>
        </w:tc>
      </w:tr>
      <w:tr w:rsidR="00910616" w:rsidRPr="006C0314" w14:paraId="045C8B9A"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8CC303F"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C63CB35" w14:textId="5D41D85A"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Employed and self-employed target population in informal employment in non-agriculture employment (% of total employed target population).</w:t>
            </w:r>
          </w:p>
        </w:tc>
        <w:tc>
          <w:tcPr>
            <w:tcW w:w="1469" w:type="pct"/>
          </w:tcPr>
          <w:p w14:paraId="7B77A6CA" w14:textId="5DAB2B58"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38467ADC"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5FA5A058"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293ABA4"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462C7484" w14:textId="7F4FEBC5"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Employed and self-employed target population that is underemployed. </w:t>
            </w:r>
          </w:p>
        </w:tc>
        <w:tc>
          <w:tcPr>
            <w:tcW w:w="1469" w:type="pct"/>
          </w:tcPr>
          <w:p w14:paraId="327EBFCD" w14:textId="7F3AAA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4390D8C4"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C74B349"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505676AD"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013AC2F" w14:textId="1203518C"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undertaking pendular or seasonal movement due to work.</w:t>
            </w:r>
          </w:p>
        </w:tc>
        <w:tc>
          <w:tcPr>
            <w:tcW w:w="1469" w:type="pct"/>
          </w:tcPr>
          <w:p w14:paraId="2DC138AE"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68A82820"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984EC6E"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498A8FE0"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63BE5572" w14:textId="7CD6140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aged 5-17 engaged in child labour (% of total child population 5-17 years of age).</w:t>
            </w:r>
          </w:p>
        </w:tc>
        <w:tc>
          <w:tcPr>
            <w:tcW w:w="1469" w:type="pct"/>
          </w:tcPr>
          <w:p w14:paraId="17E0E4C9"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9B5BBDA"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D666175"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D5B2F4E"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E329203" w14:textId="554FF49F"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aged 15-24 years not in education, employment or training. </w:t>
            </w:r>
          </w:p>
        </w:tc>
        <w:tc>
          <w:tcPr>
            <w:tcW w:w="1469" w:type="pct"/>
          </w:tcPr>
          <w:p w14:paraId="15184C4B"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60338C7F"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225FA21"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78030E2"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BE02D90" w14:textId="108B98D5"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Self-employed target population employing others (% of total self-employed target pop).</w:t>
            </w:r>
          </w:p>
        </w:tc>
        <w:tc>
          <w:tcPr>
            <w:tcW w:w="1469" w:type="pct"/>
          </w:tcPr>
          <w:p w14:paraId="2240B086"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6C0DBE6"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951DC30"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7F9E8952"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00070D6C" w14:textId="375B7CE4"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Labor force population who are unemployed (unemployment rate).</w:t>
            </w:r>
          </w:p>
        </w:tc>
        <w:tc>
          <w:tcPr>
            <w:tcW w:w="1469" w:type="pct"/>
          </w:tcPr>
          <w:p w14:paraId="299A9AD0" w14:textId="0039411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B31E858"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7ED9E3CC"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26F454C8" w14:textId="55A6294E"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3.2 Economic security </w:t>
            </w:r>
          </w:p>
        </w:tc>
        <w:tc>
          <w:tcPr>
            <w:tcW w:w="1659" w:type="pct"/>
          </w:tcPr>
          <w:p w14:paraId="06653382" w14:textId="559D6D58"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Unemployed target population covered under social security schemes (public or private). </w:t>
            </w:r>
          </w:p>
        </w:tc>
        <w:tc>
          <w:tcPr>
            <w:tcW w:w="1469" w:type="pct"/>
          </w:tcPr>
          <w:p w14:paraId="7375B433" w14:textId="6B23497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058F0EA7"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4D20B85"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75DDBA6F"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6463CEB" w14:textId="0D8E5D4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relying primarily on sustainable income sources over the last 30 days. </w:t>
            </w:r>
          </w:p>
        </w:tc>
        <w:tc>
          <w:tcPr>
            <w:tcW w:w="1469" w:type="pct"/>
          </w:tcPr>
          <w:p w14:paraId="5F9BE24E" w14:textId="1AE2B6C8"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capable of managing unexpected expenses without borrowing money or receiving help from others.</w:t>
            </w:r>
          </w:p>
        </w:tc>
        <w:tc>
          <w:tcPr>
            <w:tcW w:w="1292" w:type="pct"/>
          </w:tcPr>
          <w:p w14:paraId="7A45A97E"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4725880"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73C2E1F"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0AC24237" w14:textId="46ADE84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in the last 12 months was not able to pay for basic expenses. </w:t>
            </w:r>
          </w:p>
        </w:tc>
        <w:tc>
          <w:tcPr>
            <w:tcW w:w="1469" w:type="pct"/>
          </w:tcPr>
          <w:p w14:paraId="5973017C" w14:textId="2B21819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who was not able to pay house rental / services in the last 6 months</w:t>
            </w:r>
          </w:p>
        </w:tc>
        <w:tc>
          <w:tcPr>
            <w:tcW w:w="1292" w:type="pct"/>
          </w:tcPr>
          <w:p w14:paraId="2C0CD328"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C62E038"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5DC62313"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53C6E17" w14:textId="01F0D3A5"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in the last 12 months obtained a loan to cover basic expenses. </w:t>
            </w:r>
          </w:p>
        </w:tc>
        <w:tc>
          <w:tcPr>
            <w:tcW w:w="1469" w:type="pct"/>
          </w:tcPr>
          <w:p w14:paraId="4A582832"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330AD6B7"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3341145"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5636A2DF"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0913351C" w14:textId="06294A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population’s average expenditure against average total expenditures, per capita.</w:t>
            </w:r>
          </w:p>
        </w:tc>
        <w:tc>
          <w:tcPr>
            <w:tcW w:w="1469" w:type="pct"/>
          </w:tcPr>
          <w:p w14:paraId="40E91C75" w14:textId="56F52D7A"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49F59191" w14:textId="65E0B10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consuming more than average</w:t>
            </w:r>
          </w:p>
        </w:tc>
      </w:tr>
      <w:tr w:rsidR="00910616" w:rsidRPr="006C0314" w14:paraId="084242F1"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56354ED"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3EBDD978" w14:textId="5FE7CD01"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Ratio of average food expenditures against average total expenditures, per capita. </w:t>
            </w:r>
          </w:p>
        </w:tc>
        <w:tc>
          <w:tcPr>
            <w:tcW w:w="1469" w:type="pct"/>
          </w:tcPr>
          <w:p w14:paraId="144CB47A"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5DB464AA" w14:textId="24ABAF91"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Ratio of food consumption against total consumption</w:t>
            </w:r>
          </w:p>
        </w:tc>
      </w:tr>
      <w:tr w:rsidR="00910616" w:rsidRPr="006C0314" w14:paraId="06B0305F"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4D015A9"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DDBC697" w14:textId="1444228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below the poverty line.</w:t>
            </w:r>
          </w:p>
        </w:tc>
        <w:tc>
          <w:tcPr>
            <w:tcW w:w="1469" w:type="pct"/>
          </w:tcPr>
          <w:p w14:paraId="535E89A9" w14:textId="765C463D"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5300512" w14:textId="05C7F31F"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below 1.9 USD PPP 2011 Poverty Line</w:t>
            </w:r>
          </w:p>
          <w:p w14:paraId="7F635633" w14:textId="0E4FE101"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below 1.25 USD PPP 2011 Poverty Line</w:t>
            </w:r>
          </w:p>
          <w:p w14:paraId="6CD40D6E" w14:textId="0254C46F"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below 3.1 USD PPP 2011 Poverty Line</w:t>
            </w:r>
          </w:p>
        </w:tc>
      </w:tr>
      <w:tr w:rsidR="00910616" w:rsidRPr="006C0314" w14:paraId="20526287"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529C3546"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4DB4A1B6" w14:textId="2BF0273C"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who own productive assets by type of assets. </w:t>
            </w:r>
          </w:p>
        </w:tc>
        <w:tc>
          <w:tcPr>
            <w:tcW w:w="1469" w:type="pct"/>
          </w:tcPr>
          <w:p w14:paraId="25AC9072" w14:textId="0F563D20"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Average number of assets owned by target population.</w:t>
            </w:r>
          </w:p>
        </w:tc>
        <w:tc>
          <w:tcPr>
            <w:tcW w:w="1292" w:type="pct"/>
          </w:tcPr>
          <w:p w14:paraId="682E2A45"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5CA5239"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215D670E"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7473996" w14:textId="736F2C7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with access to markets.</w:t>
            </w:r>
          </w:p>
        </w:tc>
        <w:tc>
          <w:tcPr>
            <w:tcW w:w="1469" w:type="pct"/>
          </w:tcPr>
          <w:p w14:paraId="2278FD7F" w14:textId="01F5BDA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6A1A7FD" w14:textId="2707E67B"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Distance to market in hours</w:t>
            </w:r>
          </w:p>
        </w:tc>
      </w:tr>
      <w:tr w:rsidR="00910616" w:rsidRPr="006C0314" w14:paraId="617E9D68"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25F0C53"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368C010" w14:textId="4C8E566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where at least one person in household has a bank account. </w:t>
            </w:r>
          </w:p>
        </w:tc>
        <w:tc>
          <w:tcPr>
            <w:tcW w:w="1469" w:type="pct"/>
          </w:tcPr>
          <w:p w14:paraId="149D25F1"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6BC55967" w14:textId="51EA57AF"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a bank account</w:t>
            </w:r>
          </w:p>
        </w:tc>
      </w:tr>
      <w:tr w:rsidR="00910616" w:rsidRPr="006C0314" w14:paraId="3E42ECA9"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0A974C07" w14:textId="1C5F1920"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4.1 Property restitution and compens</w:t>
            </w:r>
            <w:r>
              <w:rPr>
                <w:rFonts w:asciiTheme="majorHAnsi" w:eastAsia="Times New Roman" w:hAnsiTheme="majorHAnsi" w:cstheme="majorHAnsi"/>
                <w:color w:val="002F59" w:themeColor="text2"/>
                <w:sz w:val="16"/>
                <w:szCs w:val="16"/>
                <w:lang w:eastAsia="en-GB"/>
              </w:rPr>
              <w:t>-</w:t>
            </w:r>
            <w:r w:rsidRPr="006C0314">
              <w:rPr>
                <w:rFonts w:asciiTheme="majorHAnsi" w:eastAsia="Times New Roman" w:hAnsiTheme="majorHAnsi" w:cstheme="majorHAnsi"/>
                <w:color w:val="002F59" w:themeColor="text2"/>
                <w:sz w:val="16"/>
                <w:szCs w:val="16"/>
                <w:lang w:eastAsia="en-GB"/>
              </w:rPr>
              <w:t>ation </w:t>
            </w:r>
          </w:p>
        </w:tc>
        <w:tc>
          <w:tcPr>
            <w:tcW w:w="1659" w:type="pct"/>
          </w:tcPr>
          <w:p w14:paraId="694C6EAC" w14:textId="3B6077DD"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Target population with documents to prove ownership/tenancy of housing, land and property left behind (% of total target population who left behind HLP).</w:t>
            </w:r>
          </w:p>
        </w:tc>
        <w:tc>
          <w:tcPr>
            <w:tcW w:w="1469" w:type="pct"/>
          </w:tcPr>
          <w:p w14:paraId="343EBD4A" w14:textId="233D333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documents to prove ownership of their lost HLP. </w:t>
            </w:r>
          </w:p>
        </w:tc>
        <w:tc>
          <w:tcPr>
            <w:tcW w:w="1292" w:type="pct"/>
          </w:tcPr>
          <w:p w14:paraId="65F07C93" w14:textId="588BC72D"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 population</w:t>
            </w:r>
            <w:r w:rsidRPr="006C0314">
              <w:rPr>
                <w:rFonts w:asciiTheme="majorHAnsi" w:eastAsia="Times New Roman" w:hAnsiTheme="majorHAnsi" w:cstheme="majorHAnsi"/>
                <w:color w:val="000000"/>
                <w:sz w:val="16"/>
                <w:szCs w:val="16"/>
                <w:lang w:eastAsia="en-GB"/>
              </w:rPr>
              <w:t xml:space="preserve"> that is legally recognized owner of dwelling</w:t>
            </w:r>
          </w:p>
        </w:tc>
      </w:tr>
      <w:tr w:rsidR="00910616" w:rsidRPr="006C0314" w14:paraId="7544ABD5"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0EF26A1"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51A9D058" w14:textId="66C8B5F8"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housing, land and property left behind who successfully accessed restitution or compensation mechanism (% of target population with HLP left behind) – if relevant to context. </w:t>
            </w:r>
          </w:p>
        </w:tc>
        <w:tc>
          <w:tcPr>
            <w:tcW w:w="1469" w:type="pct"/>
          </w:tcPr>
          <w:p w14:paraId="7AAAA259" w14:textId="7E720D3F"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lost HLP who have accessed restitution or compensation mechanisms. </w:t>
            </w:r>
          </w:p>
        </w:tc>
        <w:tc>
          <w:tcPr>
            <w:tcW w:w="1292" w:type="pct"/>
          </w:tcPr>
          <w:p w14:paraId="7F231D20" w14:textId="4733F9AB"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access to compensation mechanisms</w:t>
            </w:r>
          </w:p>
        </w:tc>
      </w:tr>
      <w:tr w:rsidR="00910616" w:rsidRPr="006C0314" w14:paraId="16D1C3A9" w14:textId="77777777" w:rsidTr="0064400B">
        <w:trPr>
          <w:gridAfter w:val="1"/>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118350D9"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75C1556B" w14:textId="6BD0731D"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housing, land and property left behind who have had their claims to assets (incl. land and property) resolved. </w:t>
            </w:r>
          </w:p>
        </w:tc>
        <w:tc>
          <w:tcPr>
            <w:tcW w:w="1469" w:type="pct"/>
          </w:tcPr>
          <w:p w14:paraId="14F6D9BE" w14:textId="04EFE3D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lost HLP who have had their claims resolved and enforced. </w:t>
            </w:r>
          </w:p>
        </w:tc>
        <w:tc>
          <w:tcPr>
            <w:tcW w:w="1292" w:type="pct"/>
          </w:tcPr>
          <w:p w14:paraId="5D0C08D7"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8F5715C"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6CEBAE1C"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88356C5" w14:textId="0DEB539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housing, land and property left behind who have had their claims to assets (incl. land and property) enforced. </w:t>
            </w:r>
          </w:p>
        </w:tc>
        <w:tc>
          <w:tcPr>
            <w:tcW w:w="1469" w:type="pct"/>
          </w:tcPr>
          <w:p w14:paraId="51A47AF0" w14:textId="6D5F2F41"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E0D2BF2"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7BA9F5A3" w14:textId="77777777" w:rsidTr="0064400B">
        <w:trPr>
          <w:gridAfter w:val="1"/>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tcPr>
          <w:p w14:paraId="203499C6"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1CFC06B1" w14:textId="67F0BDC2"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Agricultural target population with ownership or secure rights over agricultural land. </w:t>
            </w:r>
          </w:p>
        </w:tc>
        <w:tc>
          <w:tcPr>
            <w:tcW w:w="1469" w:type="pct"/>
          </w:tcPr>
          <w:p w14:paraId="0B996BE7"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17CD27DB"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37DF2B2"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tcPr>
          <w:p w14:paraId="48595248"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5B67E68" w14:textId="19ACBB62"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Agricultural target population with use rights to agricultural land.</w:t>
            </w:r>
          </w:p>
        </w:tc>
        <w:tc>
          <w:tcPr>
            <w:tcW w:w="1469" w:type="pct"/>
          </w:tcPr>
          <w:p w14:paraId="651C24FC"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03C3C326"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457F1C0D" w14:textId="77777777" w:rsidTr="0064400B">
        <w:trPr>
          <w:gridAfter w:val="1"/>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val="restart"/>
          </w:tcPr>
          <w:p w14:paraId="5DC96F44" w14:textId="385252E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r w:rsidRPr="006C0314">
              <w:rPr>
                <w:rFonts w:asciiTheme="majorHAnsi" w:eastAsia="Times New Roman" w:hAnsiTheme="majorHAnsi" w:cstheme="majorHAnsi"/>
                <w:color w:val="002F59" w:themeColor="text2"/>
                <w:sz w:val="16"/>
                <w:szCs w:val="16"/>
                <w:lang w:eastAsia="en-GB"/>
              </w:rPr>
              <w:t>5.1. Docu</w:t>
            </w:r>
            <w:r>
              <w:rPr>
                <w:rFonts w:asciiTheme="majorHAnsi" w:eastAsia="Times New Roman" w:hAnsiTheme="majorHAnsi" w:cstheme="majorHAnsi"/>
                <w:color w:val="002F59" w:themeColor="text2"/>
                <w:sz w:val="16"/>
                <w:szCs w:val="16"/>
                <w:lang w:eastAsia="en-GB"/>
              </w:rPr>
              <w:t>-</w:t>
            </w:r>
            <w:r w:rsidRPr="006C0314">
              <w:rPr>
                <w:rFonts w:asciiTheme="majorHAnsi" w:eastAsia="Times New Roman" w:hAnsiTheme="majorHAnsi" w:cstheme="majorHAnsi"/>
                <w:color w:val="002F59" w:themeColor="text2"/>
                <w:sz w:val="16"/>
                <w:szCs w:val="16"/>
                <w:lang w:eastAsia="en-GB"/>
              </w:rPr>
              <w:t>mentation </w:t>
            </w:r>
          </w:p>
        </w:tc>
        <w:tc>
          <w:tcPr>
            <w:tcW w:w="1659" w:type="pct"/>
          </w:tcPr>
          <w:p w14:paraId="13BE5A79" w14:textId="751610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currently in possession of valid birth certificates, national ID cards or other personal identification documents relevant to the context. </w:t>
            </w:r>
          </w:p>
        </w:tc>
        <w:tc>
          <w:tcPr>
            <w:tcW w:w="1469" w:type="pct"/>
          </w:tcPr>
          <w:p w14:paraId="4873E957" w14:textId="48710D46"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 xml:space="preserve">Target </w:t>
            </w:r>
            <w:r w:rsidRPr="006C0314">
              <w:rPr>
                <w:rFonts w:asciiTheme="majorHAnsi" w:eastAsia="Times New Roman" w:hAnsiTheme="majorHAnsi" w:cstheme="majorHAnsi"/>
                <w:color w:val="000000"/>
                <w:sz w:val="16"/>
                <w:szCs w:val="16"/>
                <w:lang w:eastAsia="en-GB"/>
              </w:rPr>
              <w:t>population in possession of birth certificates.</w:t>
            </w:r>
          </w:p>
          <w:p w14:paraId="08A19479" w14:textId="5C8724E3"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39C9A87E"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3D6AF175"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tcPr>
          <w:p w14:paraId="3FB03B9E"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66EBF08A" w14:textId="347A808D"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with other personal documentation necessary to accessing their rights. </w:t>
            </w:r>
          </w:p>
        </w:tc>
        <w:tc>
          <w:tcPr>
            <w:tcW w:w="1469" w:type="pct"/>
          </w:tcPr>
          <w:p w14:paraId="0477DDAA" w14:textId="1B162A0A"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with personal documentation or access to mechanisms to replace them if they are lost.</w:t>
            </w:r>
          </w:p>
        </w:tc>
        <w:tc>
          <w:tcPr>
            <w:tcW w:w="1292" w:type="pct"/>
          </w:tcPr>
          <w:p w14:paraId="057F7C15" w14:textId="3234831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Target</w:t>
            </w:r>
            <w:r w:rsidRPr="006C0314">
              <w:rPr>
                <w:rFonts w:asciiTheme="majorHAnsi" w:eastAsia="Times New Roman" w:hAnsiTheme="majorHAnsi" w:cstheme="majorHAnsi"/>
                <w:color w:val="000000"/>
                <w:sz w:val="16"/>
                <w:szCs w:val="16"/>
                <w:lang w:eastAsia="en-GB"/>
              </w:rPr>
              <w:t xml:space="preserve"> population that have not lost their documents and know how to replace them if missing</w:t>
            </w:r>
          </w:p>
        </w:tc>
      </w:tr>
      <w:tr w:rsidR="00910616" w:rsidRPr="006C0314" w14:paraId="299A2F29" w14:textId="77777777" w:rsidTr="0064400B">
        <w:trPr>
          <w:gridAfter w:val="1"/>
          <w:wAfter w:w="11" w:type="pct"/>
          <w:trHeight w:val="324"/>
        </w:trPr>
        <w:tc>
          <w:tcPr>
            <w:cnfStyle w:val="001000000000" w:firstRow="0" w:lastRow="0" w:firstColumn="1" w:lastColumn="0" w:oddVBand="0" w:evenVBand="0" w:oddHBand="0" w:evenHBand="0" w:firstRowFirstColumn="0" w:firstRowLastColumn="0" w:lastRowFirstColumn="0" w:lastRowLastColumn="0"/>
            <w:tcW w:w="569" w:type="pct"/>
            <w:vMerge/>
          </w:tcPr>
          <w:p w14:paraId="4DFD33A7" w14:textId="4D37FDD0"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880E2DE" w14:textId="64547D89"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 xml:space="preserve">Target population registered by authorities as Internally Displaced Persons – if relevant to context. </w:t>
            </w:r>
          </w:p>
        </w:tc>
        <w:tc>
          <w:tcPr>
            <w:tcW w:w="1469" w:type="pct"/>
          </w:tcPr>
          <w:p w14:paraId="3F32F803" w14:textId="1F2370B2"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c>
          <w:tcPr>
            <w:tcW w:w="1292" w:type="pct"/>
          </w:tcPr>
          <w:p w14:paraId="21615A5E" w14:textId="77777777" w:rsidR="00910616" w:rsidRPr="006C0314" w:rsidRDefault="00910616" w:rsidP="00910616">
            <w:p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r w:rsidR="00910616" w:rsidRPr="006C0314" w14:paraId="28368E3B" w14:textId="77777777" w:rsidTr="0064400B">
        <w:trPr>
          <w:gridAfter w:val="1"/>
          <w:cnfStyle w:val="000000100000" w:firstRow="0" w:lastRow="0" w:firstColumn="0" w:lastColumn="0" w:oddVBand="0" w:evenVBand="0" w:oddHBand="1" w:evenHBand="0" w:firstRowFirstColumn="0" w:firstRowLastColumn="0" w:lastRowFirstColumn="0" w:lastRowLastColumn="0"/>
          <w:wAfter w:w="11" w:type="pct"/>
          <w:trHeight w:val="309"/>
        </w:trPr>
        <w:tc>
          <w:tcPr>
            <w:cnfStyle w:val="001000000000" w:firstRow="0" w:lastRow="0" w:firstColumn="1" w:lastColumn="0" w:oddVBand="0" w:evenVBand="0" w:oddHBand="0" w:evenHBand="0" w:firstRowFirstColumn="0" w:firstRowLastColumn="0" w:lastRowFirstColumn="0" w:lastRowLastColumn="0"/>
            <w:tcW w:w="569" w:type="pct"/>
            <w:vMerge/>
          </w:tcPr>
          <w:p w14:paraId="3D1014E3" w14:textId="77777777" w:rsidR="00910616" w:rsidRPr="006C0314" w:rsidRDefault="00910616" w:rsidP="00910616">
            <w:pPr>
              <w:textAlignment w:val="baseline"/>
              <w:rPr>
                <w:rFonts w:asciiTheme="majorHAnsi" w:eastAsia="Times New Roman" w:hAnsiTheme="majorHAnsi" w:cstheme="majorHAnsi"/>
                <w:color w:val="002F59" w:themeColor="text2"/>
                <w:sz w:val="16"/>
                <w:szCs w:val="16"/>
                <w:lang w:eastAsia="en-GB"/>
              </w:rPr>
            </w:pPr>
          </w:p>
        </w:tc>
        <w:tc>
          <w:tcPr>
            <w:tcW w:w="1659" w:type="pct"/>
          </w:tcPr>
          <w:p w14:paraId="2CFE2A66" w14:textId="650F3BD0"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sidRPr="006C0314">
              <w:rPr>
                <w:rFonts w:asciiTheme="majorHAnsi" w:eastAsia="Times New Roman" w:hAnsiTheme="majorHAnsi" w:cstheme="majorHAnsi"/>
                <w:color w:val="000000"/>
                <w:sz w:val="16"/>
                <w:szCs w:val="16"/>
                <w:lang w:eastAsia="en-GB"/>
              </w:rPr>
              <w:t>Children under 5 years of age in target population whose births have been registered with a civil authority.</w:t>
            </w:r>
          </w:p>
        </w:tc>
        <w:tc>
          <w:tcPr>
            <w:tcW w:w="1469" w:type="pct"/>
          </w:tcPr>
          <w:p w14:paraId="2DAD4E0B" w14:textId="0F20D5E6"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Children</w:t>
            </w:r>
            <w:r w:rsidRPr="006C0314">
              <w:rPr>
                <w:rFonts w:asciiTheme="majorHAnsi" w:eastAsia="Times New Roman" w:hAnsiTheme="majorHAnsi" w:cstheme="majorHAnsi"/>
                <w:color w:val="000000"/>
                <w:sz w:val="16"/>
                <w:szCs w:val="16"/>
                <w:lang w:eastAsia="en-GB"/>
              </w:rPr>
              <w:t xml:space="preserve"> in target population with a birth certificate or registration.</w:t>
            </w:r>
          </w:p>
        </w:tc>
        <w:tc>
          <w:tcPr>
            <w:tcW w:w="1292" w:type="pct"/>
          </w:tcPr>
          <w:p w14:paraId="6C97BE4E" w14:textId="77777777" w:rsidR="00910616" w:rsidRPr="006C0314" w:rsidRDefault="00910616" w:rsidP="00910616">
            <w:p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en-GB"/>
              </w:rPr>
            </w:pPr>
          </w:p>
        </w:tc>
      </w:tr>
    </w:tbl>
    <w:p w14:paraId="7614A5EF" w14:textId="112EA675" w:rsidR="003226C0" w:rsidRDefault="003226C0" w:rsidP="003226C0"/>
    <w:sectPr w:rsidR="003226C0" w:rsidSect="00C72F18">
      <w:type w:val="continuous"/>
      <w:pgSz w:w="11906" w:h="16838" w:code="9"/>
      <w:pgMar w:top="1440" w:right="1440" w:bottom="1440" w:left="144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44B0C" w14:textId="77777777" w:rsidR="00D32275" w:rsidRDefault="00D32275" w:rsidP="004F6205">
      <w:pPr>
        <w:spacing w:after="0" w:line="240" w:lineRule="auto"/>
      </w:pPr>
      <w:r>
        <w:separator/>
      </w:r>
    </w:p>
  </w:endnote>
  <w:endnote w:type="continuationSeparator" w:id="0">
    <w:p w14:paraId="186AC43A" w14:textId="77777777" w:rsidR="00D32275" w:rsidRDefault="00D32275" w:rsidP="004F6205">
      <w:pPr>
        <w:spacing w:after="0" w:line="240" w:lineRule="auto"/>
      </w:pPr>
      <w:r>
        <w:continuationSeparator/>
      </w:r>
    </w:p>
  </w:endnote>
  <w:endnote w:type="continuationNotice" w:id="1">
    <w:p w14:paraId="5C40C242" w14:textId="77777777" w:rsidR="00D32275" w:rsidRDefault="00D322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venir">
    <w:altName w:val="Avenir"/>
    <w:charset w:val="4D"/>
    <w:family w:val="swiss"/>
    <w:pitch w:val="variable"/>
    <w:sig w:usb0="800000AF"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632652"/>
      <w:docPartObj>
        <w:docPartGallery w:val="Page Numbers (Bottom of Page)"/>
        <w:docPartUnique/>
      </w:docPartObj>
    </w:sdtPr>
    <w:sdtEndPr>
      <w:rPr>
        <w:noProof/>
      </w:rPr>
    </w:sdtEndPr>
    <w:sdtContent>
      <w:p w14:paraId="00552303" w14:textId="1F1FBFA0" w:rsidR="003C1804" w:rsidRDefault="003C18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32E8D" w14:textId="77777777" w:rsidR="003C1804" w:rsidRDefault="003C1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A9016" w14:textId="3288BDAF" w:rsidR="003C1804" w:rsidRDefault="003C1804">
    <w:pPr>
      <w:pStyle w:val="Footer"/>
    </w:pPr>
    <w:r>
      <w:rPr>
        <w:noProof/>
      </w:rPr>
      <w:drawing>
        <wp:anchor distT="0" distB="0" distL="114300" distR="114300" simplePos="0" relativeHeight="251658240" behindDoc="1" locked="0" layoutInCell="1" allowOverlap="1" wp14:anchorId="42E1A9D5" wp14:editId="6C485A53">
          <wp:simplePos x="0" y="0"/>
          <wp:positionH relativeFrom="page">
            <wp:align>right</wp:align>
          </wp:positionH>
          <wp:positionV relativeFrom="paragraph">
            <wp:posOffset>-409903</wp:posOffset>
          </wp:positionV>
          <wp:extent cx="7562088" cy="646484"/>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842-JDCFD-word-02.png"/>
                  <pic:cNvPicPr/>
                </pic:nvPicPr>
                <pic:blipFill>
                  <a:blip r:embed="rId1">
                    <a:extLst>
                      <a:ext uri="{28A0092B-C50C-407E-A947-70E740481C1C}">
                        <a14:useLocalDpi xmlns:a14="http://schemas.microsoft.com/office/drawing/2010/main" val="0"/>
                      </a:ext>
                    </a:extLst>
                  </a:blip>
                  <a:stretch>
                    <a:fillRect/>
                  </a:stretch>
                </pic:blipFill>
                <pic:spPr>
                  <a:xfrm>
                    <a:off x="0" y="0"/>
                    <a:ext cx="7562088" cy="64648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0CEAE" w14:textId="77777777" w:rsidR="00D32275" w:rsidRDefault="00D32275" w:rsidP="004F6205">
      <w:pPr>
        <w:spacing w:after="0" w:line="240" w:lineRule="auto"/>
      </w:pPr>
      <w:r>
        <w:separator/>
      </w:r>
    </w:p>
  </w:footnote>
  <w:footnote w:type="continuationSeparator" w:id="0">
    <w:p w14:paraId="7E559C50" w14:textId="77777777" w:rsidR="00D32275" w:rsidRDefault="00D32275" w:rsidP="004F6205">
      <w:pPr>
        <w:spacing w:after="0" w:line="240" w:lineRule="auto"/>
      </w:pPr>
      <w:r>
        <w:continuationSeparator/>
      </w:r>
    </w:p>
  </w:footnote>
  <w:footnote w:type="continuationNotice" w:id="1">
    <w:p w14:paraId="719DED23" w14:textId="77777777" w:rsidR="00D32275" w:rsidRDefault="00D32275">
      <w:pPr>
        <w:spacing w:after="0" w:line="240" w:lineRule="auto"/>
      </w:pPr>
    </w:p>
  </w:footnote>
  <w:footnote w:id="2">
    <w:p w14:paraId="409E70FB" w14:textId="77777777" w:rsidR="003C1804" w:rsidRDefault="003C1804" w:rsidP="003F5F56">
      <w:pPr>
        <w:pStyle w:val="FootnoteText"/>
      </w:pPr>
      <w:r>
        <w:rPr>
          <w:rStyle w:val="FootnoteReference"/>
        </w:rPr>
        <w:footnoteRef/>
      </w:r>
      <w:r>
        <w:t xml:space="preserve"> The definition of priority criteria and sub-criteria is relevant to the IRIS recommended progress and solutions measure as they should be based on a similar or the same set of indicators. </w:t>
      </w:r>
    </w:p>
  </w:footnote>
  <w:footnote w:id="3">
    <w:p w14:paraId="19612826" w14:textId="77777777" w:rsidR="003C1804" w:rsidRPr="00F40139" w:rsidRDefault="003C1804" w:rsidP="003F5F56">
      <w:pPr>
        <w:pStyle w:val="FootnoteText"/>
        <w:rPr>
          <w:sz w:val="18"/>
          <w:szCs w:val="18"/>
        </w:rPr>
      </w:pPr>
      <w:r w:rsidRPr="00F40139">
        <w:rPr>
          <w:rStyle w:val="FootnoteReference"/>
          <w:sz w:val="18"/>
          <w:szCs w:val="18"/>
        </w:rPr>
        <w:footnoteRef/>
      </w:r>
      <w:r w:rsidRPr="00F40139">
        <w:rPr>
          <w:sz w:val="18"/>
          <w:szCs w:val="18"/>
        </w:rPr>
        <w:t xml:space="preserve"> Note that this framework is used to count the aggregate number of IDPs in a given context. It is not used to assess the allocation of aid to an individual or household. </w:t>
      </w:r>
    </w:p>
  </w:footnote>
  <w:footnote w:id="4">
    <w:p w14:paraId="1BBD2193" w14:textId="635641DD" w:rsidR="00661215" w:rsidRDefault="00661215">
      <w:pPr>
        <w:pStyle w:val="FootnoteText"/>
      </w:pPr>
      <w:r>
        <w:rPr>
          <w:rStyle w:val="FootnoteReference"/>
        </w:rPr>
        <w:footnoteRef/>
      </w:r>
      <w:r>
        <w:t xml:space="preserve"> For completeness and to allow comparisons with other metric options, this note also demonstrates simulations based on this approach but will not discuss the suitability of a pass/fail measure as option going forward.</w:t>
      </w:r>
    </w:p>
  </w:footnote>
  <w:footnote w:id="5">
    <w:p w14:paraId="4CD5DBCF" w14:textId="77777777" w:rsidR="003C1804" w:rsidRDefault="003C1804" w:rsidP="00257780">
      <w:pPr>
        <w:pStyle w:val="FootnoteText"/>
      </w:pPr>
      <w:r>
        <w:rPr>
          <w:rStyle w:val="FootnoteReference"/>
        </w:rPr>
        <w:footnoteRef/>
      </w:r>
      <w:r>
        <w:t xml:space="preserve"> The Durable Solutions Library is an interagency project led by the Special Rapporteur on the Human Rights of IDPs, coordinated by JIPS, and technically steered by a broad group of partners engaged in durable solutions work. </w:t>
      </w:r>
    </w:p>
  </w:footnote>
  <w:footnote w:id="6">
    <w:p w14:paraId="1A90D1D0" w14:textId="77777777" w:rsidR="003C1804" w:rsidRDefault="003C1804" w:rsidP="00732BC5">
      <w:pPr>
        <w:pStyle w:val="FootnoteText"/>
      </w:pPr>
      <w:r>
        <w:rPr>
          <w:rStyle w:val="FootnoteReference"/>
        </w:rPr>
        <w:footnoteRef/>
      </w:r>
      <w:r>
        <w:t xml:space="preserve"> The DS library also includes indicators on distributions (e.g. </w:t>
      </w:r>
      <w:r w:rsidRPr="00917E2C">
        <w:t xml:space="preserve">Target population who experienced moderate or severe food insecurity in the last year, </w:t>
      </w:r>
      <w:r w:rsidRPr="00917E2C">
        <w:rPr>
          <w:i/>
          <w:iCs/>
        </w:rPr>
        <w:t>by main obstacle to obtaining sufficient food</w:t>
      </w:r>
      <w:r w:rsidRPr="00917E2C">
        <w:t>.</w:t>
      </w:r>
      <w:r>
        <w:t>). In the case of these indicators it is not clear what constitutes a solution to displacement (Which obstacle to obtaining food is tolerable for IDPs and which one is not?) and how hosts and IDPs can be compared. These disaggregated indicators were dropped from the mapping.</w:t>
      </w:r>
    </w:p>
  </w:footnote>
  <w:footnote w:id="7">
    <w:p w14:paraId="096CCAA4" w14:textId="5FB689A5" w:rsidR="003C1804" w:rsidRDefault="003C1804" w:rsidP="00CF1A61">
      <w:pPr>
        <w:pStyle w:val="FootnoteText"/>
      </w:pPr>
      <w:r>
        <w:rPr>
          <w:rStyle w:val="FootnoteReference"/>
        </w:rPr>
        <w:footnoteRef/>
      </w:r>
      <w:r>
        <w:t xml:space="preserve"> UNHCR, 2015, “Internal Displacement Profiling in Hargeisa”, </w:t>
      </w:r>
      <w:hyperlink r:id="rId1" w:history="1">
        <w:r w:rsidRPr="00A6234A">
          <w:rPr>
            <w:rStyle w:val="Hyperlink"/>
          </w:rPr>
          <w:t>https://reliefweb.int/report/somalia/internal-displacement-profiling-hargeisa-december-2015</w:t>
        </w:r>
      </w:hyperlink>
      <w:r>
        <w:t xml:space="preserve"> </w:t>
      </w:r>
    </w:p>
  </w:footnote>
  <w:footnote w:id="8">
    <w:p w14:paraId="2CAF3B9B" w14:textId="7C93F7AC" w:rsidR="003C1804" w:rsidRDefault="003C1804">
      <w:pPr>
        <w:pStyle w:val="FootnoteText"/>
      </w:pPr>
      <w:r>
        <w:rPr>
          <w:rStyle w:val="FootnoteReference"/>
        </w:rPr>
        <w:footnoteRef/>
      </w:r>
      <w:r>
        <w:t xml:space="preserve"> World Bank, 2018, “</w:t>
      </w:r>
      <w:r w:rsidRPr="008603E4">
        <w:t>Profile of Internally Displaced Persons in North-East Nigeria 2018</w:t>
      </w:r>
      <w:r>
        <w:t xml:space="preserve">”, </w:t>
      </w:r>
      <w:hyperlink r:id="rId2" w:history="1">
        <w:r w:rsidRPr="00A6234A">
          <w:rPr>
            <w:rStyle w:val="Hyperlink"/>
          </w:rPr>
          <w:t>https://microdata.worldbank.org/index.php/catalog/3410</w:t>
        </w:r>
      </w:hyperlink>
      <w:r>
        <w:t xml:space="preserve"> </w:t>
      </w:r>
    </w:p>
  </w:footnote>
  <w:footnote w:id="9">
    <w:p w14:paraId="68726A3E" w14:textId="77777777" w:rsidR="003C1804" w:rsidRDefault="003C1804" w:rsidP="006426F3">
      <w:pPr>
        <w:pStyle w:val="FootnoteText"/>
      </w:pPr>
      <w:r>
        <w:rPr>
          <w:rStyle w:val="FootnoteReference"/>
        </w:rPr>
        <w:footnoteRef/>
      </w:r>
      <w:r>
        <w:t xml:space="preserve"> Covering hosts and IDPs is crucial for this methodological assessment to facilitate the task of finding a comparator population. </w:t>
      </w:r>
    </w:p>
  </w:footnote>
  <w:footnote w:id="10">
    <w:p w14:paraId="0765E9A2" w14:textId="77777777" w:rsidR="003C1804" w:rsidRDefault="003C1804" w:rsidP="00DF7F21">
      <w:pPr>
        <w:pStyle w:val="FootnoteText"/>
      </w:pPr>
      <w:r>
        <w:rPr>
          <w:rStyle w:val="FootnoteReference"/>
        </w:rPr>
        <w:footnoteRef/>
      </w:r>
      <w:r>
        <w:t xml:space="preserve"> When identifying available indicators in the</w:t>
      </w:r>
      <w:r>
        <w:rPr>
          <w:rFonts w:asciiTheme="majorHAnsi" w:eastAsiaTheme="minorHAnsi" w:hAnsiTheme="majorHAnsi" w:cstheme="majorHAnsi"/>
        </w:rPr>
        <w:t xml:space="preserve"> datasets, the aim was to be as inclusive as possible and to use as much information present in the data as possible. However, some indicators had to be dropped because of too many missing values or no variance at all.</w:t>
      </w:r>
    </w:p>
  </w:footnote>
  <w:footnote w:id="11">
    <w:p w14:paraId="45F4C0DA" w14:textId="185ACFA7" w:rsidR="003C1804" w:rsidRDefault="003C1804">
      <w:pPr>
        <w:pStyle w:val="FootnoteText"/>
      </w:pPr>
      <w:r>
        <w:rPr>
          <w:rStyle w:val="FootnoteReference"/>
        </w:rPr>
        <w:footnoteRef/>
      </w:r>
      <w:r>
        <w:t xml:space="preserve"> In</w:t>
      </w:r>
      <w:r w:rsidRPr="00FF6576">
        <w:t xml:space="preserve"> the case of having only one or two</w:t>
      </w:r>
      <w:r>
        <w:t xml:space="preserve"> empirical</w:t>
      </w:r>
      <w:r w:rsidRPr="00FF6576">
        <w:t xml:space="preserve"> indicators for a sub-criterion or a criterion</w:t>
      </w:r>
      <w:r>
        <w:t xml:space="preserve"> </w:t>
      </w:r>
      <w:r w:rsidR="00231384">
        <w:t xml:space="preserve">and </w:t>
      </w:r>
      <w:r w:rsidRPr="00FF6576">
        <w:t xml:space="preserve">not enough empirical indicators to build an index in the dataset, the single indicator was used for this specific (sub)-criterion while the other (sub-)criteria </w:t>
      </w:r>
      <w:r w:rsidR="00231384">
        <w:t>while</w:t>
      </w:r>
      <w:r w:rsidRPr="00FF6576">
        <w:t xml:space="preserve"> more indicators were turned into indices. The indices for option 2 and 3 were built with three elements. In a final metric development, it would be necessary to have enough indicators to build a complete composite index with 3 or more elements</w:t>
      </w:r>
      <w:r>
        <w:t>.</w:t>
      </w:r>
    </w:p>
  </w:footnote>
  <w:footnote w:id="12">
    <w:p w14:paraId="216D8947" w14:textId="6A480C8A" w:rsidR="003C1804" w:rsidRDefault="003C1804">
      <w:pPr>
        <w:pStyle w:val="FootnoteText"/>
      </w:pPr>
      <w:r>
        <w:rPr>
          <w:rStyle w:val="FootnoteReference"/>
        </w:rPr>
        <w:footnoteRef/>
      </w:r>
      <w:r>
        <w:t xml:space="preserve"> Variable levels: Ila, Hargeisa, Balegubadle, Burao, Bakool, Harardhere, Lower Shabelle, Odweyne, Erigavo, Anod, Borama, Galguduud, Berbera, Gabiley, Galkayo, Mudug, Bay, Kismayo, Hobyo, Zeila, Buale, Godinlabe, Bosaso, Garbahaarreey, Unknown</w:t>
      </w:r>
    </w:p>
  </w:footnote>
  <w:footnote w:id="13">
    <w:p w14:paraId="7D529BC5" w14:textId="046E9F1F" w:rsidR="000B4DC8" w:rsidRDefault="000B4DC8">
      <w:pPr>
        <w:pStyle w:val="FootnoteText"/>
      </w:pPr>
      <w:r>
        <w:rPr>
          <w:rStyle w:val="FootnoteReference"/>
        </w:rPr>
        <w:footnoteRef/>
      </w:r>
      <w:r>
        <w:t xml:space="preserve"> Future assessments will not only identify how many IDPs exit the stock for each metric option and indicator selection but also whether the different options classify the same IDP households as </w:t>
      </w:r>
      <w:r w:rsidR="00C15DAC">
        <w:t xml:space="preserve">exiting the stock or different population subgroups. </w:t>
      </w:r>
    </w:p>
  </w:footnote>
  <w:footnote w:id="14">
    <w:p w14:paraId="37A7BE96" w14:textId="57F1DB0D" w:rsidR="00287CB1" w:rsidRDefault="00287CB1">
      <w:pPr>
        <w:pStyle w:val="FootnoteText"/>
      </w:pPr>
      <w:r>
        <w:rPr>
          <w:rStyle w:val="FootnoteReference"/>
        </w:rPr>
        <w:footnoteRef/>
      </w:r>
      <w:r>
        <w:t xml:space="preserve"> </w:t>
      </w:r>
      <w:r w:rsidR="00602539">
        <w:t xml:space="preserve">14,580 combinations are possible for each of the 10 different groupings, amounting to a total of 145,800 permutations. </w:t>
      </w:r>
      <w:r w:rsidR="008F7321">
        <w:t xml:space="preserve">A random sample of 4000 </w:t>
      </w:r>
      <w:r w:rsidR="00E76E8E">
        <w:t>indicator combinations</w:t>
      </w:r>
      <w:r w:rsidR="008F7321">
        <w:t xml:space="preserve"> was drawn to speed up calculations</w:t>
      </w:r>
      <w:r w:rsidR="00E76E8E">
        <w:t>, resulting in 40,000 simulations (4000 for each of the 10 different groupings)</w:t>
      </w:r>
      <w:r w:rsidR="008F7321">
        <w:t xml:space="preserve">. </w:t>
      </w:r>
    </w:p>
  </w:footnote>
  <w:footnote w:id="15">
    <w:p w14:paraId="044F1A16" w14:textId="2D7E64A5" w:rsidR="004F6023" w:rsidRDefault="004F6023">
      <w:pPr>
        <w:pStyle w:val="FootnoteText"/>
      </w:pPr>
      <w:r>
        <w:rPr>
          <w:rStyle w:val="FootnoteReference"/>
        </w:rPr>
        <w:footnoteRef/>
      </w:r>
      <w:r>
        <w:t xml:space="preserve"> Due to the many possible indicators for 3 sub-criteria</w:t>
      </w:r>
      <w:r w:rsidR="00CD6988">
        <w:t xml:space="preserve"> that can be combined to different indices, </w:t>
      </w:r>
      <w:r>
        <w:t>164,640</w:t>
      </w:r>
      <w:r w:rsidR="00CD6988">
        <w:t xml:space="preserve"> possible permutations exist. A random sample of 10,000 simulations were drawn to speed up calculations. </w:t>
      </w:r>
    </w:p>
  </w:footnote>
  <w:footnote w:id="16">
    <w:p w14:paraId="15AE7E49" w14:textId="6775D824" w:rsidR="00704738" w:rsidRDefault="00704738" w:rsidP="007B29D0">
      <w:pPr>
        <w:pStyle w:val="FootnoteText"/>
      </w:pPr>
      <w:r>
        <w:rPr>
          <w:rStyle w:val="FootnoteReference"/>
        </w:rPr>
        <w:footnoteRef/>
      </w:r>
      <w:r>
        <w:t xml:space="preserve"> </w:t>
      </w:r>
      <w:r w:rsidR="002D473F">
        <w:t>4,032</w:t>
      </w:r>
      <w:r>
        <w:t xml:space="preserve"> combinations are possible for each of </w:t>
      </w:r>
      <w:r w:rsidR="002D473F">
        <w:t>the 8</w:t>
      </w:r>
      <w:r>
        <w:t xml:space="preserve"> different groupings, amounting to a total of </w:t>
      </w:r>
      <w:r w:rsidR="00E16F4E" w:rsidRPr="00E16F4E">
        <w:t>32,256</w:t>
      </w:r>
      <w:r w:rsidR="00E16F4E">
        <w:t xml:space="preserve"> </w:t>
      </w:r>
      <w:r>
        <w:t>permutations.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82310" w14:textId="2539C1BA" w:rsidR="003C1804" w:rsidRDefault="003C1804" w:rsidP="004F620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95A35" w14:textId="38781EE8" w:rsidR="003C1804" w:rsidRDefault="003C1804">
    <w:pPr>
      <w:pStyle w:val="Header"/>
    </w:pPr>
    <w:r>
      <w:rPr>
        <w:noProof/>
      </w:rPr>
      <w:drawing>
        <wp:anchor distT="0" distB="0" distL="114300" distR="114300" simplePos="0" relativeHeight="251658241" behindDoc="1" locked="0" layoutInCell="1" allowOverlap="1" wp14:anchorId="73466AA4" wp14:editId="5C071742">
          <wp:simplePos x="0" y="0"/>
          <wp:positionH relativeFrom="page">
            <wp:align>right</wp:align>
          </wp:positionH>
          <wp:positionV relativeFrom="paragraph">
            <wp:posOffset>-243042</wp:posOffset>
          </wp:positionV>
          <wp:extent cx="7772400" cy="132283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842-JDCFD-word-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3228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137D6"/>
    <w:multiLevelType w:val="hybridMultilevel"/>
    <w:tmpl w:val="78F6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8599A"/>
    <w:multiLevelType w:val="hybridMultilevel"/>
    <w:tmpl w:val="4C0CCD9A"/>
    <w:lvl w:ilvl="0" w:tplc="3F6A4AF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8053A"/>
    <w:multiLevelType w:val="hybridMultilevel"/>
    <w:tmpl w:val="424A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C226F"/>
    <w:multiLevelType w:val="hybridMultilevel"/>
    <w:tmpl w:val="8286E47C"/>
    <w:lvl w:ilvl="0" w:tplc="50E247F6">
      <w:start w:val="1"/>
      <w:numFmt w:val="decimal"/>
      <w:lvlText w:val="%1)"/>
      <w:lvlJc w:val="left"/>
      <w:pPr>
        <w:ind w:left="720" w:hanging="360"/>
      </w:pPr>
      <w:rPr>
        <w:rFonts w:hint="default"/>
        <w:b/>
        <w:i w:val="0"/>
        <w:color w:val="0072B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06139"/>
    <w:multiLevelType w:val="hybridMultilevel"/>
    <w:tmpl w:val="174893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17345"/>
    <w:multiLevelType w:val="hybridMultilevel"/>
    <w:tmpl w:val="CF40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8284F"/>
    <w:multiLevelType w:val="hybridMultilevel"/>
    <w:tmpl w:val="547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40724"/>
    <w:multiLevelType w:val="hybridMultilevel"/>
    <w:tmpl w:val="33F8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869D0"/>
    <w:multiLevelType w:val="hybridMultilevel"/>
    <w:tmpl w:val="03E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9620C"/>
    <w:multiLevelType w:val="hybridMultilevel"/>
    <w:tmpl w:val="400A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2"/>
  </w:num>
  <w:num w:numId="6">
    <w:abstractNumId w:val="8"/>
  </w:num>
  <w:num w:numId="7">
    <w:abstractNumId w:val="0"/>
  </w:num>
  <w:num w:numId="8">
    <w:abstractNumId w:val="5"/>
  </w:num>
  <w:num w:numId="9">
    <w:abstractNumId w:val="1"/>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E6"/>
    <w:rsid w:val="00001C46"/>
    <w:rsid w:val="0000360E"/>
    <w:rsid w:val="00003D4D"/>
    <w:rsid w:val="00003D8A"/>
    <w:rsid w:val="00003F1C"/>
    <w:rsid w:val="000044B4"/>
    <w:rsid w:val="000049E8"/>
    <w:rsid w:val="00004F38"/>
    <w:rsid w:val="00005976"/>
    <w:rsid w:val="00005A76"/>
    <w:rsid w:val="00005C12"/>
    <w:rsid w:val="00005C4B"/>
    <w:rsid w:val="000075A5"/>
    <w:rsid w:val="00011292"/>
    <w:rsid w:val="00011D7C"/>
    <w:rsid w:val="00013029"/>
    <w:rsid w:val="000147D2"/>
    <w:rsid w:val="00015A69"/>
    <w:rsid w:val="000164E6"/>
    <w:rsid w:val="00016B27"/>
    <w:rsid w:val="00020CD2"/>
    <w:rsid w:val="00020FDC"/>
    <w:rsid w:val="00021708"/>
    <w:rsid w:val="00021AD9"/>
    <w:rsid w:val="00023214"/>
    <w:rsid w:val="00023889"/>
    <w:rsid w:val="00024CD4"/>
    <w:rsid w:val="00025299"/>
    <w:rsid w:val="000258CA"/>
    <w:rsid w:val="00026132"/>
    <w:rsid w:val="00026942"/>
    <w:rsid w:val="00026FE1"/>
    <w:rsid w:val="00027CA4"/>
    <w:rsid w:val="00030571"/>
    <w:rsid w:val="00031378"/>
    <w:rsid w:val="00032208"/>
    <w:rsid w:val="00032AD7"/>
    <w:rsid w:val="00032DFA"/>
    <w:rsid w:val="000335E2"/>
    <w:rsid w:val="00034050"/>
    <w:rsid w:val="000348DF"/>
    <w:rsid w:val="00035E5F"/>
    <w:rsid w:val="00036F85"/>
    <w:rsid w:val="00040267"/>
    <w:rsid w:val="000404A5"/>
    <w:rsid w:val="0004109C"/>
    <w:rsid w:val="0004176C"/>
    <w:rsid w:val="00041E90"/>
    <w:rsid w:val="0004225A"/>
    <w:rsid w:val="00042D26"/>
    <w:rsid w:val="00043268"/>
    <w:rsid w:val="000437E4"/>
    <w:rsid w:val="00043DD0"/>
    <w:rsid w:val="000443FC"/>
    <w:rsid w:val="00044A73"/>
    <w:rsid w:val="0004553E"/>
    <w:rsid w:val="000474F6"/>
    <w:rsid w:val="000477E4"/>
    <w:rsid w:val="00047E92"/>
    <w:rsid w:val="00049B39"/>
    <w:rsid w:val="00050B4B"/>
    <w:rsid w:val="00051537"/>
    <w:rsid w:val="00052ECE"/>
    <w:rsid w:val="000537E0"/>
    <w:rsid w:val="00053853"/>
    <w:rsid w:val="000555BB"/>
    <w:rsid w:val="000564EE"/>
    <w:rsid w:val="00056E7A"/>
    <w:rsid w:val="00056F19"/>
    <w:rsid w:val="0006063F"/>
    <w:rsid w:val="00060BF7"/>
    <w:rsid w:val="0006162F"/>
    <w:rsid w:val="00062E83"/>
    <w:rsid w:val="0006393D"/>
    <w:rsid w:val="00064412"/>
    <w:rsid w:val="00064B7B"/>
    <w:rsid w:val="00065599"/>
    <w:rsid w:val="00065C26"/>
    <w:rsid w:val="00065C5F"/>
    <w:rsid w:val="00067F4E"/>
    <w:rsid w:val="000708DE"/>
    <w:rsid w:val="000708E1"/>
    <w:rsid w:val="00072E22"/>
    <w:rsid w:val="0007398C"/>
    <w:rsid w:val="0007441C"/>
    <w:rsid w:val="00074A46"/>
    <w:rsid w:val="00075E43"/>
    <w:rsid w:val="00075ED0"/>
    <w:rsid w:val="0007680D"/>
    <w:rsid w:val="00076E6D"/>
    <w:rsid w:val="00076EB9"/>
    <w:rsid w:val="00077111"/>
    <w:rsid w:val="000778E3"/>
    <w:rsid w:val="00077C1F"/>
    <w:rsid w:val="00077CCE"/>
    <w:rsid w:val="000819A0"/>
    <w:rsid w:val="0008357A"/>
    <w:rsid w:val="00084A6C"/>
    <w:rsid w:val="000862B2"/>
    <w:rsid w:val="00086F03"/>
    <w:rsid w:val="00087353"/>
    <w:rsid w:val="00087A11"/>
    <w:rsid w:val="0009101D"/>
    <w:rsid w:val="0009185B"/>
    <w:rsid w:val="00091FC8"/>
    <w:rsid w:val="00093F96"/>
    <w:rsid w:val="0009400D"/>
    <w:rsid w:val="00094F9A"/>
    <w:rsid w:val="00097CFB"/>
    <w:rsid w:val="000A01B1"/>
    <w:rsid w:val="000A0453"/>
    <w:rsid w:val="000A0E4A"/>
    <w:rsid w:val="000A0F25"/>
    <w:rsid w:val="000A253C"/>
    <w:rsid w:val="000A42F1"/>
    <w:rsid w:val="000A7026"/>
    <w:rsid w:val="000A7258"/>
    <w:rsid w:val="000A7A5B"/>
    <w:rsid w:val="000B00B8"/>
    <w:rsid w:val="000B0A57"/>
    <w:rsid w:val="000B0BC1"/>
    <w:rsid w:val="000B0FA9"/>
    <w:rsid w:val="000B33E7"/>
    <w:rsid w:val="000B4115"/>
    <w:rsid w:val="000B4663"/>
    <w:rsid w:val="000B4DC8"/>
    <w:rsid w:val="000B609D"/>
    <w:rsid w:val="000B6DF5"/>
    <w:rsid w:val="000C2B56"/>
    <w:rsid w:val="000C33B9"/>
    <w:rsid w:val="000C3B9F"/>
    <w:rsid w:val="000C4ADA"/>
    <w:rsid w:val="000C5F7D"/>
    <w:rsid w:val="000C673E"/>
    <w:rsid w:val="000D0208"/>
    <w:rsid w:val="000D0BD2"/>
    <w:rsid w:val="000D1318"/>
    <w:rsid w:val="000D4164"/>
    <w:rsid w:val="000D4E37"/>
    <w:rsid w:val="000D5237"/>
    <w:rsid w:val="000D578B"/>
    <w:rsid w:val="000D7AE1"/>
    <w:rsid w:val="000E0244"/>
    <w:rsid w:val="000E04A4"/>
    <w:rsid w:val="000E06D5"/>
    <w:rsid w:val="000E1D74"/>
    <w:rsid w:val="000E281B"/>
    <w:rsid w:val="000E2D0B"/>
    <w:rsid w:val="000E33C2"/>
    <w:rsid w:val="000E4126"/>
    <w:rsid w:val="000E4E80"/>
    <w:rsid w:val="000E7775"/>
    <w:rsid w:val="000E789C"/>
    <w:rsid w:val="000E7FC2"/>
    <w:rsid w:val="000F054A"/>
    <w:rsid w:val="000F0C2E"/>
    <w:rsid w:val="000F2AA6"/>
    <w:rsid w:val="000F3EC8"/>
    <w:rsid w:val="000F4DC2"/>
    <w:rsid w:val="000F5267"/>
    <w:rsid w:val="000F6291"/>
    <w:rsid w:val="000F64B9"/>
    <w:rsid w:val="001002F9"/>
    <w:rsid w:val="00101D13"/>
    <w:rsid w:val="001028C6"/>
    <w:rsid w:val="001034A1"/>
    <w:rsid w:val="00105E74"/>
    <w:rsid w:val="00106EEE"/>
    <w:rsid w:val="00107BD7"/>
    <w:rsid w:val="00107FDD"/>
    <w:rsid w:val="0011041E"/>
    <w:rsid w:val="00110754"/>
    <w:rsid w:val="001127C6"/>
    <w:rsid w:val="00115283"/>
    <w:rsid w:val="00117617"/>
    <w:rsid w:val="00117EF7"/>
    <w:rsid w:val="00121325"/>
    <w:rsid w:val="00121B61"/>
    <w:rsid w:val="001229E0"/>
    <w:rsid w:val="00122A4A"/>
    <w:rsid w:val="00123C93"/>
    <w:rsid w:val="00123F42"/>
    <w:rsid w:val="00124641"/>
    <w:rsid w:val="00125522"/>
    <w:rsid w:val="00127A1D"/>
    <w:rsid w:val="00130818"/>
    <w:rsid w:val="0013147D"/>
    <w:rsid w:val="001314D1"/>
    <w:rsid w:val="00132363"/>
    <w:rsid w:val="00133689"/>
    <w:rsid w:val="00134265"/>
    <w:rsid w:val="00134B4C"/>
    <w:rsid w:val="00134FCE"/>
    <w:rsid w:val="0013502C"/>
    <w:rsid w:val="001355FF"/>
    <w:rsid w:val="00135892"/>
    <w:rsid w:val="00135E76"/>
    <w:rsid w:val="00136408"/>
    <w:rsid w:val="0013679B"/>
    <w:rsid w:val="00137302"/>
    <w:rsid w:val="00137F37"/>
    <w:rsid w:val="0014276C"/>
    <w:rsid w:val="001428D7"/>
    <w:rsid w:val="00143928"/>
    <w:rsid w:val="00143AD1"/>
    <w:rsid w:val="0014405A"/>
    <w:rsid w:val="00146160"/>
    <w:rsid w:val="0014659A"/>
    <w:rsid w:val="00147736"/>
    <w:rsid w:val="001505AA"/>
    <w:rsid w:val="00151B99"/>
    <w:rsid w:val="00152046"/>
    <w:rsid w:val="001527F8"/>
    <w:rsid w:val="00155330"/>
    <w:rsid w:val="00160A70"/>
    <w:rsid w:val="00160CC2"/>
    <w:rsid w:val="001621F3"/>
    <w:rsid w:val="001648B9"/>
    <w:rsid w:val="00164FD4"/>
    <w:rsid w:val="00165234"/>
    <w:rsid w:val="00165B01"/>
    <w:rsid w:val="00166118"/>
    <w:rsid w:val="001670F2"/>
    <w:rsid w:val="00167D74"/>
    <w:rsid w:val="00170289"/>
    <w:rsid w:val="001709EF"/>
    <w:rsid w:val="00170AB8"/>
    <w:rsid w:val="00170C86"/>
    <w:rsid w:val="0017107C"/>
    <w:rsid w:val="00171551"/>
    <w:rsid w:val="00172051"/>
    <w:rsid w:val="00173045"/>
    <w:rsid w:val="001732E5"/>
    <w:rsid w:val="001733FC"/>
    <w:rsid w:val="00174FBC"/>
    <w:rsid w:val="00177FB1"/>
    <w:rsid w:val="00181345"/>
    <w:rsid w:val="001815F2"/>
    <w:rsid w:val="001818C5"/>
    <w:rsid w:val="00183987"/>
    <w:rsid w:val="00183C5C"/>
    <w:rsid w:val="0018605D"/>
    <w:rsid w:val="00187BAC"/>
    <w:rsid w:val="0019024B"/>
    <w:rsid w:val="00190322"/>
    <w:rsid w:val="0019290A"/>
    <w:rsid w:val="00192C69"/>
    <w:rsid w:val="00192FE1"/>
    <w:rsid w:val="001930B9"/>
    <w:rsid w:val="001942B5"/>
    <w:rsid w:val="0019470E"/>
    <w:rsid w:val="0019571A"/>
    <w:rsid w:val="00196666"/>
    <w:rsid w:val="00196B8D"/>
    <w:rsid w:val="00196BC5"/>
    <w:rsid w:val="00197484"/>
    <w:rsid w:val="00197D19"/>
    <w:rsid w:val="001A0205"/>
    <w:rsid w:val="001A2A20"/>
    <w:rsid w:val="001A2B58"/>
    <w:rsid w:val="001A3257"/>
    <w:rsid w:val="001A42B9"/>
    <w:rsid w:val="001A44EC"/>
    <w:rsid w:val="001A4CFA"/>
    <w:rsid w:val="001A5103"/>
    <w:rsid w:val="001A7EBF"/>
    <w:rsid w:val="001B00AB"/>
    <w:rsid w:val="001B01CA"/>
    <w:rsid w:val="001B1F93"/>
    <w:rsid w:val="001B271A"/>
    <w:rsid w:val="001B3858"/>
    <w:rsid w:val="001B452E"/>
    <w:rsid w:val="001B5290"/>
    <w:rsid w:val="001B5925"/>
    <w:rsid w:val="001B765E"/>
    <w:rsid w:val="001C062F"/>
    <w:rsid w:val="001C0B28"/>
    <w:rsid w:val="001C0FD5"/>
    <w:rsid w:val="001C1218"/>
    <w:rsid w:val="001C187E"/>
    <w:rsid w:val="001C4312"/>
    <w:rsid w:val="001C6763"/>
    <w:rsid w:val="001C75C2"/>
    <w:rsid w:val="001D1C63"/>
    <w:rsid w:val="001D2BCA"/>
    <w:rsid w:val="001D3AAA"/>
    <w:rsid w:val="001D3C03"/>
    <w:rsid w:val="001D4054"/>
    <w:rsid w:val="001D41A1"/>
    <w:rsid w:val="001D4315"/>
    <w:rsid w:val="001D47EE"/>
    <w:rsid w:val="001D58B8"/>
    <w:rsid w:val="001D5B58"/>
    <w:rsid w:val="001D6036"/>
    <w:rsid w:val="001D6592"/>
    <w:rsid w:val="001D74D2"/>
    <w:rsid w:val="001E0B2A"/>
    <w:rsid w:val="001E3FCA"/>
    <w:rsid w:val="001E5464"/>
    <w:rsid w:val="001E56C9"/>
    <w:rsid w:val="001E61CA"/>
    <w:rsid w:val="001E63D8"/>
    <w:rsid w:val="001E6C23"/>
    <w:rsid w:val="001E6D71"/>
    <w:rsid w:val="001E71D6"/>
    <w:rsid w:val="001E76D6"/>
    <w:rsid w:val="001E7A4A"/>
    <w:rsid w:val="001F0297"/>
    <w:rsid w:val="001F1B5A"/>
    <w:rsid w:val="001F1E76"/>
    <w:rsid w:val="001F295F"/>
    <w:rsid w:val="001F2D7F"/>
    <w:rsid w:val="001F54AA"/>
    <w:rsid w:val="001F6B15"/>
    <w:rsid w:val="001F6E57"/>
    <w:rsid w:val="001F7567"/>
    <w:rsid w:val="001F7AF1"/>
    <w:rsid w:val="001F7CC5"/>
    <w:rsid w:val="001F7E2E"/>
    <w:rsid w:val="00200654"/>
    <w:rsid w:val="002028AA"/>
    <w:rsid w:val="00203728"/>
    <w:rsid w:val="00204F0D"/>
    <w:rsid w:val="002050CC"/>
    <w:rsid w:val="00205E2D"/>
    <w:rsid w:val="00206759"/>
    <w:rsid w:val="00206853"/>
    <w:rsid w:val="00206D05"/>
    <w:rsid w:val="002076E3"/>
    <w:rsid w:val="00210074"/>
    <w:rsid w:val="002104EB"/>
    <w:rsid w:val="00211396"/>
    <w:rsid w:val="002116AF"/>
    <w:rsid w:val="00212528"/>
    <w:rsid w:val="00212EFF"/>
    <w:rsid w:val="0021416B"/>
    <w:rsid w:val="00214939"/>
    <w:rsid w:val="0021542F"/>
    <w:rsid w:val="00215F8A"/>
    <w:rsid w:val="00217CF0"/>
    <w:rsid w:val="00217CFF"/>
    <w:rsid w:val="0022093C"/>
    <w:rsid w:val="00220AD3"/>
    <w:rsid w:val="00221930"/>
    <w:rsid w:val="002228E9"/>
    <w:rsid w:val="002239FF"/>
    <w:rsid w:val="00224D5C"/>
    <w:rsid w:val="0022545E"/>
    <w:rsid w:val="00226B02"/>
    <w:rsid w:val="002275FD"/>
    <w:rsid w:val="002279AC"/>
    <w:rsid w:val="00231384"/>
    <w:rsid w:val="0023165F"/>
    <w:rsid w:val="002322CE"/>
    <w:rsid w:val="00232381"/>
    <w:rsid w:val="00232C2C"/>
    <w:rsid w:val="00232F57"/>
    <w:rsid w:val="00232FD9"/>
    <w:rsid w:val="002337D9"/>
    <w:rsid w:val="002337FE"/>
    <w:rsid w:val="00234185"/>
    <w:rsid w:val="00234190"/>
    <w:rsid w:val="0023542C"/>
    <w:rsid w:val="00236218"/>
    <w:rsid w:val="00236536"/>
    <w:rsid w:val="00236EA1"/>
    <w:rsid w:val="00240299"/>
    <w:rsid w:val="00240DBA"/>
    <w:rsid w:val="00241A83"/>
    <w:rsid w:val="00242840"/>
    <w:rsid w:val="00242965"/>
    <w:rsid w:val="00243314"/>
    <w:rsid w:val="00244B4F"/>
    <w:rsid w:val="002464E4"/>
    <w:rsid w:val="00247140"/>
    <w:rsid w:val="002477DB"/>
    <w:rsid w:val="0025065E"/>
    <w:rsid w:val="0025240E"/>
    <w:rsid w:val="00254503"/>
    <w:rsid w:val="0025452D"/>
    <w:rsid w:val="00254972"/>
    <w:rsid w:val="00256240"/>
    <w:rsid w:val="0025650F"/>
    <w:rsid w:val="002572F5"/>
    <w:rsid w:val="00257666"/>
    <w:rsid w:val="00257780"/>
    <w:rsid w:val="0026074B"/>
    <w:rsid w:val="00262516"/>
    <w:rsid w:val="002628FC"/>
    <w:rsid w:val="002648FA"/>
    <w:rsid w:val="00265194"/>
    <w:rsid w:val="002661F1"/>
    <w:rsid w:val="00266F23"/>
    <w:rsid w:val="0026704F"/>
    <w:rsid w:val="002708D7"/>
    <w:rsid w:val="00270BAB"/>
    <w:rsid w:val="002715CB"/>
    <w:rsid w:val="00271C55"/>
    <w:rsid w:val="00273BD0"/>
    <w:rsid w:val="00275629"/>
    <w:rsid w:val="00275A0C"/>
    <w:rsid w:val="00275D8E"/>
    <w:rsid w:val="0027681F"/>
    <w:rsid w:val="00276AE5"/>
    <w:rsid w:val="0027799A"/>
    <w:rsid w:val="00280F80"/>
    <w:rsid w:val="0028106F"/>
    <w:rsid w:val="00284B52"/>
    <w:rsid w:val="0028712F"/>
    <w:rsid w:val="00287CB1"/>
    <w:rsid w:val="00290D31"/>
    <w:rsid w:val="002912BD"/>
    <w:rsid w:val="00291364"/>
    <w:rsid w:val="00291CD6"/>
    <w:rsid w:val="002920C6"/>
    <w:rsid w:val="00292405"/>
    <w:rsid w:val="0029306F"/>
    <w:rsid w:val="00295AD3"/>
    <w:rsid w:val="00295BB5"/>
    <w:rsid w:val="00297794"/>
    <w:rsid w:val="002A12A7"/>
    <w:rsid w:val="002A1DBF"/>
    <w:rsid w:val="002A257C"/>
    <w:rsid w:val="002A36B5"/>
    <w:rsid w:val="002A370A"/>
    <w:rsid w:val="002A47B4"/>
    <w:rsid w:val="002A4882"/>
    <w:rsid w:val="002A53CA"/>
    <w:rsid w:val="002A74D0"/>
    <w:rsid w:val="002B0DA8"/>
    <w:rsid w:val="002B1B25"/>
    <w:rsid w:val="002B53E3"/>
    <w:rsid w:val="002B59F4"/>
    <w:rsid w:val="002B5CC6"/>
    <w:rsid w:val="002B7A9D"/>
    <w:rsid w:val="002C17C9"/>
    <w:rsid w:val="002C3163"/>
    <w:rsid w:val="002C3D4D"/>
    <w:rsid w:val="002C436A"/>
    <w:rsid w:val="002C62C7"/>
    <w:rsid w:val="002C657B"/>
    <w:rsid w:val="002D0364"/>
    <w:rsid w:val="002D2390"/>
    <w:rsid w:val="002D3D55"/>
    <w:rsid w:val="002D473F"/>
    <w:rsid w:val="002D5AB2"/>
    <w:rsid w:val="002D612F"/>
    <w:rsid w:val="002D61FD"/>
    <w:rsid w:val="002D69D1"/>
    <w:rsid w:val="002D6B81"/>
    <w:rsid w:val="002E0190"/>
    <w:rsid w:val="002E27E7"/>
    <w:rsid w:val="002E2CD3"/>
    <w:rsid w:val="002E4F7F"/>
    <w:rsid w:val="002E5D7C"/>
    <w:rsid w:val="002E6773"/>
    <w:rsid w:val="002E6887"/>
    <w:rsid w:val="002E6A59"/>
    <w:rsid w:val="002E7C80"/>
    <w:rsid w:val="002F015E"/>
    <w:rsid w:val="002F051A"/>
    <w:rsid w:val="002F08CA"/>
    <w:rsid w:val="002F0A03"/>
    <w:rsid w:val="002F0AA7"/>
    <w:rsid w:val="002F13F5"/>
    <w:rsid w:val="002F188B"/>
    <w:rsid w:val="002F1D8C"/>
    <w:rsid w:val="002F1DF9"/>
    <w:rsid w:val="002F5DA5"/>
    <w:rsid w:val="002F6FD9"/>
    <w:rsid w:val="002F6FE0"/>
    <w:rsid w:val="002F7B86"/>
    <w:rsid w:val="00300E42"/>
    <w:rsid w:val="00301074"/>
    <w:rsid w:val="00301BD4"/>
    <w:rsid w:val="00304607"/>
    <w:rsid w:val="00305088"/>
    <w:rsid w:val="00305A69"/>
    <w:rsid w:val="00306556"/>
    <w:rsid w:val="003071A5"/>
    <w:rsid w:val="00310E61"/>
    <w:rsid w:val="003127CF"/>
    <w:rsid w:val="00312EC7"/>
    <w:rsid w:val="003133D2"/>
    <w:rsid w:val="003148F6"/>
    <w:rsid w:val="00314C98"/>
    <w:rsid w:val="00322665"/>
    <w:rsid w:val="003226C0"/>
    <w:rsid w:val="00322E2F"/>
    <w:rsid w:val="00323A66"/>
    <w:rsid w:val="00323B83"/>
    <w:rsid w:val="00323C93"/>
    <w:rsid w:val="00323FB6"/>
    <w:rsid w:val="003269D8"/>
    <w:rsid w:val="00326B51"/>
    <w:rsid w:val="00326BE8"/>
    <w:rsid w:val="00327792"/>
    <w:rsid w:val="00327B5A"/>
    <w:rsid w:val="003308E0"/>
    <w:rsid w:val="00335DEB"/>
    <w:rsid w:val="003364CF"/>
    <w:rsid w:val="00337A4F"/>
    <w:rsid w:val="0034033C"/>
    <w:rsid w:val="00342390"/>
    <w:rsid w:val="003424B3"/>
    <w:rsid w:val="0034611F"/>
    <w:rsid w:val="00346B69"/>
    <w:rsid w:val="00346DBD"/>
    <w:rsid w:val="003475DE"/>
    <w:rsid w:val="00347807"/>
    <w:rsid w:val="00347B5E"/>
    <w:rsid w:val="00350AE3"/>
    <w:rsid w:val="00352E82"/>
    <w:rsid w:val="0035351C"/>
    <w:rsid w:val="00353814"/>
    <w:rsid w:val="00353FFB"/>
    <w:rsid w:val="003549E2"/>
    <w:rsid w:val="00354FD5"/>
    <w:rsid w:val="00354FFD"/>
    <w:rsid w:val="00356771"/>
    <w:rsid w:val="003601E5"/>
    <w:rsid w:val="00361D3F"/>
    <w:rsid w:val="00364208"/>
    <w:rsid w:val="00364960"/>
    <w:rsid w:val="00364AB1"/>
    <w:rsid w:val="00364D9A"/>
    <w:rsid w:val="00373201"/>
    <w:rsid w:val="00373A60"/>
    <w:rsid w:val="00374F02"/>
    <w:rsid w:val="00375A48"/>
    <w:rsid w:val="0037616D"/>
    <w:rsid w:val="003772BF"/>
    <w:rsid w:val="00377E0E"/>
    <w:rsid w:val="003800EF"/>
    <w:rsid w:val="003804CD"/>
    <w:rsid w:val="003818CF"/>
    <w:rsid w:val="00381975"/>
    <w:rsid w:val="003824B0"/>
    <w:rsid w:val="00382DE0"/>
    <w:rsid w:val="0038368D"/>
    <w:rsid w:val="00384184"/>
    <w:rsid w:val="00384A82"/>
    <w:rsid w:val="0038578E"/>
    <w:rsid w:val="00385990"/>
    <w:rsid w:val="00386F9E"/>
    <w:rsid w:val="003875B4"/>
    <w:rsid w:val="0038793D"/>
    <w:rsid w:val="00387C5F"/>
    <w:rsid w:val="00391DC5"/>
    <w:rsid w:val="00392DAE"/>
    <w:rsid w:val="003932F8"/>
    <w:rsid w:val="00393942"/>
    <w:rsid w:val="0039532A"/>
    <w:rsid w:val="0039601E"/>
    <w:rsid w:val="00397808"/>
    <w:rsid w:val="003A341C"/>
    <w:rsid w:val="003A40BE"/>
    <w:rsid w:val="003A4F9C"/>
    <w:rsid w:val="003A530B"/>
    <w:rsid w:val="003A5578"/>
    <w:rsid w:val="003A59A0"/>
    <w:rsid w:val="003B0C66"/>
    <w:rsid w:val="003B1468"/>
    <w:rsid w:val="003B1CFD"/>
    <w:rsid w:val="003B3314"/>
    <w:rsid w:val="003B5705"/>
    <w:rsid w:val="003B593E"/>
    <w:rsid w:val="003B61A0"/>
    <w:rsid w:val="003B66C9"/>
    <w:rsid w:val="003C062F"/>
    <w:rsid w:val="003C1804"/>
    <w:rsid w:val="003C39C1"/>
    <w:rsid w:val="003C4422"/>
    <w:rsid w:val="003C4466"/>
    <w:rsid w:val="003C44F9"/>
    <w:rsid w:val="003C4576"/>
    <w:rsid w:val="003C6052"/>
    <w:rsid w:val="003C6072"/>
    <w:rsid w:val="003C66FF"/>
    <w:rsid w:val="003C672B"/>
    <w:rsid w:val="003C7B12"/>
    <w:rsid w:val="003D2014"/>
    <w:rsid w:val="003D2892"/>
    <w:rsid w:val="003D371F"/>
    <w:rsid w:val="003D5843"/>
    <w:rsid w:val="003D5949"/>
    <w:rsid w:val="003D6914"/>
    <w:rsid w:val="003D6ACD"/>
    <w:rsid w:val="003D6E7F"/>
    <w:rsid w:val="003D78D5"/>
    <w:rsid w:val="003E0B12"/>
    <w:rsid w:val="003E17A0"/>
    <w:rsid w:val="003E58C2"/>
    <w:rsid w:val="003E64BD"/>
    <w:rsid w:val="003E69B2"/>
    <w:rsid w:val="003E6BF7"/>
    <w:rsid w:val="003E71C0"/>
    <w:rsid w:val="003E73CB"/>
    <w:rsid w:val="003F0254"/>
    <w:rsid w:val="003F0CC4"/>
    <w:rsid w:val="003F302B"/>
    <w:rsid w:val="003F4E4A"/>
    <w:rsid w:val="003F5DFB"/>
    <w:rsid w:val="003F5E8E"/>
    <w:rsid w:val="003F5F56"/>
    <w:rsid w:val="003F7D67"/>
    <w:rsid w:val="00401FCE"/>
    <w:rsid w:val="00402D14"/>
    <w:rsid w:val="00405153"/>
    <w:rsid w:val="00405F2A"/>
    <w:rsid w:val="004063BE"/>
    <w:rsid w:val="00406EF7"/>
    <w:rsid w:val="00411387"/>
    <w:rsid w:val="00412EEA"/>
    <w:rsid w:val="00415418"/>
    <w:rsid w:val="00416108"/>
    <w:rsid w:val="0041633C"/>
    <w:rsid w:val="00416F25"/>
    <w:rsid w:val="0042041B"/>
    <w:rsid w:val="00420577"/>
    <w:rsid w:val="00420E11"/>
    <w:rsid w:val="00425775"/>
    <w:rsid w:val="00427655"/>
    <w:rsid w:val="00427E26"/>
    <w:rsid w:val="004314D4"/>
    <w:rsid w:val="00431BE1"/>
    <w:rsid w:val="00434A62"/>
    <w:rsid w:val="00434F5D"/>
    <w:rsid w:val="004354CA"/>
    <w:rsid w:val="00435B53"/>
    <w:rsid w:val="0043601B"/>
    <w:rsid w:val="004365F1"/>
    <w:rsid w:val="00442103"/>
    <w:rsid w:val="00443981"/>
    <w:rsid w:val="00443FAE"/>
    <w:rsid w:val="00444776"/>
    <w:rsid w:val="0044730B"/>
    <w:rsid w:val="004475AF"/>
    <w:rsid w:val="0045059A"/>
    <w:rsid w:val="00453691"/>
    <w:rsid w:val="00453A53"/>
    <w:rsid w:val="00455E41"/>
    <w:rsid w:val="00457D36"/>
    <w:rsid w:val="00457FA6"/>
    <w:rsid w:val="00460B61"/>
    <w:rsid w:val="00463019"/>
    <w:rsid w:val="00463154"/>
    <w:rsid w:val="0046334A"/>
    <w:rsid w:val="00463D42"/>
    <w:rsid w:val="0046403D"/>
    <w:rsid w:val="004651CB"/>
    <w:rsid w:val="004659CB"/>
    <w:rsid w:val="00465DB1"/>
    <w:rsid w:val="004662FA"/>
    <w:rsid w:val="00466F0F"/>
    <w:rsid w:val="0047050F"/>
    <w:rsid w:val="004721AB"/>
    <w:rsid w:val="0047338C"/>
    <w:rsid w:val="0047372F"/>
    <w:rsid w:val="0047464C"/>
    <w:rsid w:val="00475079"/>
    <w:rsid w:val="0047782E"/>
    <w:rsid w:val="0048002F"/>
    <w:rsid w:val="00483CDB"/>
    <w:rsid w:val="00483CF3"/>
    <w:rsid w:val="00484213"/>
    <w:rsid w:val="00485704"/>
    <w:rsid w:val="00485786"/>
    <w:rsid w:val="00485BE0"/>
    <w:rsid w:val="00486131"/>
    <w:rsid w:val="00486A26"/>
    <w:rsid w:val="004874B5"/>
    <w:rsid w:val="0048792B"/>
    <w:rsid w:val="00490166"/>
    <w:rsid w:val="004927E0"/>
    <w:rsid w:val="00492954"/>
    <w:rsid w:val="00492F4E"/>
    <w:rsid w:val="00493038"/>
    <w:rsid w:val="00493752"/>
    <w:rsid w:val="00495FF9"/>
    <w:rsid w:val="004A094E"/>
    <w:rsid w:val="004A1C18"/>
    <w:rsid w:val="004A1C28"/>
    <w:rsid w:val="004A2762"/>
    <w:rsid w:val="004A368B"/>
    <w:rsid w:val="004A3AEE"/>
    <w:rsid w:val="004A3D0B"/>
    <w:rsid w:val="004A4A30"/>
    <w:rsid w:val="004A55C2"/>
    <w:rsid w:val="004A7086"/>
    <w:rsid w:val="004A70D8"/>
    <w:rsid w:val="004B0269"/>
    <w:rsid w:val="004B2EB3"/>
    <w:rsid w:val="004B44FA"/>
    <w:rsid w:val="004B5E66"/>
    <w:rsid w:val="004B6EC9"/>
    <w:rsid w:val="004C00F5"/>
    <w:rsid w:val="004C088B"/>
    <w:rsid w:val="004C245B"/>
    <w:rsid w:val="004C31E8"/>
    <w:rsid w:val="004C329C"/>
    <w:rsid w:val="004C3D09"/>
    <w:rsid w:val="004C411E"/>
    <w:rsid w:val="004C49CB"/>
    <w:rsid w:val="004C5DE0"/>
    <w:rsid w:val="004C6333"/>
    <w:rsid w:val="004C6623"/>
    <w:rsid w:val="004C7D5D"/>
    <w:rsid w:val="004D0B77"/>
    <w:rsid w:val="004D0CFF"/>
    <w:rsid w:val="004D0EC6"/>
    <w:rsid w:val="004D2726"/>
    <w:rsid w:val="004D29DC"/>
    <w:rsid w:val="004D3CDE"/>
    <w:rsid w:val="004D44F7"/>
    <w:rsid w:val="004D46EB"/>
    <w:rsid w:val="004D4FA0"/>
    <w:rsid w:val="004D5198"/>
    <w:rsid w:val="004D58B3"/>
    <w:rsid w:val="004D735B"/>
    <w:rsid w:val="004D73E7"/>
    <w:rsid w:val="004D7C37"/>
    <w:rsid w:val="004E045A"/>
    <w:rsid w:val="004E0A0F"/>
    <w:rsid w:val="004E1BC7"/>
    <w:rsid w:val="004E33FA"/>
    <w:rsid w:val="004E3D21"/>
    <w:rsid w:val="004E626C"/>
    <w:rsid w:val="004E6F0D"/>
    <w:rsid w:val="004F1B08"/>
    <w:rsid w:val="004F1BCF"/>
    <w:rsid w:val="004F1E9E"/>
    <w:rsid w:val="004F20D5"/>
    <w:rsid w:val="004F2B17"/>
    <w:rsid w:val="004F3FF6"/>
    <w:rsid w:val="004F5850"/>
    <w:rsid w:val="004F6023"/>
    <w:rsid w:val="004F6205"/>
    <w:rsid w:val="004F66FE"/>
    <w:rsid w:val="004F6ED8"/>
    <w:rsid w:val="004F7B0B"/>
    <w:rsid w:val="005010A6"/>
    <w:rsid w:val="00501E16"/>
    <w:rsid w:val="00502179"/>
    <w:rsid w:val="00503321"/>
    <w:rsid w:val="00504823"/>
    <w:rsid w:val="00504F5E"/>
    <w:rsid w:val="005077B9"/>
    <w:rsid w:val="00510079"/>
    <w:rsid w:val="00510288"/>
    <w:rsid w:val="005108C1"/>
    <w:rsid w:val="00511473"/>
    <w:rsid w:val="00513176"/>
    <w:rsid w:val="00513B92"/>
    <w:rsid w:val="00513BD6"/>
    <w:rsid w:val="00513D3F"/>
    <w:rsid w:val="005147B1"/>
    <w:rsid w:val="0051550E"/>
    <w:rsid w:val="005162E2"/>
    <w:rsid w:val="005173E4"/>
    <w:rsid w:val="00517C46"/>
    <w:rsid w:val="00522595"/>
    <w:rsid w:val="00522E85"/>
    <w:rsid w:val="005234C8"/>
    <w:rsid w:val="005248E7"/>
    <w:rsid w:val="00524FDC"/>
    <w:rsid w:val="005256A2"/>
    <w:rsid w:val="00526348"/>
    <w:rsid w:val="00526C96"/>
    <w:rsid w:val="00526CCF"/>
    <w:rsid w:val="005277FE"/>
    <w:rsid w:val="00531480"/>
    <w:rsid w:val="0053219C"/>
    <w:rsid w:val="0053387B"/>
    <w:rsid w:val="00535025"/>
    <w:rsid w:val="0053625A"/>
    <w:rsid w:val="00537650"/>
    <w:rsid w:val="00540C58"/>
    <w:rsid w:val="0054101D"/>
    <w:rsid w:val="00542B79"/>
    <w:rsid w:val="00545454"/>
    <w:rsid w:val="00545D97"/>
    <w:rsid w:val="005465FC"/>
    <w:rsid w:val="005507DB"/>
    <w:rsid w:val="00550C7F"/>
    <w:rsid w:val="00551AE4"/>
    <w:rsid w:val="00551AED"/>
    <w:rsid w:val="00553DDB"/>
    <w:rsid w:val="00554D11"/>
    <w:rsid w:val="005562F0"/>
    <w:rsid w:val="00556BE5"/>
    <w:rsid w:val="0055725F"/>
    <w:rsid w:val="00560857"/>
    <w:rsid w:val="0056178F"/>
    <w:rsid w:val="005627B2"/>
    <w:rsid w:val="005628EA"/>
    <w:rsid w:val="00563778"/>
    <w:rsid w:val="005641EF"/>
    <w:rsid w:val="00564ECF"/>
    <w:rsid w:val="005657F0"/>
    <w:rsid w:val="00566657"/>
    <w:rsid w:val="00566886"/>
    <w:rsid w:val="00567FA6"/>
    <w:rsid w:val="00570E8A"/>
    <w:rsid w:val="00570F94"/>
    <w:rsid w:val="00572B9C"/>
    <w:rsid w:val="005730CE"/>
    <w:rsid w:val="005731A9"/>
    <w:rsid w:val="0057388F"/>
    <w:rsid w:val="005740E0"/>
    <w:rsid w:val="005749C7"/>
    <w:rsid w:val="00574FF9"/>
    <w:rsid w:val="00575020"/>
    <w:rsid w:val="005751F7"/>
    <w:rsid w:val="00575903"/>
    <w:rsid w:val="00576083"/>
    <w:rsid w:val="0057612D"/>
    <w:rsid w:val="00577849"/>
    <w:rsid w:val="00580CB3"/>
    <w:rsid w:val="00580EDF"/>
    <w:rsid w:val="0058186D"/>
    <w:rsid w:val="00584E0F"/>
    <w:rsid w:val="00585D0D"/>
    <w:rsid w:val="005869F4"/>
    <w:rsid w:val="00590876"/>
    <w:rsid w:val="00590D14"/>
    <w:rsid w:val="00591AA8"/>
    <w:rsid w:val="0059300C"/>
    <w:rsid w:val="00593B6E"/>
    <w:rsid w:val="00594DC9"/>
    <w:rsid w:val="00595163"/>
    <w:rsid w:val="00596F7B"/>
    <w:rsid w:val="005970FF"/>
    <w:rsid w:val="005A107D"/>
    <w:rsid w:val="005A1F6D"/>
    <w:rsid w:val="005A1FF4"/>
    <w:rsid w:val="005A29AA"/>
    <w:rsid w:val="005A384F"/>
    <w:rsid w:val="005A40D2"/>
    <w:rsid w:val="005A4934"/>
    <w:rsid w:val="005A4EB6"/>
    <w:rsid w:val="005A4F48"/>
    <w:rsid w:val="005A52B1"/>
    <w:rsid w:val="005A5569"/>
    <w:rsid w:val="005A55D3"/>
    <w:rsid w:val="005A561A"/>
    <w:rsid w:val="005A58BA"/>
    <w:rsid w:val="005A598D"/>
    <w:rsid w:val="005A5D31"/>
    <w:rsid w:val="005A5F20"/>
    <w:rsid w:val="005A7AC2"/>
    <w:rsid w:val="005B15EA"/>
    <w:rsid w:val="005B1BDD"/>
    <w:rsid w:val="005B2553"/>
    <w:rsid w:val="005B3543"/>
    <w:rsid w:val="005B3894"/>
    <w:rsid w:val="005B3B1C"/>
    <w:rsid w:val="005B3E85"/>
    <w:rsid w:val="005B3FD5"/>
    <w:rsid w:val="005B4C88"/>
    <w:rsid w:val="005B76B2"/>
    <w:rsid w:val="005C148F"/>
    <w:rsid w:val="005C74F9"/>
    <w:rsid w:val="005D1103"/>
    <w:rsid w:val="005D18A2"/>
    <w:rsid w:val="005D1946"/>
    <w:rsid w:val="005D1B6F"/>
    <w:rsid w:val="005D3B42"/>
    <w:rsid w:val="005D3BA1"/>
    <w:rsid w:val="005D3EC3"/>
    <w:rsid w:val="005D46F1"/>
    <w:rsid w:val="005D4BFD"/>
    <w:rsid w:val="005D6996"/>
    <w:rsid w:val="005D7012"/>
    <w:rsid w:val="005E0031"/>
    <w:rsid w:val="005E01AC"/>
    <w:rsid w:val="005E03A6"/>
    <w:rsid w:val="005E0AF0"/>
    <w:rsid w:val="005E0F85"/>
    <w:rsid w:val="005E15C6"/>
    <w:rsid w:val="005E1E57"/>
    <w:rsid w:val="005E2A9B"/>
    <w:rsid w:val="005E3A66"/>
    <w:rsid w:val="005E3B14"/>
    <w:rsid w:val="005E3B25"/>
    <w:rsid w:val="005E3D77"/>
    <w:rsid w:val="005E407C"/>
    <w:rsid w:val="005E4755"/>
    <w:rsid w:val="005E7CAC"/>
    <w:rsid w:val="005F12F2"/>
    <w:rsid w:val="005F1D3B"/>
    <w:rsid w:val="005F1E54"/>
    <w:rsid w:val="005F3A2C"/>
    <w:rsid w:val="005F4028"/>
    <w:rsid w:val="005F61A2"/>
    <w:rsid w:val="005F6E4E"/>
    <w:rsid w:val="005F7053"/>
    <w:rsid w:val="005F7D5A"/>
    <w:rsid w:val="00601CE6"/>
    <w:rsid w:val="00602539"/>
    <w:rsid w:val="00602EC2"/>
    <w:rsid w:val="006041F8"/>
    <w:rsid w:val="00604D8F"/>
    <w:rsid w:val="00605E8F"/>
    <w:rsid w:val="00605F94"/>
    <w:rsid w:val="006065A8"/>
    <w:rsid w:val="006069D5"/>
    <w:rsid w:val="00607BE8"/>
    <w:rsid w:val="006134ED"/>
    <w:rsid w:val="0061359E"/>
    <w:rsid w:val="00614A24"/>
    <w:rsid w:val="00616CB6"/>
    <w:rsid w:val="00617C76"/>
    <w:rsid w:val="00620E89"/>
    <w:rsid w:val="00622175"/>
    <w:rsid w:val="00622311"/>
    <w:rsid w:val="006224C1"/>
    <w:rsid w:val="0062258E"/>
    <w:rsid w:val="006234FF"/>
    <w:rsid w:val="00623D13"/>
    <w:rsid w:val="00623DF3"/>
    <w:rsid w:val="00624564"/>
    <w:rsid w:val="006247D7"/>
    <w:rsid w:val="00624FE0"/>
    <w:rsid w:val="006254BE"/>
    <w:rsid w:val="0062576F"/>
    <w:rsid w:val="00626CCC"/>
    <w:rsid w:val="00627D4C"/>
    <w:rsid w:val="00630C1D"/>
    <w:rsid w:val="00630C74"/>
    <w:rsid w:val="00632DCE"/>
    <w:rsid w:val="0063395C"/>
    <w:rsid w:val="00634243"/>
    <w:rsid w:val="00635D05"/>
    <w:rsid w:val="00636B41"/>
    <w:rsid w:val="00637BAA"/>
    <w:rsid w:val="00640101"/>
    <w:rsid w:val="006401B1"/>
    <w:rsid w:val="006403A0"/>
    <w:rsid w:val="00640B5D"/>
    <w:rsid w:val="006426F3"/>
    <w:rsid w:val="00643379"/>
    <w:rsid w:val="0064391F"/>
    <w:rsid w:val="0064400B"/>
    <w:rsid w:val="00644012"/>
    <w:rsid w:val="00644F13"/>
    <w:rsid w:val="00645A51"/>
    <w:rsid w:val="00646531"/>
    <w:rsid w:val="00646711"/>
    <w:rsid w:val="00646C8D"/>
    <w:rsid w:val="006476B4"/>
    <w:rsid w:val="0064797B"/>
    <w:rsid w:val="00650684"/>
    <w:rsid w:val="006508A5"/>
    <w:rsid w:val="00652F9F"/>
    <w:rsid w:val="0065367C"/>
    <w:rsid w:val="0065504A"/>
    <w:rsid w:val="00655D80"/>
    <w:rsid w:val="00655FC5"/>
    <w:rsid w:val="0065653F"/>
    <w:rsid w:val="006567CD"/>
    <w:rsid w:val="00656B9F"/>
    <w:rsid w:val="00661215"/>
    <w:rsid w:val="006635D5"/>
    <w:rsid w:val="00663E0B"/>
    <w:rsid w:val="00663EF1"/>
    <w:rsid w:val="00664ADE"/>
    <w:rsid w:val="006650EA"/>
    <w:rsid w:val="00666A1B"/>
    <w:rsid w:val="00667399"/>
    <w:rsid w:val="00670DE0"/>
    <w:rsid w:val="00673D70"/>
    <w:rsid w:val="006743D3"/>
    <w:rsid w:val="00675C81"/>
    <w:rsid w:val="00676AB6"/>
    <w:rsid w:val="00676D99"/>
    <w:rsid w:val="0067776F"/>
    <w:rsid w:val="00677D90"/>
    <w:rsid w:val="00677E54"/>
    <w:rsid w:val="006803B7"/>
    <w:rsid w:val="0068067B"/>
    <w:rsid w:val="00681A42"/>
    <w:rsid w:val="006821A6"/>
    <w:rsid w:val="006827F4"/>
    <w:rsid w:val="006829D7"/>
    <w:rsid w:val="00682DD0"/>
    <w:rsid w:val="0068308B"/>
    <w:rsid w:val="0068325B"/>
    <w:rsid w:val="00685914"/>
    <w:rsid w:val="00687A79"/>
    <w:rsid w:val="00691741"/>
    <w:rsid w:val="006922B0"/>
    <w:rsid w:val="006946A5"/>
    <w:rsid w:val="0069494D"/>
    <w:rsid w:val="00696818"/>
    <w:rsid w:val="006A05A6"/>
    <w:rsid w:val="006A0727"/>
    <w:rsid w:val="006A284A"/>
    <w:rsid w:val="006A3121"/>
    <w:rsid w:val="006A458F"/>
    <w:rsid w:val="006A7CF2"/>
    <w:rsid w:val="006A7F3A"/>
    <w:rsid w:val="006B0EC2"/>
    <w:rsid w:val="006B2955"/>
    <w:rsid w:val="006B3092"/>
    <w:rsid w:val="006B38D0"/>
    <w:rsid w:val="006B3A37"/>
    <w:rsid w:val="006B43A4"/>
    <w:rsid w:val="006B5057"/>
    <w:rsid w:val="006B701C"/>
    <w:rsid w:val="006B7162"/>
    <w:rsid w:val="006B74F8"/>
    <w:rsid w:val="006C0314"/>
    <w:rsid w:val="006C0453"/>
    <w:rsid w:val="006C13F6"/>
    <w:rsid w:val="006C1A77"/>
    <w:rsid w:val="006C482F"/>
    <w:rsid w:val="006C674C"/>
    <w:rsid w:val="006C6AB6"/>
    <w:rsid w:val="006C75E7"/>
    <w:rsid w:val="006C7BFA"/>
    <w:rsid w:val="006D0549"/>
    <w:rsid w:val="006D070C"/>
    <w:rsid w:val="006D257B"/>
    <w:rsid w:val="006D2797"/>
    <w:rsid w:val="006D3ED4"/>
    <w:rsid w:val="006D6107"/>
    <w:rsid w:val="006D64EC"/>
    <w:rsid w:val="006D6FCC"/>
    <w:rsid w:val="006D7164"/>
    <w:rsid w:val="006D7C9D"/>
    <w:rsid w:val="006E0150"/>
    <w:rsid w:val="006E0A27"/>
    <w:rsid w:val="006E521F"/>
    <w:rsid w:val="006E58DD"/>
    <w:rsid w:val="006E70C7"/>
    <w:rsid w:val="006E7D76"/>
    <w:rsid w:val="006F0CA8"/>
    <w:rsid w:val="006F1E27"/>
    <w:rsid w:val="006F237D"/>
    <w:rsid w:val="006F3ACA"/>
    <w:rsid w:val="006F3FB0"/>
    <w:rsid w:val="006F406A"/>
    <w:rsid w:val="006F43FD"/>
    <w:rsid w:val="006F44DE"/>
    <w:rsid w:val="006F4665"/>
    <w:rsid w:val="006F46C2"/>
    <w:rsid w:val="006F4820"/>
    <w:rsid w:val="006F487F"/>
    <w:rsid w:val="006F548E"/>
    <w:rsid w:val="006F599D"/>
    <w:rsid w:val="006F5FF2"/>
    <w:rsid w:val="006F6217"/>
    <w:rsid w:val="006F69F9"/>
    <w:rsid w:val="006F6BD8"/>
    <w:rsid w:val="006F6C77"/>
    <w:rsid w:val="006F71BB"/>
    <w:rsid w:val="006F7492"/>
    <w:rsid w:val="007032F8"/>
    <w:rsid w:val="0070380F"/>
    <w:rsid w:val="00703B65"/>
    <w:rsid w:val="00704738"/>
    <w:rsid w:val="007055EE"/>
    <w:rsid w:val="00705D0F"/>
    <w:rsid w:val="00706C7E"/>
    <w:rsid w:val="00707175"/>
    <w:rsid w:val="007073F8"/>
    <w:rsid w:val="0071117C"/>
    <w:rsid w:val="0071124E"/>
    <w:rsid w:val="007130FE"/>
    <w:rsid w:val="00713A85"/>
    <w:rsid w:val="00714485"/>
    <w:rsid w:val="00714D4E"/>
    <w:rsid w:val="007170B2"/>
    <w:rsid w:val="00717182"/>
    <w:rsid w:val="00720D74"/>
    <w:rsid w:val="0072152C"/>
    <w:rsid w:val="0072290D"/>
    <w:rsid w:val="007249F8"/>
    <w:rsid w:val="00726EEC"/>
    <w:rsid w:val="007303B2"/>
    <w:rsid w:val="00730555"/>
    <w:rsid w:val="00732BC5"/>
    <w:rsid w:val="00733FE8"/>
    <w:rsid w:val="007342FD"/>
    <w:rsid w:val="00734FC1"/>
    <w:rsid w:val="007354EC"/>
    <w:rsid w:val="00735B16"/>
    <w:rsid w:val="00736531"/>
    <w:rsid w:val="00737699"/>
    <w:rsid w:val="00737961"/>
    <w:rsid w:val="007379AA"/>
    <w:rsid w:val="00740285"/>
    <w:rsid w:val="0074061A"/>
    <w:rsid w:val="00740660"/>
    <w:rsid w:val="007437EE"/>
    <w:rsid w:val="00743F1D"/>
    <w:rsid w:val="00746FDD"/>
    <w:rsid w:val="00747814"/>
    <w:rsid w:val="00750524"/>
    <w:rsid w:val="00750C75"/>
    <w:rsid w:val="00752633"/>
    <w:rsid w:val="00754425"/>
    <w:rsid w:val="0075508D"/>
    <w:rsid w:val="00755D16"/>
    <w:rsid w:val="00755F6A"/>
    <w:rsid w:val="00755FC1"/>
    <w:rsid w:val="00760FD8"/>
    <w:rsid w:val="00761A78"/>
    <w:rsid w:val="00764328"/>
    <w:rsid w:val="00764365"/>
    <w:rsid w:val="007657E2"/>
    <w:rsid w:val="0076618A"/>
    <w:rsid w:val="00766E61"/>
    <w:rsid w:val="00767268"/>
    <w:rsid w:val="00767A9D"/>
    <w:rsid w:val="00770606"/>
    <w:rsid w:val="00770A0D"/>
    <w:rsid w:val="00770AE8"/>
    <w:rsid w:val="0077262E"/>
    <w:rsid w:val="00774BC2"/>
    <w:rsid w:val="00774EDE"/>
    <w:rsid w:val="007752A7"/>
    <w:rsid w:val="00777165"/>
    <w:rsid w:val="00777ABB"/>
    <w:rsid w:val="00777BC6"/>
    <w:rsid w:val="0078009D"/>
    <w:rsid w:val="00780C32"/>
    <w:rsid w:val="00781D60"/>
    <w:rsid w:val="00783325"/>
    <w:rsid w:val="00783519"/>
    <w:rsid w:val="007835A1"/>
    <w:rsid w:val="0078471C"/>
    <w:rsid w:val="00787D9C"/>
    <w:rsid w:val="00790696"/>
    <w:rsid w:val="00790A74"/>
    <w:rsid w:val="00792792"/>
    <w:rsid w:val="00794401"/>
    <w:rsid w:val="00794C52"/>
    <w:rsid w:val="00797675"/>
    <w:rsid w:val="00797AE1"/>
    <w:rsid w:val="007A074C"/>
    <w:rsid w:val="007A1668"/>
    <w:rsid w:val="007A2F59"/>
    <w:rsid w:val="007A3254"/>
    <w:rsid w:val="007A5BA2"/>
    <w:rsid w:val="007A626C"/>
    <w:rsid w:val="007A7071"/>
    <w:rsid w:val="007A77AA"/>
    <w:rsid w:val="007B04A9"/>
    <w:rsid w:val="007B17F9"/>
    <w:rsid w:val="007B267A"/>
    <w:rsid w:val="007B285A"/>
    <w:rsid w:val="007B29D0"/>
    <w:rsid w:val="007B2F39"/>
    <w:rsid w:val="007B3041"/>
    <w:rsid w:val="007B4EA1"/>
    <w:rsid w:val="007B69C0"/>
    <w:rsid w:val="007B764A"/>
    <w:rsid w:val="007B7A35"/>
    <w:rsid w:val="007B7E22"/>
    <w:rsid w:val="007C1345"/>
    <w:rsid w:val="007C1D76"/>
    <w:rsid w:val="007C1F36"/>
    <w:rsid w:val="007C2C6B"/>
    <w:rsid w:val="007C3A35"/>
    <w:rsid w:val="007C3CFB"/>
    <w:rsid w:val="007C3D14"/>
    <w:rsid w:val="007C48B9"/>
    <w:rsid w:val="007C586B"/>
    <w:rsid w:val="007C6010"/>
    <w:rsid w:val="007C6B1B"/>
    <w:rsid w:val="007D2864"/>
    <w:rsid w:val="007D4172"/>
    <w:rsid w:val="007D5C90"/>
    <w:rsid w:val="007D64B5"/>
    <w:rsid w:val="007D68F2"/>
    <w:rsid w:val="007D70C6"/>
    <w:rsid w:val="007D7512"/>
    <w:rsid w:val="007D7EF5"/>
    <w:rsid w:val="007E0D2D"/>
    <w:rsid w:val="007E30D7"/>
    <w:rsid w:val="007E4E4B"/>
    <w:rsid w:val="007F020B"/>
    <w:rsid w:val="007F1C28"/>
    <w:rsid w:val="007F2368"/>
    <w:rsid w:val="007F44BC"/>
    <w:rsid w:val="007F4D4F"/>
    <w:rsid w:val="007F5AA0"/>
    <w:rsid w:val="007F7B82"/>
    <w:rsid w:val="007F7D9A"/>
    <w:rsid w:val="008007EA"/>
    <w:rsid w:val="0080091A"/>
    <w:rsid w:val="00802352"/>
    <w:rsid w:val="00803B6E"/>
    <w:rsid w:val="00804675"/>
    <w:rsid w:val="00804CEE"/>
    <w:rsid w:val="0080567E"/>
    <w:rsid w:val="00806D49"/>
    <w:rsid w:val="0080742C"/>
    <w:rsid w:val="00807A40"/>
    <w:rsid w:val="00807C46"/>
    <w:rsid w:val="00811169"/>
    <w:rsid w:val="008115FF"/>
    <w:rsid w:val="008129C5"/>
    <w:rsid w:val="00815257"/>
    <w:rsid w:val="00815CF8"/>
    <w:rsid w:val="00816913"/>
    <w:rsid w:val="00817FC7"/>
    <w:rsid w:val="008204F9"/>
    <w:rsid w:val="00820562"/>
    <w:rsid w:val="008206EB"/>
    <w:rsid w:val="0082081D"/>
    <w:rsid w:val="00823F48"/>
    <w:rsid w:val="00824A4F"/>
    <w:rsid w:val="008263D2"/>
    <w:rsid w:val="00826DE4"/>
    <w:rsid w:val="00826F91"/>
    <w:rsid w:val="008305EB"/>
    <w:rsid w:val="008306D9"/>
    <w:rsid w:val="008307D3"/>
    <w:rsid w:val="008307FA"/>
    <w:rsid w:val="008322AF"/>
    <w:rsid w:val="0083379B"/>
    <w:rsid w:val="00833E15"/>
    <w:rsid w:val="008342AE"/>
    <w:rsid w:val="00835923"/>
    <w:rsid w:val="00837756"/>
    <w:rsid w:val="00837F51"/>
    <w:rsid w:val="00840F92"/>
    <w:rsid w:val="008413B4"/>
    <w:rsid w:val="0084473D"/>
    <w:rsid w:val="00846AE9"/>
    <w:rsid w:val="008472DF"/>
    <w:rsid w:val="00847983"/>
    <w:rsid w:val="00847AA7"/>
    <w:rsid w:val="00847B67"/>
    <w:rsid w:val="0085014D"/>
    <w:rsid w:val="00851D5C"/>
    <w:rsid w:val="008541D2"/>
    <w:rsid w:val="008549E7"/>
    <w:rsid w:val="00855CC5"/>
    <w:rsid w:val="00856029"/>
    <w:rsid w:val="008560C3"/>
    <w:rsid w:val="00857684"/>
    <w:rsid w:val="00857D0D"/>
    <w:rsid w:val="008603E4"/>
    <w:rsid w:val="00860E4B"/>
    <w:rsid w:val="00860F27"/>
    <w:rsid w:val="0086207A"/>
    <w:rsid w:val="00862EE5"/>
    <w:rsid w:val="00863625"/>
    <w:rsid w:val="00863775"/>
    <w:rsid w:val="00870279"/>
    <w:rsid w:val="0087077A"/>
    <w:rsid w:val="00870FA9"/>
    <w:rsid w:val="00873078"/>
    <w:rsid w:val="00873F3D"/>
    <w:rsid w:val="00875328"/>
    <w:rsid w:val="00875500"/>
    <w:rsid w:val="0087593F"/>
    <w:rsid w:val="00875E5A"/>
    <w:rsid w:val="008773AF"/>
    <w:rsid w:val="00877D93"/>
    <w:rsid w:val="00877F8C"/>
    <w:rsid w:val="008804B3"/>
    <w:rsid w:val="00880DB5"/>
    <w:rsid w:val="00881493"/>
    <w:rsid w:val="00881CC4"/>
    <w:rsid w:val="00881E91"/>
    <w:rsid w:val="00883412"/>
    <w:rsid w:val="0088645B"/>
    <w:rsid w:val="00886FAC"/>
    <w:rsid w:val="008874B0"/>
    <w:rsid w:val="00887C61"/>
    <w:rsid w:val="008934B5"/>
    <w:rsid w:val="00893661"/>
    <w:rsid w:val="00893834"/>
    <w:rsid w:val="0089401E"/>
    <w:rsid w:val="00894520"/>
    <w:rsid w:val="008951E3"/>
    <w:rsid w:val="00895356"/>
    <w:rsid w:val="008956E3"/>
    <w:rsid w:val="00895AB6"/>
    <w:rsid w:val="00895FC9"/>
    <w:rsid w:val="008A0532"/>
    <w:rsid w:val="008A0996"/>
    <w:rsid w:val="008A15A7"/>
    <w:rsid w:val="008A1750"/>
    <w:rsid w:val="008A1F15"/>
    <w:rsid w:val="008A5908"/>
    <w:rsid w:val="008A6BEB"/>
    <w:rsid w:val="008A70CB"/>
    <w:rsid w:val="008A757B"/>
    <w:rsid w:val="008B0640"/>
    <w:rsid w:val="008B16C4"/>
    <w:rsid w:val="008B1723"/>
    <w:rsid w:val="008B1ABA"/>
    <w:rsid w:val="008B25FB"/>
    <w:rsid w:val="008B4024"/>
    <w:rsid w:val="008B59D8"/>
    <w:rsid w:val="008B63CA"/>
    <w:rsid w:val="008B6A30"/>
    <w:rsid w:val="008B6E1D"/>
    <w:rsid w:val="008C0447"/>
    <w:rsid w:val="008C0A63"/>
    <w:rsid w:val="008C2EAF"/>
    <w:rsid w:val="008C5053"/>
    <w:rsid w:val="008C54FD"/>
    <w:rsid w:val="008C59E9"/>
    <w:rsid w:val="008D2183"/>
    <w:rsid w:val="008D280F"/>
    <w:rsid w:val="008D29BE"/>
    <w:rsid w:val="008D3941"/>
    <w:rsid w:val="008D5153"/>
    <w:rsid w:val="008D52D9"/>
    <w:rsid w:val="008D5EF6"/>
    <w:rsid w:val="008D6708"/>
    <w:rsid w:val="008D76E0"/>
    <w:rsid w:val="008D7828"/>
    <w:rsid w:val="008E149A"/>
    <w:rsid w:val="008E3E6D"/>
    <w:rsid w:val="008E6C73"/>
    <w:rsid w:val="008E73D8"/>
    <w:rsid w:val="008E7AD5"/>
    <w:rsid w:val="008F06B4"/>
    <w:rsid w:val="008F22E3"/>
    <w:rsid w:val="008F23B9"/>
    <w:rsid w:val="008F3418"/>
    <w:rsid w:val="008F3688"/>
    <w:rsid w:val="008F4CFE"/>
    <w:rsid w:val="008F6BCC"/>
    <w:rsid w:val="008F7048"/>
    <w:rsid w:val="008F724D"/>
    <w:rsid w:val="008F7321"/>
    <w:rsid w:val="008F7EBA"/>
    <w:rsid w:val="0090052C"/>
    <w:rsid w:val="0090091E"/>
    <w:rsid w:val="00900BB5"/>
    <w:rsid w:val="0090161E"/>
    <w:rsid w:val="00902931"/>
    <w:rsid w:val="0090360F"/>
    <w:rsid w:val="0090518F"/>
    <w:rsid w:val="00910616"/>
    <w:rsid w:val="00910894"/>
    <w:rsid w:val="00911BD7"/>
    <w:rsid w:val="00911FDE"/>
    <w:rsid w:val="00913A47"/>
    <w:rsid w:val="009148C7"/>
    <w:rsid w:val="00914BC2"/>
    <w:rsid w:val="0091506C"/>
    <w:rsid w:val="009155A9"/>
    <w:rsid w:val="00917991"/>
    <w:rsid w:val="00917E2C"/>
    <w:rsid w:val="009226D3"/>
    <w:rsid w:val="00922EF0"/>
    <w:rsid w:val="009235F1"/>
    <w:rsid w:val="009238EF"/>
    <w:rsid w:val="00925115"/>
    <w:rsid w:val="00925222"/>
    <w:rsid w:val="00925444"/>
    <w:rsid w:val="0092591E"/>
    <w:rsid w:val="0093068D"/>
    <w:rsid w:val="00931288"/>
    <w:rsid w:val="00932608"/>
    <w:rsid w:val="0093443C"/>
    <w:rsid w:val="00934FF7"/>
    <w:rsid w:val="009354B2"/>
    <w:rsid w:val="00935778"/>
    <w:rsid w:val="0093782B"/>
    <w:rsid w:val="00941103"/>
    <w:rsid w:val="00941D6F"/>
    <w:rsid w:val="00942018"/>
    <w:rsid w:val="009432F4"/>
    <w:rsid w:val="00944D71"/>
    <w:rsid w:val="00947353"/>
    <w:rsid w:val="00950BFF"/>
    <w:rsid w:val="0095117F"/>
    <w:rsid w:val="009515EA"/>
    <w:rsid w:val="00954C6C"/>
    <w:rsid w:val="0095506A"/>
    <w:rsid w:val="0095585E"/>
    <w:rsid w:val="00955C25"/>
    <w:rsid w:val="00956CA5"/>
    <w:rsid w:val="00957BC4"/>
    <w:rsid w:val="00960EF1"/>
    <w:rsid w:val="009625B0"/>
    <w:rsid w:val="00962BFC"/>
    <w:rsid w:val="00964B3A"/>
    <w:rsid w:val="00965133"/>
    <w:rsid w:val="00965C82"/>
    <w:rsid w:val="0096639E"/>
    <w:rsid w:val="0097001E"/>
    <w:rsid w:val="009703AD"/>
    <w:rsid w:val="0097077D"/>
    <w:rsid w:val="00973512"/>
    <w:rsid w:val="0097662F"/>
    <w:rsid w:val="0097702D"/>
    <w:rsid w:val="00977B70"/>
    <w:rsid w:val="0098060F"/>
    <w:rsid w:val="0098140A"/>
    <w:rsid w:val="009839D8"/>
    <w:rsid w:val="00983C85"/>
    <w:rsid w:val="00984481"/>
    <w:rsid w:val="00984F0F"/>
    <w:rsid w:val="0098512A"/>
    <w:rsid w:val="00987049"/>
    <w:rsid w:val="00987B96"/>
    <w:rsid w:val="0099160E"/>
    <w:rsid w:val="00991677"/>
    <w:rsid w:val="00991C05"/>
    <w:rsid w:val="00991FDD"/>
    <w:rsid w:val="00992BCD"/>
    <w:rsid w:val="00993533"/>
    <w:rsid w:val="009939C7"/>
    <w:rsid w:val="00993E88"/>
    <w:rsid w:val="00995C1C"/>
    <w:rsid w:val="00996481"/>
    <w:rsid w:val="00997818"/>
    <w:rsid w:val="009A0591"/>
    <w:rsid w:val="009A0900"/>
    <w:rsid w:val="009A0CA3"/>
    <w:rsid w:val="009A15E5"/>
    <w:rsid w:val="009A191B"/>
    <w:rsid w:val="009A2D75"/>
    <w:rsid w:val="009A35CC"/>
    <w:rsid w:val="009A3723"/>
    <w:rsid w:val="009A4956"/>
    <w:rsid w:val="009A4A6D"/>
    <w:rsid w:val="009A6C64"/>
    <w:rsid w:val="009A7613"/>
    <w:rsid w:val="009A7F5E"/>
    <w:rsid w:val="009B045F"/>
    <w:rsid w:val="009B04F9"/>
    <w:rsid w:val="009B0A92"/>
    <w:rsid w:val="009B0BC1"/>
    <w:rsid w:val="009B1333"/>
    <w:rsid w:val="009B21D6"/>
    <w:rsid w:val="009B26B5"/>
    <w:rsid w:val="009B2BA4"/>
    <w:rsid w:val="009B2DD7"/>
    <w:rsid w:val="009B2EEE"/>
    <w:rsid w:val="009B4AD4"/>
    <w:rsid w:val="009B574E"/>
    <w:rsid w:val="009B5976"/>
    <w:rsid w:val="009B7895"/>
    <w:rsid w:val="009C0870"/>
    <w:rsid w:val="009C20E5"/>
    <w:rsid w:val="009C2991"/>
    <w:rsid w:val="009C2BF5"/>
    <w:rsid w:val="009C37EC"/>
    <w:rsid w:val="009C50B9"/>
    <w:rsid w:val="009C6D70"/>
    <w:rsid w:val="009D060F"/>
    <w:rsid w:val="009D1A7E"/>
    <w:rsid w:val="009D1BFC"/>
    <w:rsid w:val="009D1D49"/>
    <w:rsid w:val="009D1F07"/>
    <w:rsid w:val="009D3511"/>
    <w:rsid w:val="009D6693"/>
    <w:rsid w:val="009D6F43"/>
    <w:rsid w:val="009D745C"/>
    <w:rsid w:val="009E0699"/>
    <w:rsid w:val="009E170F"/>
    <w:rsid w:val="009E242D"/>
    <w:rsid w:val="009E5323"/>
    <w:rsid w:val="009E649A"/>
    <w:rsid w:val="009E7ED9"/>
    <w:rsid w:val="009E7F14"/>
    <w:rsid w:val="009F6A99"/>
    <w:rsid w:val="009F6BB5"/>
    <w:rsid w:val="009F7212"/>
    <w:rsid w:val="00A003FA"/>
    <w:rsid w:val="00A0080E"/>
    <w:rsid w:val="00A010AA"/>
    <w:rsid w:val="00A02046"/>
    <w:rsid w:val="00A02291"/>
    <w:rsid w:val="00A02C9C"/>
    <w:rsid w:val="00A04849"/>
    <w:rsid w:val="00A109CE"/>
    <w:rsid w:val="00A12CF1"/>
    <w:rsid w:val="00A12D14"/>
    <w:rsid w:val="00A141C4"/>
    <w:rsid w:val="00A155AC"/>
    <w:rsid w:val="00A170DD"/>
    <w:rsid w:val="00A21032"/>
    <w:rsid w:val="00A211C9"/>
    <w:rsid w:val="00A24240"/>
    <w:rsid w:val="00A24575"/>
    <w:rsid w:val="00A24B07"/>
    <w:rsid w:val="00A24DE9"/>
    <w:rsid w:val="00A25008"/>
    <w:rsid w:val="00A252F5"/>
    <w:rsid w:val="00A25C7A"/>
    <w:rsid w:val="00A26B8E"/>
    <w:rsid w:val="00A276FF"/>
    <w:rsid w:val="00A31E38"/>
    <w:rsid w:val="00A3218F"/>
    <w:rsid w:val="00A332E4"/>
    <w:rsid w:val="00A33407"/>
    <w:rsid w:val="00A33E68"/>
    <w:rsid w:val="00A401B7"/>
    <w:rsid w:val="00A407E5"/>
    <w:rsid w:val="00A411FF"/>
    <w:rsid w:val="00A4232D"/>
    <w:rsid w:val="00A44A6F"/>
    <w:rsid w:val="00A451F5"/>
    <w:rsid w:val="00A46367"/>
    <w:rsid w:val="00A50073"/>
    <w:rsid w:val="00A5086E"/>
    <w:rsid w:val="00A50C10"/>
    <w:rsid w:val="00A512E8"/>
    <w:rsid w:val="00A548AD"/>
    <w:rsid w:val="00A5592D"/>
    <w:rsid w:val="00A55E7D"/>
    <w:rsid w:val="00A56713"/>
    <w:rsid w:val="00A5678F"/>
    <w:rsid w:val="00A56972"/>
    <w:rsid w:val="00A607FD"/>
    <w:rsid w:val="00A6081A"/>
    <w:rsid w:val="00A615C4"/>
    <w:rsid w:val="00A62EA4"/>
    <w:rsid w:val="00A63236"/>
    <w:rsid w:val="00A64F39"/>
    <w:rsid w:val="00A64F63"/>
    <w:rsid w:val="00A65AD2"/>
    <w:rsid w:val="00A65FFE"/>
    <w:rsid w:val="00A679EA"/>
    <w:rsid w:val="00A705D4"/>
    <w:rsid w:val="00A70BEC"/>
    <w:rsid w:val="00A71165"/>
    <w:rsid w:val="00A71DDD"/>
    <w:rsid w:val="00A72C85"/>
    <w:rsid w:val="00A739A5"/>
    <w:rsid w:val="00A752AD"/>
    <w:rsid w:val="00A754E6"/>
    <w:rsid w:val="00A765F7"/>
    <w:rsid w:val="00A804A9"/>
    <w:rsid w:val="00A81FB5"/>
    <w:rsid w:val="00A835D0"/>
    <w:rsid w:val="00A849ED"/>
    <w:rsid w:val="00A84FC7"/>
    <w:rsid w:val="00A85314"/>
    <w:rsid w:val="00A85A23"/>
    <w:rsid w:val="00A86474"/>
    <w:rsid w:val="00A872B4"/>
    <w:rsid w:val="00A877FB"/>
    <w:rsid w:val="00A903BC"/>
    <w:rsid w:val="00A90995"/>
    <w:rsid w:val="00A9468B"/>
    <w:rsid w:val="00A957F0"/>
    <w:rsid w:val="00A96647"/>
    <w:rsid w:val="00A9686C"/>
    <w:rsid w:val="00A9781B"/>
    <w:rsid w:val="00AA06E4"/>
    <w:rsid w:val="00AA0A9E"/>
    <w:rsid w:val="00AA14BD"/>
    <w:rsid w:val="00AA3796"/>
    <w:rsid w:val="00AA3A43"/>
    <w:rsid w:val="00AA5ED3"/>
    <w:rsid w:val="00AB23C0"/>
    <w:rsid w:val="00AB3455"/>
    <w:rsid w:val="00AB51BE"/>
    <w:rsid w:val="00AB5490"/>
    <w:rsid w:val="00AB7917"/>
    <w:rsid w:val="00AC01EB"/>
    <w:rsid w:val="00AC1D03"/>
    <w:rsid w:val="00AC363C"/>
    <w:rsid w:val="00AC3717"/>
    <w:rsid w:val="00AC444F"/>
    <w:rsid w:val="00AC760A"/>
    <w:rsid w:val="00AC7F8B"/>
    <w:rsid w:val="00AD1B13"/>
    <w:rsid w:val="00AD2E33"/>
    <w:rsid w:val="00AD361B"/>
    <w:rsid w:val="00AD53F6"/>
    <w:rsid w:val="00AE1037"/>
    <w:rsid w:val="00AE17F1"/>
    <w:rsid w:val="00AF093C"/>
    <w:rsid w:val="00AF1044"/>
    <w:rsid w:val="00AF1EDB"/>
    <w:rsid w:val="00AF2125"/>
    <w:rsid w:val="00AF217D"/>
    <w:rsid w:val="00AF2191"/>
    <w:rsid w:val="00AF32DA"/>
    <w:rsid w:val="00AF3AB0"/>
    <w:rsid w:val="00AF3EB9"/>
    <w:rsid w:val="00AF4546"/>
    <w:rsid w:val="00AF5AB8"/>
    <w:rsid w:val="00AF5F98"/>
    <w:rsid w:val="00AF6F26"/>
    <w:rsid w:val="00AF78E0"/>
    <w:rsid w:val="00B00051"/>
    <w:rsid w:val="00B02A1A"/>
    <w:rsid w:val="00B0535F"/>
    <w:rsid w:val="00B07D8D"/>
    <w:rsid w:val="00B11D15"/>
    <w:rsid w:val="00B124F6"/>
    <w:rsid w:val="00B13EEA"/>
    <w:rsid w:val="00B1428E"/>
    <w:rsid w:val="00B145D1"/>
    <w:rsid w:val="00B14690"/>
    <w:rsid w:val="00B14B73"/>
    <w:rsid w:val="00B164DF"/>
    <w:rsid w:val="00B179C2"/>
    <w:rsid w:val="00B17DB7"/>
    <w:rsid w:val="00B203CA"/>
    <w:rsid w:val="00B22904"/>
    <w:rsid w:val="00B2397C"/>
    <w:rsid w:val="00B239D4"/>
    <w:rsid w:val="00B247B8"/>
    <w:rsid w:val="00B248DD"/>
    <w:rsid w:val="00B27729"/>
    <w:rsid w:val="00B27B41"/>
    <w:rsid w:val="00B3096B"/>
    <w:rsid w:val="00B30D79"/>
    <w:rsid w:val="00B32816"/>
    <w:rsid w:val="00B340F5"/>
    <w:rsid w:val="00B34E2E"/>
    <w:rsid w:val="00B366BE"/>
    <w:rsid w:val="00B37E24"/>
    <w:rsid w:val="00B40FD8"/>
    <w:rsid w:val="00B414BB"/>
    <w:rsid w:val="00B422D2"/>
    <w:rsid w:val="00B42915"/>
    <w:rsid w:val="00B42FC4"/>
    <w:rsid w:val="00B43AA0"/>
    <w:rsid w:val="00B44F23"/>
    <w:rsid w:val="00B45434"/>
    <w:rsid w:val="00B4560F"/>
    <w:rsid w:val="00B463BF"/>
    <w:rsid w:val="00B464CD"/>
    <w:rsid w:val="00B50295"/>
    <w:rsid w:val="00B504EF"/>
    <w:rsid w:val="00B5088B"/>
    <w:rsid w:val="00B50AD3"/>
    <w:rsid w:val="00B51C4E"/>
    <w:rsid w:val="00B52035"/>
    <w:rsid w:val="00B53105"/>
    <w:rsid w:val="00B54B0A"/>
    <w:rsid w:val="00B54F39"/>
    <w:rsid w:val="00B609DE"/>
    <w:rsid w:val="00B630B7"/>
    <w:rsid w:val="00B66129"/>
    <w:rsid w:val="00B66D8A"/>
    <w:rsid w:val="00B71812"/>
    <w:rsid w:val="00B73D61"/>
    <w:rsid w:val="00B740B2"/>
    <w:rsid w:val="00B75680"/>
    <w:rsid w:val="00B77440"/>
    <w:rsid w:val="00B779B6"/>
    <w:rsid w:val="00B80176"/>
    <w:rsid w:val="00B806B8"/>
    <w:rsid w:val="00B81374"/>
    <w:rsid w:val="00B81698"/>
    <w:rsid w:val="00B8194D"/>
    <w:rsid w:val="00B822B7"/>
    <w:rsid w:val="00B82725"/>
    <w:rsid w:val="00B82B12"/>
    <w:rsid w:val="00B833F2"/>
    <w:rsid w:val="00B8392D"/>
    <w:rsid w:val="00B84D1C"/>
    <w:rsid w:val="00B856E2"/>
    <w:rsid w:val="00B8589F"/>
    <w:rsid w:val="00B87FE0"/>
    <w:rsid w:val="00B90058"/>
    <w:rsid w:val="00B90810"/>
    <w:rsid w:val="00B92261"/>
    <w:rsid w:val="00B92AF5"/>
    <w:rsid w:val="00B931C8"/>
    <w:rsid w:val="00B93D9F"/>
    <w:rsid w:val="00B93ED4"/>
    <w:rsid w:val="00B946BA"/>
    <w:rsid w:val="00B948E1"/>
    <w:rsid w:val="00B94B95"/>
    <w:rsid w:val="00B94F20"/>
    <w:rsid w:val="00BA03D0"/>
    <w:rsid w:val="00BA12FA"/>
    <w:rsid w:val="00BA17A3"/>
    <w:rsid w:val="00BA18CB"/>
    <w:rsid w:val="00BA29AC"/>
    <w:rsid w:val="00BA5CC0"/>
    <w:rsid w:val="00BA6F2F"/>
    <w:rsid w:val="00BA7577"/>
    <w:rsid w:val="00BA7A80"/>
    <w:rsid w:val="00BB0967"/>
    <w:rsid w:val="00BB0AD6"/>
    <w:rsid w:val="00BB2851"/>
    <w:rsid w:val="00BB3409"/>
    <w:rsid w:val="00BB46E2"/>
    <w:rsid w:val="00BB4E5B"/>
    <w:rsid w:val="00BB6CBF"/>
    <w:rsid w:val="00BB76CE"/>
    <w:rsid w:val="00BB79EF"/>
    <w:rsid w:val="00BB7D5E"/>
    <w:rsid w:val="00BB7FDE"/>
    <w:rsid w:val="00BC0568"/>
    <w:rsid w:val="00BC1991"/>
    <w:rsid w:val="00BC27C3"/>
    <w:rsid w:val="00BC29B0"/>
    <w:rsid w:val="00BC2FB2"/>
    <w:rsid w:val="00BC3757"/>
    <w:rsid w:val="00BC406D"/>
    <w:rsid w:val="00BC4146"/>
    <w:rsid w:val="00BC4440"/>
    <w:rsid w:val="00BC4843"/>
    <w:rsid w:val="00BC5E18"/>
    <w:rsid w:val="00BC79A8"/>
    <w:rsid w:val="00BD0090"/>
    <w:rsid w:val="00BD0293"/>
    <w:rsid w:val="00BD0648"/>
    <w:rsid w:val="00BD0A05"/>
    <w:rsid w:val="00BD0BD8"/>
    <w:rsid w:val="00BD0D5F"/>
    <w:rsid w:val="00BD1EF1"/>
    <w:rsid w:val="00BD2F95"/>
    <w:rsid w:val="00BD42D5"/>
    <w:rsid w:val="00BD479E"/>
    <w:rsid w:val="00BD47C3"/>
    <w:rsid w:val="00BD4FD4"/>
    <w:rsid w:val="00BD52F7"/>
    <w:rsid w:val="00BE126F"/>
    <w:rsid w:val="00BE3288"/>
    <w:rsid w:val="00BE3F1D"/>
    <w:rsid w:val="00BE6F79"/>
    <w:rsid w:val="00BE7A20"/>
    <w:rsid w:val="00BF051A"/>
    <w:rsid w:val="00BF0C3D"/>
    <w:rsid w:val="00BF2504"/>
    <w:rsid w:val="00BF4A0D"/>
    <w:rsid w:val="00BF54F4"/>
    <w:rsid w:val="00BF556D"/>
    <w:rsid w:val="00BF5CE2"/>
    <w:rsid w:val="00BF6F49"/>
    <w:rsid w:val="00BF763C"/>
    <w:rsid w:val="00BF767F"/>
    <w:rsid w:val="00BF7C90"/>
    <w:rsid w:val="00C0086E"/>
    <w:rsid w:val="00C0314F"/>
    <w:rsid w:val="00C03786"/>
    <w:rsid w:val="00C04A5A"/>
    <w:rsid w:val="00C06C87"/>
    <w:rsid w:val="00C06D0F"/>
    <w:rsid w:val="00C0729F"/>
    <w:rsid w:val="00C0743C"/>
    <w:rsid w:val="00C07CBB"/>
    <w:rsid w:val="00C1061F"/>
    <w:rsid w:val="00C11485"/>
    <w:rsid w:val="00C114D4"/>
    <w:rsid w:val="00C1161C"/>
    <w:rsid w:val="00C11E89"/>
    <w:rsid w:val="00C1303D"/>
    <w:rsid w:val="00C13D77"/>
    <w:rsid w:val="00C14610"/>
    <w:rsid w:val="00C1571F"/>
    <w:rsid w:val="00C15C11"/>
    <w:rsid w:val="00C15DAC"/>
    <w:rsid w:val="00C16B21"/>
    <w:rsid w:val="00C1721E"/>
    <w:rsid w:val="00C20DA8"/>
    <w:rsid w:val="00C215E3"/>
    <w:rsid w:val="00C23458"/>
    <w:rsid w:val="00C239D7"/>
    <w:rsid w:val="00C241B6"/>
    <w:rsid w:val="00C24F62"/>
    <w:rsid w:val="00C25BDA"/>
    <w:rsid w:val="00C25DA5"/>
    <w:rsid w:val="00C27BBA"/>
    <w:rsid w:val="00C32622"/>
    <w:rsid w:val="00C337C2"/>
    <w:rsid w:val="00C342BC"/>
    <w:rsid w:val="00C36FC6"/>
    <w:rsid w:val="00C37171"/>
    <w:rsid w:val="00C41294"/>
    <w:rsid w:val="00C42A92"/>
    <w:rsid w:val="00C4381A"/>
    <w:rsid w:val="00C4494E"/>
    <w:rsid w:val="00C45770"/>
    <w:rsid w:val="00C4705B"/>
    <w:rsid w:val="00C473F9"/>
    <w:rsid w:val="00C503B5"/>
    <w:rsid w:val="00C50B19"/>
    <w:rsid w:val="00C51FBF"/>
    <w:rsid w:val="00C52686"/>
    <w:rsid w:val="00C529A9"/>
    <w:rsid w:val="00C52B31"/>
    <w:rsid w:val="00C52E4C"/>
    <w:rsid w:val="00C531A5"/>
    <w:rsid w:val="00C53620"/>
    <w:rsid w:val="00C53AF1"/>
    <w:rsid w:val="00C53FAC"/>
    <w:rsid w:val="00C55839"/>
    <w:rsid w:val="00C57478"/>
    <w:rsid w:val="00C60898"/>
    <w:rsid w:val="00C613D5"/>
    <w:rsid w:val="00C6223B"/>
    <w:rsid w:val="00C62444"/>
    <w:rsid w:val="00C6258A"/>
    <w:rsid w:val="00C63AC3"/>
    <w:rsid w:val="00C65B03"/>
    <w:rsid w:val="00C661D4"/>
    <w:rsid w:val="00C67BAF"/>
    <w:rsid w:val="00C70CD1"/>
    <w:rsid w:val="00C71D13"/>
    <w:rsid w:val="00C72F18"/>
    <w:rsid w:val="00C73E4A"/>
    <w:rsid w:val="00C76512"/>
    <w:rsid w:val="00C7658E"/>
    <w:rsid w:val="00C77366"/>
    <w:rsid w:val="00C800E3"/>
    <w:rsid w:val="00C800E9"/>
    <w:rsid w:val="00C826FF"/>
    <w:rsid w:val="00C856D5"/>
    <w:rsid w:val="00C85CEC"/>
    <w:rsid w:val="00C8641A"/>
    <w:rsid w:val="00C92264"/>
    <w:rsid w:val="00C9270D"/>
    <w:rsid w:val="00C971DB"/>
    <w:rsid w:val="00C979D7"/>
    <w:rsid w:val="00CA0C59"/>
    <w:rsid w:val="00CA2F53"/>
    <w:rsid w:val="00CA33E6"/>
    <w:rsid w:val="00CA3F61"/>
    <w:rsid w:val="00CA447A"/>
    <w:rsid w:val="00CA4BEB"/>
    <w:rsid w:val="00CA5F51"/>
    <w:rsid w:val="00CA6166"/>
    <w:rsid w:val="00CA64A9"/>
    <w:rsid w:val="00CA6519"/>
    <w:rsid w:val="00CA6C7E"/>
    <w:rsid w:val="00CA7E97"/>
    <w:rsid w:val="00CB0C9D"/>
    <w:rsid w:val="00CB16FE"/>
    <w:rsid w:val="00CB3536"/>
    <w:rsid w:val="00CB53E9"/>
    <w:rsid w:val="00CB7467"/>
    <w:rsid w:val="00CC157E"/>
    <w:rsid w:val="00CC2C70"/>
    <w:rsid w:val="00CC3A87"/>
    <w:rsid w:val="00CC4935"/>
    <w:rsid w:val="00CC6AA2"/>
    <w:rsid w:val="00CC74AE"/>
    <w:rsid w:val="00CD085A"/>
    <w:rsid w:val="00CD1EDB"/>
    <w:rsid w:val="00CD27BC"/>
    <w:rsid w:val="00CD4FFE"/>
    <w:rsid w:val="00CD51DB"/>
    <w:rsid w:val="00CD5700"/>
    <w:rsid w:val="00CD57E0"/>
    <w:rsid w:val="00CD6096"/>
    <w:rsid w:val="00CD632D"/>
    <w:rsid w:val="00CD6988"/>
    <w:rsid w:val="00CD6A68"/>
    <w:rsid w:val="00CD70B7"/>
    <w:rsid w:val="00CD7C2F"/>
    <w:rsid w:val="00CE00AC"/>
    <w:rsid w:val="00CE0281"/>
    <w:rsid w:val="00CE14EE"/>
    <w:rsid w:val="00CE15A6"/>
    <w:rsid w:val="00CE238C"/>
    <w:rsid w:val="00CE26BE"/>
    <w:rsid w:val="00CE3AC6"/>
    <w:rsid w:val="00CE58C2"/>
    <w:rsid w:val="00CE6035"/>
    <w:rsid w:val="00CE624C"/>
    <w:rsid w:val="00CE7A3B"/>
    <w:rsid w:val="00CF184B"/>
    <w:rsid w:val="00CF1A61"/>
    <w:rsid w:val="00CF3195"/>
    <w:rsid w:val="00CF3504"/>
    <w:rsid w:val="00CF383F"/>
    <w:rsid w:val="00CF3A2A"/>
    <w:rsid w:val="00CF3CEE"/>
    <w:rsid w:val="00CF4380"/>
    <w:rsid w:val="00CF4A97"/>
    <w:rsid w:val="00CF4F2A"/>
    <w:rsid w:val="00CF6123"/>
    <w:rsid w:val="00CF7641"/>
    <w:rsid w:val="00D020B3"/>
    <w:rsid w:val="00D02A05"/>
    <w:rsid w:val="00D04CD4"/>
    <w:rsid w:val="00D067AB"/>
    <w:rsid w:val="00D06F43"/>
    <w:rsid w:val="00D075F7"/>
    <w:rsid w:val="00D07B04"/>
    <w:rsid w:val="00D11432"/>
    <w:rsid w:val="00D116FA"/>
    <w:rsid w:val="00D11B63"/>
    <w:rsid w:val="00D13E91"/>
    <w:rsid w:val="00D16BD6"/>
    <w:rsid w:val="00D211AF"/>
    <w:rsid w:val="00D236AB"/>
    <w:rsid w:val="00D23B70"/>
    <w:rsid w:val="00D25DCD"/>
    <w:rsid w:val="00D300CB"/>
    <w:rsid w:val="00D301AB"/>
    <w:rsid w:val="00D30736"/>
    <w:rsid w:val="00D32275"/>
    <w:rsid w:val="00D32A0B"/>
    <w:rsid w:val="00D33F0F"/>
    <w:rsid w:val="00D341B5"/>
    <w:rsid w:val="00D346AC"/>
    <w:rsid w:val="00D37411"/>
    <w:rsid w:val="00D40D40"/>
    <w:rsid w:val="00D41704"/>
    <w:rsid w:val="00D43CED"/>
    <w:rsid w:val="00D43E24"/>
    <w:rsid w:val="00D440B7"/>
    <w:rsid w:val="00D440E7"/>
    <w:rsid w:val="00D44F6B"/>
    <w:rsid w:val="00D45A2B"/>
    <w:rsid w:val="00D45C33"/>
    <w:rsid w:val="00D45C39"/>
    <w:rsid w:val="00D47808"/>
    <w:rsid w:val="00D50680"/>
    <w:rsid w:val="00D52407"/>
    <w:rsid w:val="00D5409B"/>
    <w:rsid w:val="00D5485F"/>
    <w:rsid w:val="00D54D50"/>
    <w:rsid w:val="00D55EF9"/>
    <w:rsid w:val="00D57C88"/>
    <w:rsid w:val="00D62709"/>
    <w:rsid w:val="00D64065"/>
    <w:rsid w:val="00D659DC"/>
    <w:rsid w:val="00D737DE"/>
    <w:rsid w:val="00D77E2B"/>
    <w:rsid w:val="00D77F69"/>
    <w:rsid w:val="00D80811"/>
    <w:rsid w:val="00D87E7D"/>
    <w:rsid w:val="00D919E3"/>
    <w:rsid w:val="00D91F09"/>
    <w:rsid w:val="00D9231C"/>
    <w:rsid w:val="00D924CF"/>
    <w:rsid w:val="00D92DA4"/>
    <w:rsid w:val="00D9476C"/>
    <w:rsid w:val="00D9665D"/>
    <w:rsid w:val="00D9695C"/>
    <w:rsid w:val="00D96B48"/>
    <w:rsid w:val="00D97C53"/>
    <w:rsid w:val="00DA15D7"/>
    <w:rsid w:val="00DA26F9"/>
    <w:rsid w:val="00DA45BB"/>
    <w:rsid w:val="00DA5EAB"/>
    <w:rsid w:val="00DA6702"/>
    <w:rsid w:val="00DA68A4"/>
    <w:rsid w:val="00DA7A58"/>
    <w:rsid w:val="00DB0528"/>
    <w:rsid w:val="00DB0D3E"/>
    <w:rsid w:val="00DB1E00"/>
    <w:rsid w:val="00DB2D59"/>
    <w:rsid w:val="00DB32B8"/>
    <w:rsid w:val="00DB3732"/>
    <w:rsid w:val="00DB48AB"/>
    <w:rsid w:val="00DB5609"/>
    <w:rsid w:val="00DB673F"/>
    <w:rsid w:val="00DB6881"/>
    <w:rsid w:val="00DB75FC"/>
    <w:rsid w:val="00DB762F"/>
    <w:rsid w:val="00DC0288"/>
    <w:rsid w:val="00DC2428"/>
    <w:rsid w:val="00DC2929"/>
    <w:rsid w:val="00DC5602"/>
    <w:rsid w:val="00DC68E5"/>
    <w:rsid w:val="00DC6918"/>
    <w:rsid w:val="00DC767A"/>
    <w:rsid w:val="00DC7ABB"/>
    <w:rsid w:val="00DC7B46"/>
    <w:rsid w:val="00DD042A"/>
    <w:rsid w:val="00DD20D2"/>
    <w:rsid w:val="00DD456A"/>
    <w:rsid w:val="00DD4A89"/>
    <w:rsid w:val="00DD58E2"/>
    <w:rsid w:val="00DD644A"/>
    <w:rsid w:val="00DD6A76"/>
    <w:rsid w:val="00DD724C"/>
    <w:rsid w:val="00DE102C"/>
    <w:rsid w:val="00DE1480"/>
    <w:rsid w:val="00DE2986"/>
    <w:rsid w:val="00DE4EC2"/>
    <w:rsid w:val="00DE6003"/>
    <w:rsid w:val="00DE60D1"/>
    <w:rsid w:val="00DF0743"/>
    <w:rsid w:val="00DF1022"/>
    <w:rsid w:val="00DF1630"/>
    <w:rsid w:val="00DF2FBE"/>
    <w:rsid w:val="00DF3FC6"/>
    <w:rsid w:val="00DF45DF"/>
    <w:rsid w:val="00DF7B1E"/>
    <w:rsid w:val="00DF7F21"/>
    <w:rsid w:val="00E0042B"/>
    <w:rsid w:val="00E0121C"/>
    <w:rsid w:val="00E01806"/>
    <w:rsid w:val="00E0328A"/>
    <w:rsid w:val="00E0459B"/>
    <w:rsid w:val="00E05CC4"/>
    <w:rsid w:val="00E06183"/>
    <w:rsid w:val="00E06D7B"/>
    <w:rsid w:val="00E07797"/>
    <w:rsid w:val="00E10C41"/>
    <w:rsid w:val="00E10CA6"/>
    <w:rsid w:val="00E10F55"/>
    <w:rsid w:val="00E11122"/>
    <w:rsid w:val="00E1212D"/>
    <w:rsid w:val="00E131FB"/>
    <w:rsid w:val="00E1338F"/>
    <w:rsid w:val="00E15F90"/>
    <w:rsid w:val="00E166CF"/>
    <w:rsid w:val="00E16CBE"/>
    <w:rsid w:val="00E16CD9"/>
    <w:rsid w:val="00E16F4E"/>
    <w:rsid w:val="00E1765F"/>
    <w:rsid w:val="00E1772D"/>
    <w:rsid w:val="00E20410"/>
    <w:rsid w:val="00E20B1D"/>
    <w:rsid w:val="00E21164"/>
    <w:rsid w:val="00E21374"/>
    <w:rsid w:val="00E23713"/>
    <w:rsid w:val="00E23E25"/>
    <w:rsid w:val="00E249AE"/>
    <w:rsid w:val="00E2653B"/>
    <w:rsid w:val="00E26D38"/>
    <w:rsid w:val="00E27E2D"/>
    <w:rsid w:val="00E30DCB"/>
    <w:rsid w:val="00E32E5C"/>
    <w:rsid w:val="00E33E45"/>
    <w:rsid w:val="00E3410F"/>
    <w:rsid w:val="00E34E0B"/>
    <w:rsid w:val="00E3619F"/>
    <w:rsid w:val="00E365F9"/>
    <w:rsid w:val="00E36A0C"/>
    <w:rsid w:val="00E36D49"/>
    <w:rsid w:val="00E427B2"/>
    <w:rsid w:val="00E44367"/>
    <w:rsid w:val="00E4608D"/>
    <w:rsid w:val="00E4677E"/>
    <w:rsid w:val="00E46B39"/>
    <w:rsid w:val="00E50133"/>
    <w:rsid w:val="00E51FFF"/>
    <w:rsid w:val="00E5528F"/>
    <w:rsid w:val="00E55A48"/>
    <w:rsid w:val="00E55BB8"/>
    <w:rsid w:val="00E56BD9"/>
    <w:rsid w:val="00E56D58"/>
    <w:rsid w:val="00E56DD1"/>
    <w:rsid w:val="00E570E6"/>
    <w:rsid w:val="00E60716"/>
    <w:rsid w:val="00E608D6"/>
    <w:rsid w:val="00E60BDB"/>
    <w:rsid w:val="00E61C91"/>
    <w:rsid w:val="00E62290"/>
    <w:rsid w:val="00E62F2F"/>
    <w:rsid w:val="00E63305"/>
    <w:rsid w:val="00E650C1"/>
    <w:rsid w:val="00E66471"/>
    <w:rsid w:val="00E703CC"/>
    <w:rsid w:val="00E70EA5"/>
    <w:rsid w:val="00E73120"/>
    <w:rsid w:val="00E73654"/>
    <w:rsid w:val="00E73E14"/>
    <w:rsid w:val="00E74260"/>
    <w:rsid w:val="00E76E8E"/>
    <w:rsid w:val="00E777E0"/>
    <w:rsid w:val="00E801C7"/>
    <w:rsid w:val="00E810A7"/>
    <w:rsid w:val="00E82407"/>
    <w:rsid w:val="00E83500"/>
    <w:rsid w:val="00E835E7"/>
    <w:rsid w:val="00E851A5"/>
    <w:rsid w:val="00E873C2"/>
    <w:rsid w:val="00E909DE"/>
    <w:rsid w:val="00E91877"/>
    <w:rsid w:val="00E9407D"/>
    <w:rsid w:val="00E95681"/>
    <w:rsid w:val="00E95D26"/>
    <w:rsid w:val="00E95DCA"/>
    <w:rsid w:val="00EA0C09"/>
    <w:rsid w:val="00EA1BC7"/>
    <w:rsid w:val="00EA1E9A"/>
    <w:rsid w:val="00EA2503"/>
    <w:rsid w:val="00EA3856"/>
    <w:rsid w:val="00EA445D"/>
    <w:rsid w:val="00EA5564"/>
    <w:rsid w:val="00EA7125"/>
    <w:rsid w:val="00EB07E5"/>
    <w:rsid w:val="00EB0904"/>
    <w:rsid w:val="00EB5983"/>
    <w:rsid w:val="00EB6E43"/>
    <w:rsid w:val="00EB740E"/>
    <w:rsid w:val="00EB7F09"/>
    <w:rsid w:val="00EC0C2E"/>
    <w:rsid w:val="00EC10B9"/>
    <w:rsid w:val="00EC237B"/>
    <w:rsid w:val="00EC394D"/>
    <w:rsid w:val="00EC47E7"/>
    <w:rsid w:val="00EC49BE"/>
    <w:rsid w:val="00EC4F5C"/>
    <w:rsid w:val="00EC578F"/>
    <w:rsid w:val="00EC5E60"/>
    <w:rsid w:val="00EC5EDA"/>
    <w:rsid w:val="00EC6469"/>
    <w:rsid w:val="00EC7D7C"/>
    <w:rsid w:val="00ED044A"/>
    <w:rsid w:val="00ED116E"/>
    <w:rsid w:val="00ED1765"/>
    <w:rsid w:val="00ED1BFB"/>
    <w:rsid w:val="00ED1C8D"/>
    <w:rsid w:val="00ED251F"/>
    <w:rsid w:val="00ED2E8F"/>
    <w:rsid w:val="00ED2FD6"/>
    <w:rsid w:val="00ED3C29"/>
    <w:rsid w:val="00ED4D82"/>
    <w:rsid w:val="00ED4E03"/>
    <w:rsid w:val="00ED7781"/>
    <w:rsid w:val="00EE01CD"/>
    <w:rsid w:val="00EE12A4"/>
    <w:rsid w:val="00EE5B13"/>
    <w:rsid w:val="00EE5C1E"/>
    <w:rsid w:val="00EE6321"/>
    <w:rsid w:val="00EE6C11"/>
    <w:rsid w:val="00EE6E83"/>
    <w:rsid w:val="00EF07B0"/>
    <w:rsid w:val="00EF16AF"/>
    <w:rsid w:val="00EF221F"/>
    <w:rsid w:val="00EF24C2"/>
    <w:rsid w:val="00EF2B1F"/>
    <w:rsid w:val="00EF31C6"/>
    <w:rsid w:val="00EF3291"/>
    <w:rsid w:val="00EF4DB1"/>
    <w:rsid w:val="00EF590A"/>
    <w:rsid w:val="00EF6789"/>
    <w:rsid w:val="00EF7143"/>
    <w:rsid w:val="00F008BA"/>
    <w:rsid w:val="00F01580"/>
    <w:rsid w:val="00F01C5B"/>
    <w:rsid w:val="00F02797"/>
    <w:rsid w:val="00F03D67"/>
    <w:rsid w:val="00F051D7"/>
    <w:rsid w:val="00F05F08"/>
    <w:rsid w:val="00F06342"/>
    <w:rsid w:val="00F071F9"/>
    <w:rsid w:val="00F07B0A"/>
    <w:rsid w:val="00F10B06"/>
    <w:rsid w:val="00F10E6E"/>
    <w:rsid w:val="00F10F8B"/>
    <w:rsid w:val="00F11089"/>
    <w:rsid w:val="00F12097"/>
    <w:rsid w:val="00F12DF5"/>
    <w:rsid w:val="00F1355A"/>
    <w:rsid w:val="00F1559E"/>
    <w:rsid w:val="00F162D3"/>
    <w:rsid w:val="00F1667A"/>
    <w:rsid w:val="00F173F7"/>
    <w:rsid w:val="00F21F9E"/>
    <w:rsid w:val="00F220B7"/>
    <w:rsid w:val="00F22600"/>
    <w:rsid w:val="00F2321A"/>
    <w:rsid w:val="00F23B74"/>
    <w:rsid w:val="00F2622E"/>
    <w:rsid w:val="00F32546"/>
    <w:rsid w:val="00F325B7"/>
    <w:rsid w:val="00F32F1F"/>
    <w:rsid w:val="00F33B65"/>
    <w:rsid w:val="00F34437"/>
    <w:rsid w:val="00F35BD2"/>
    <w:rsid w:val="00F3793B"/>
    <w:rsid w:val="00F41313"/>
    <w:rsid w:val="00F439C5"/>
    <w:rsid w:val="00F44B8A"/>
    <w:rsid w:val="00F4517F"/>
    <w:rsid w:val="00F46B9E"/>
    <w:rsid w:val="00F4761B"/>
    <w:rsid w:val="00F52760"/>
    <w:rsid w:val="00F52D1E"/>
    <w:rsid w:val="00F5377A"/>
    <w:rsid w:val="00F546DE"/>
    <w:rsid w:val="00F551D1"/>
    <w:rsid w:val="00F55CBC"/>
    <w:rsid w:val="00F56AB9"/>
    <w:rsid w:val="00F56DFD"/>
    <w:rsid w:val="00F5788E"/>
    <w:rsid w:val="00F57BF7"/>
    <w:rsid w:val="00F60970"/>
    <w:rsid w:val="00F60B21"/>
    <w:rsid w:val="00F60CC3"/>
    <w:rsid w:val="00F611E9"/>
    <w:rsid w:val="00F617CA"/>
    <w:rsid w:val="00F6240E"/>
    <w:rsid w:val="00F629B8"/>
    <w:rsid w:val="00F62A6A"/>
    <w:rsid w:val="00F6308F"/>
    <w:rsid w:val="00F63416"/>
    <w:rsid w:val="00F66744"/>
    <w:rsid w:val="00F70AF5"/>
    <w:rsid w:val="00F7159C"/>
    <w:rsid w:val="00F72BF2"/>
    <w:rsid w:val="00F73F0D"/>
    <w:rsid w:val="00F73F65"/>
    <w:rsid w:val="00F74BFB"/>
    <w:rsid w:val="00F74C44"/>
    <w:rsid w:val="00F75D63"/>
    <w:rsid w:val="00F76392"/>
    <w:rsid w:val="00F77950"/>
    <w:rsid w:val="00F80F36"/>
    <w:rsid w:val="00F81B8B"/>
    <w:rsid w:val="00F81CC2"/>
    <w:rsid w:val="00F82827"/>
    <w:rsid w:val="00F83879"/>
    <w:rsid w:val="00F839A4"/>
    <w:rsid w:val="00F84408"/>
    <w:rsid w:val="00F8501E"/>
    <w:rsid w:val="00F850EA"/>
    <w:rsid w:val="00F85141"/>
    <w:rsid w:val="00F85146"/>
    <w:rsid w:val="00F8654D"/>
    <w:rsid w:val="00F872CB"/>
    <w:rsid w:val="00F939E9"/>
    <w:rsid w:val="00F94EAA"/>
    <w:rsid w:val="00F95B42"/>
    <w:rsid w:val="00F95C28"/>
    <w:rsid w:val="00F960C6"/>
    <w:rsid w:val="00F96ED8"/>
    <w:rsid w:val="00F977E2"/>
    <w:rsid w:val="00FA0F63"/>
    <w:rsid w:val="00FA1B89"/>
    <w:rsid w:val="00FA2B47"/>
    <w:rsid w:val="00FA2BF4"/>
    <w:rsid w:val="00FA39EC"/>
    <w:rsid w:val="00FA4173"/>
    <w:rsid w:val="00FA78F0"/>
    <w:rsid w:val="00FA7902"/>
    <w:rsid w:val="00FB1B08"/>
    <w:rsid w:val="00FB1F24"/>
    <w:rsid w:val="00FB4AB5"/>
    <w:rsid w:val="00FB4B90"/>
    <w:rsid w:val="00FB5B65"/>
    <w:rsid w:val="00FB600C"/>
    <w:rsid w:val="00FB613A"/>
    <w:rsid w:val="00FB65F3"/>
    <w:rsid w:val="00FB676C"/>
    <w:rsid w:val="00FB717A"/>
    <w:rsid w:val="00FB7A7A"/>
    <w:rsid w:val="00FB7E31"/>
    <w:rsid w:val="00FC0BA2"/>
    <w:rsid w:val="00FC36E0"/>
    <w:rsid w:val="00FC43AF"/>
    <w:rsid w:val="00FC4ED0"/>
    <w:rsid w:val="00FC5111"/>
    <w:rsid w:val="00FC5AA4"/>
    <w:rsid w:val="00FC7FAA"/>
    <w:rsid w:val="00FD0BB6"/>
    <w:rsid w:val="00FD1253"/>
    <w:rsid w:val="00FD13BB"/>
    <w:rsid w:val="00FD233C"/>
    <w:rsid w:val="00FD2615"/>
    <w:rsid w:val="00FD2659"/>
    <w:rsid w:val="00FD3A0A"/>
    <w:rsid w:val="00FD64CF"/>
    <w:rsid w:val="00FD7EAB"/>
    <w:rsid w:val="00FE0FF7"/>
    <w:rsid w:val="00FE201D"/>
    <w:rsid w:val="00FE3027"/>
    <w:rsid w:val="00FE3A7B"/>
    <w:rsid w:val="00FE6851"/>
    <w:rsid w:val="00FE6AA7"/>
    <w:rsid w:val="00FE72BB"/>
    <w:rsid w:val="00FF00B6"/>
    <w:rsid w:val="00FF0EE3"/>
    <w:rsid w:val="00FF1ACF"/>
    <w:rsid w:val="00FF291B"/>
    <w:rsid w:val="00FF45F1"/>
    <w:rsid w:val="00FF50CD"/>
    <w:rsid w:val="00FF6576"/>
    <w:rsid w:val="00FF7C90"/>
    <w:rsid w:val="00FF7F95"/>
    <w:rsid w:val="0300FB93"/>
    <w:rsid w:val="034FCB93"/>
    <w:rsid w:val="06344913"/>
    <w:rsid w:val="08329B40"/>
    <w:rsid w:val="08586C55"/>
    <w:rsid w:val="09DBF68C"/>
    <w:rsid w:val="0A1B56FE"/>
    <w:rsid w:val="0A9F278E"/>
    <w:rsid w:val="0B2F3D52"/>
    <w:rsid w:val="0C93F795"/>
    <w:rsid w:val="0CA48479"/>
    <w:rsid w:val="0CBE72A9"/>
    <w:rsid w:val="0D1E3D74"/>
    <w:rsid w:val="0EC2F1A1"/>
    <w:rsid w:val="0F919B56"/>
    <w:rsid w:val="127ACFB3"/>
    <w:rsid w:val="134FEDC3"/>
    <w:rsid w:val="1493A383"/>
    <w:rsid w:val="14D9A1EE"/>
    <w:rsid w:val="155D61DF"/>
    <w:rsid w:val="15A0EF27"/>
    <w:rsid w:val="168CCE8C"/>
    <w:rsid w:val="16D711FD"/>
    <w:rsid w:val="16F8E770"/>
    <w:rsid w:val="1894409C"/>
    <w:rsid w:val="1C005618"/>
    <w:rsid w:val="1C54367F"/>
    <w:rsid w:val="1F4F7D74"/>
    <w:rsid w:val="1FAF9EF7"/>
    <w:rsid w:val="204F46DD"/>
    <w:rsid w:val="21446679"/>
    <w:rsid w:val="21471DC5"/>
    <w:rsid w:val="246A4D03"/>
    <w:rsid w:val="25C92350"/>
    <w:rsid w:val="25FCEA18"/>
    <w:rsid w:val="261A46C9"/>
    <w:rsid w:val="27546624"/>
    <w:rsid w:val="278BECB6"/>
    <w:rsid w:val="28CE9711"/>
    <w:rsid w:val="2937D510"/>
    <w:rsid w:val="298D5B14"/>
    <w:rsid w:val="299885D1"/>
    <w:rsid w:val="2F9760F3"/>
    <w:rsid w:val="3034C3BD"/>
    <w:rsid w:val="3055A8EB"/>
    <w:rsid w:val="306C6BC9"/>
    <w:rsid w:val="313238FE"/>
    <w:rsid w:val="31838FD3"/>
    <w:rsid w:val="31AD236B"/>
    <w:rsid w:val="32B7C299"/>
    <w:rsid w:val="33A6B32F"/>
    <w:rsid w:val="33AD8C03"/>
    <w:rsid w:val="34E59508"/>
    <w:rsid w:val="3670BAED"/>
    <w:rsid w:val="37AD891B"/>
    <w:rsid w:val="38E2F925"/>
    <w:rsid w:val="39D366EB"/>
    <w:rsid w:val="39F06DC5"/>
    <w:rsid w:val="3A4BC4BF"/>
    <w:rsid w:val="3A6C20C0"/>
    <w:rsid w:val="3AE76106"/>
    <w:rsid w:val="3BD1870A"/>
    <w:rsid w:val="3C334EC6"/>
    <w:rsid w:val="3C33A716"/>
    <w:rsid w:val="3C8D8E24"/>
    <w:rsid w:val="3CB7B1FD"/>
    <w:rsid w:val="3D04A95D"/>
    <w:rsid w:val="3E13124B"/>
    <w:rsid w:val="3E62844E"/>
    <w:rsid w:val="3EE95D0C"/>
    <w:rsid w:val="3F1CBD40"/>
    <w:rsid w:val="3F604224"/>
    <w:rsid w:val="4010BA36"/>
    <w:rsid w:val="4072E394"/>
    <w:rsid w:val="41B7D7C4"/>
    <w:rsid w:val="425AB2DF"/>
    <w:rsid w:val="44A9E93D"/>
    <w:rsid w:val="45B9EBF1"/>
    <w:rsid w:val="45CE6AE3"/>
    <w:rsid w:val="45E03132"/>
    <w:rsid w:val="462781F5"/>
    <w:rsid w:val="48834306"/>
    <w:rsid w:val="48859288"/>
    <w:rsid w:val="48D2D914"/>
    <w:rsid w:val="48E7EA55"/>
    <w:rsid w:val="4921EEA2"/>
    <w:rsid w:val="4A62E8B8"/>
    <w:rsid w:val="4BABDFA4"/>
    <w:rsid w:val="4BD0095F"/>
    <w:rsid w:val="4CF1DDCA"/>
    <w:rsid w:val="4F57B1DB"/>
    <w:rsid w:val="5088FD53"/>
    <w:rsid w:val="51E13ED4"/>
    <w:rsid w:val="524077DB"/>
    <w:rsid w:val="5383FF98"/>
    <w:rsid w:val="53E578E9"/>
    <w:rsid w:val="540496B6"/>
    <w:rsid w:val="541EEEF6"/>
    <w:rsid w:val="54A48FBC"/>
    <w:rsid w:val="54E21506"/>
    <w:rsid w:val="54FD2E9F"/>
    <w:rsid w:val="55C5FCBB"/>
    <w:rsid w:val="58832477"/>
    <w:rsid w:val="58F95C3D"/>
    <w:rsid w:val="5966D77B"/>
    <w:rsid w:val="59B3117D"/>
    <w:rsid w:val="5B929755"/>
    <w:rsid w:val="5BC60FCE"/>
    <w:rsid w:val="5C3A219E"/>
    <w:rsid w:val="5F995079"/>
    <w:rsid w:val="60759810"/>
    <w:rsid w:val="62CEBA88"/>
    <w:rsid w:val="631916FB"/>
    <w:rsid w:val="634DE10E"/>
    <w:rsid w:val="641CE3A8"/>
    <w:rsid w:val="645E6FD8"/>
    <w:rsid w:val="6499C3FB"/>
    <w:rsid w:val="64CDCF37"/>
    <w:rsid w:val="64EBD1CA"/>
    <w:rsid w:val="66895BFB"/>
    <w:rsid w:val="687C3732"/>
    <w:rsid w:val="68866338"/>
    <w:rsid w:val="68D17DEC"/>
    <w:rsid w:val="69B5A9BF"/>
    <w:rsid w:val="6A045FA1"/>
    <w:rsid w:val="6AFB7B98"/>
    <w:rsid w:val="6B77EBDD"/>
    <w:rsid w:val="6CD27594"/>
    <w:rsid w:val="6DD381B6"/>
    <w:rsid w:val="6DE05AD2"/>
    <w:rsid w:val="6E228E45"/>
    <w:rsid w:val="6E6B3B4D"/>
    <w:rsid w:val="6ED807DF"/>
    <w:rsid w:val="6EEB1ACD"/>
    <w:rsid w:val="7035F349"/>
    <w:rsid w:val="714B2E68"/>
    <w:rsid w:val="7305A2FA"/>
    <w:rsid w:val="74222E6D"/>
    <w:rsid w:val="74BF7C69"/>
    <w:rsid w:val="7534568D"/>
    <w:rsid w:val="75431B03"/>
    <w:rsid w:val="75609088"/>
    <w:rsid w:val="756A9013"/>
    <w:rsid w:val="75B375AB"/>
    <w:rsid w:val="7609D6B4"/>
    <w:rsid w:val="769BD25D"/>
    <w:rsid w:val="76E94B34"/>
    <w:rsid w:val="7715F780"/>
    <w:rsid w:val="7854382F"/>
    <w:rsid w:val="7860DE35"/>
    <w:rsid w:val="787EF7E4"/>
    <w:rsid w:val="7AC76602"/>
    <w:rsid w:val="7AED5D9A"/>
    <w:rsid w:val="7B73CBFA"/>
    <w:rsid w:val="7BA345C1"/>
    <w:rsid w:val="7BC67474"/>
    <w:rsid w:val="7BE618FE"/>
    <w:rsid w:val="7D0393FE"/>
    <w:rsid w:val="7D0A7069"/>
    <w:rsid w:val="7D521CF1"/>
    <w:rsid w:val="7DC3E0CB"/>
    <w:rsid w:val="7E00F233"/>
    <w:rsid w:val="7EA1CD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BE7555"/>
  <w15:chartTrackingRefBased/>
  <w15:docId w15:val="{CEBA2079-9EBD-47FC-A8C3-60A53566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F6205"/>
    <w:pPr>
      <w:spacing w:after="120"/>
    </w:pPr>
  </w:style>
  <w:style w:type="paragraph" w:styleId="Heading1">
    <w:name w:val="heading 1"/>
    <w:basedOn w:val="Normal"/>
    <w:next w:val="Normal"/>
    <w:link w:val="Heading1Char"/>
    <w:uiPriority w:val="9"/>
    <w:qFormat/>
    <w:rsid w:val="004F6205"/>
    <w:pPr>
      <w:keepNext/>
      <w:keepLines/>
      <w:spacing w:before="560" w:after="240" w:line="240" w:lineRule="auto"/>
      <w:outlineLvl w:val="0"/>
    </w:pPr>
    <w:rPr>
      <w:rFonts w:asciiTheme="majorHAnsi" w:eastAsiaTheme="majorEastAsia" w:hAnsiTheme="majorHAnsi" w:cstheme="majorBidi"/>
      <w:b/>
      <w:color w:val="00548C" w:themeColor="accent1" w:themeShade="BF"/>
      <w:sz w:val="30"/>
      <w:szCs w:val="30"/>
    </w:rPr>
  </w:style>
  <w:style w:type="paragraph" w:styleId="Heading2">
    <w:name w:val="heading 2"/>
    <w:basedOn w:val="Normal"/>
    <w:next w:val="Normal"/>
    <w:link w:val="Heading2Char"/>
    <w:uiPriority w:val="9"/>
    <w:unhideWhenUsed/>
    <w:qFormat/>
    <w:rsid w:val="004F6205"/>
    <w:pPr>
      <w:keepNext/>
      <w:keepLines/>
      <w:spacing w:before="280" w:after="240" w:line="240" w:lineRule="auto"/>
      <w:outlineLvl w:val="1"/>
    </w:pPr>
    <w:rPr>
      <w:rFonts w:asciiTheme="majorHAnsi" w:eastAsiaTheme="majorEastAsia" w:hAnsiTheme="majorHAnsi" w:cstheme="majorBidi"/>
      <w:color w:val="0081B3" w:themeColor="accent2" w:themeShade="BF"/>
      <w:sz w:val="28"/>
      <w:szCs w:val="28"/>
    </w:rPr>
  </w:style>
  <w:style w:type="paragraph" w:styleId="Heading3">
    <w:name w:val="heading 3"/>
    <w:basedOn w:val="Normal"/>
    <w:next w:val="Normal"/>
    <w:link w:val="Heading3Char"/>
    <w:uiPriority w:val="9"/>
    <w:unhideWhenUsed/>
    <w:qFormat/>
    <w:rsid w:val="004F6205"/>
    <w:pPr>
      <w:keepNext/>
      <w:keepLines/>
      <w:spacing w:before="200" w:line="240" w:lineRule="auto"/>
      <w:outlineLvl w:val="2"/>
    </w:pPr>
    <w:rPr>
      <w:rFonts w:asciiTheme="majorHAnsi" w:eastAsiaTheme="majorEastAsia" w:hAnsiTheme="majorHAnsi" w:cstheme="majorBidi"/>
      <w:color w:val="006068" w:themeColor="accent4"/>
      <w:sz w:val="26"/>
      <w:szCs w:val="26"/>
    </w:rPr>
  </w:style>
  <w:style w:type="paragraph" w:styleId="Heading4">
    <w:name w:val="heading 4"/>
    <w:basedOn w:val="Normal"/>
    <w:next w:val="Normal"/>
    <w:link w:val="Heading4Char"/>
    <w:uiPriority w:val="9"/>
    <w:unhideWhenUsed/>
    <w:qFormat/>
    <w:rsid w:val="004F6205"/>
    <w:pPr>
      <w:keepNext/>
      <w:keepLines/>
      <w:spacing w:before="40" w:after="0"/>
      <w:outlineLvl w:val="3"/>
    </w:pPr>
    <w:rPr>
      <w:rFonts w:asciiTheme="majorHAnsi" w:eastAsiaTheme="majorEastAsia" w:hAnsiTheme="majorHAnsi" w:cstheme="majorBidi"/>
      <w:i/>
      <w:iCs/>
      <w:color w:val="00803C" w:themeColor="accent5" w:themeShade="BF"/>
      <w:sz w:val="25"/>
      <w:szCs w:val="25"/>
    </w:rPr>
  </w:style>
  <w:style w:type="paragraph" w:styleId="Heading5">
    <w:name w:val="heading 5"/>
    <w:basedOn w:val="Normal"/>
    <w:next w:val="Normal"/>
    <w:link w:val="Heading5Char"/>
    <w:uiPriority w:val="9"/>
    <w:semiHidden/>
    <w:unhideWhenUsed/>
    <w:qFormat/>
    <w:rsid w:val="004F6205"/>
    <w:pPr>
      <w:keepNext/>
      <w:keepLines/>
      <w:spacing w:before="40" w:after="0"/>
      <w:outlineLvl w:val="4"/>
    </w:pPr>
    <w:rPr>
      <w:rFonts w:asciiTheme="majorHAnsi" w:eastAsiaTheme="majorEastAsia" w:hAnsiTheme="majorHAnsi" w:cstheme="majorBidi"/>
      <w:i/>
      <w:iCs/>
      <w:color w:val="005677" w:themeColor="accent2" w:themeShade="80"/>
      <w:sz w:val="24"/>
      <w:szCs w:val="24"/>
    </w:rPr>
  </w:style>
  <w:style w:type="paragraph" w:styleId="Heading6">
    <w:name w:val="heading 6"/>
    <w:basedOn w:val="Normal"/>
    <w:next w:val="Normal"/>
    <w:link w:val="Heading6Char"/>
    <w:uiPriority w:val="9"/>
    <w:semiHidden/>
    <w:unhideWhenUsed/>
    <w:qFormat/>
    <w:rsid w:val="004F6205"/>
    <w:pPr>
      <w:keepNext/>
      <w:keepLines/>
      <w:spacing w:before="40" w:after="0"/>
      <w:outlineLvl w:val="5"/>
    </w:pPr>
    <w:rPr>
      <w:rFonts w:asciiTheme="majorHAnsi" w:eastAsiaTheme="majorEastAsia" w:hAnsiTheme="majorHAnsi" w:cstheme="majorBidi"/>
      <w:i/>
      <w:iCs/>
      <w:color w:val="003228" w:themeColor="accent6" w:themeShade="80"/>
      <w:sz w:val="23"/>
      <w:szCs w:val="23"/>
    </w:rPr>
  </w:style>
  <w:style w:type="paragraph" w:styleId="Heading7">
    <w:name w:val="heading 7"/>
    <w:basedOn w:val="Normal"/>
    <w:next w:val="Normal"/>
    <w:link w:val="Heading7Char"/>
    <w:uiPriority w:val="9"/>
    <w:semiHidden/>
    <w:unhideWhenUsed/>
    <w:qFormat/>
    <w:rsid w:val="004F6205"/>
    <w:pPr>
      <w:keepNext/>
      <w:keepLines/>
      <w:spacing w:before="40" w:after="0"/>
      <w:outlineLvl w:val="6"/>
    </w:pPr>
    <w:rPr>
      <w:rFonts w:asciiTheme="majorHAnsi" w:eastAsiaTheme="majorEastAsia" w:hAnsiTheme="majorHAnsi" w:cstheme="majorBidi"/>
      <w:color w:val="00385E" w:themeColor="accent1" w:themeShade="80"/>
    </w:rPr>
  </w:style>
  <w:style w:type="paragraph" w:styleId="Heading8">
    <w:name w:val="heading 8"/>
    <w:basedOn w:val="Normal"/>
    <w:next w:val="Normal"/>
    <w:link w:val="Heading8Char"/>
    <w:uiPriority w:val="9"/>
    <w:semiHidden/>
    <w:unhideWhenUsed/>
    <w:qFormat/>
    <w:rsid w:val="004F6205"/>
    <w:pPr>
      <w:keepNext/>
      <w:keepLines/>
      <w:spacing w:before="40" w:after="0"/>
      <w:outlineLvl w:val="7"/>
    </w:pPr>
    <w:rPr>
      <w:rFonts w:asciiTheme="majorHAnsi" w:eastAsiaTheme="majorEastAsia" w:hAnsiTheme="majorHAnsi" w:cstheme="majorBidi"/>
      <w:color w:val="005677" w:themeColor="accent2" w:themeShade="80"/>
      <w:sz w:val="21"/>
      <w:szCs w:val="21"/>
    </w:rPr>
  </w:style>
  <w:style w:type="paragraph" w:styleId="Heading9">
    <w:name w:val="heading 9"/>
    <w:basedOn w:val="Normal"/>
    <w:next w:val="Normal"/>
    <w:link w:val="Heading9Char"/>
    <w:uiPriority w:val="9"/>
    <w:semiHidden/>
    <w:unhideWhenUsed/>
    <w:qFormat/>
    <w:rsid w:val="004F6205"/>
    <w:pPr>
      <w:keepNext/>
      <w:keepLines/>
      <w:spacing w:before="40" w:after="0"/>
      <w:outlineLvl w:val="8"/>
    </w:pPr>
    <w:rPr>
      <w:rFonts w:asciiTheme="majorHAnsi" w:eastAsiaTheme="majorEastAsia" w:hAnsiTheme="majorHAnsi" w:cstheme="majorBidi"/>
      <w:color w:val="00322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05"/>
  </w:style>
  <w:style w:type="paragraph" w:styleId="Footer">
    <w:name w:val="footer"/>
    <w:basedOn w:val="Normal"/>
    <w:link w:val="FooterChar"/>
    <w:uiPriority w:val="99"/>
    <w:unhideWhenUsed/>
    <w:rsid w:val="004F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05"/>
  </w:style>
  <w:style w:type="paragraph" w:styleId="Title">
    <w:name w:val="Title"/>
    <w:basedOn w:val="Normal"/>
    <w:next w:val="Normal"/>
    <w:link w:val="TitleChar"/>
    <w:uiPriority w:val="10"/>
    <w:qFormat/>
    <w:rsid w:val="000164E6"/>
    <w:pPr>
      <w:spacing w:after="40" w:line="240" w:lineRule="auto"/>
      <w:contextualSpacing/>
    </w:pPr>
    <w:rPr>
      <w:rFonts w:asciiTheme="majorHAnsi" w:eastAsiaTheme="majorEastAsia" w:hAnsiTheme="majorHAnsi" w:cstheme="majorBidi"/>
      <w:color w:val="002F59" w:themeColor="text2"/>
      <w:spacing w:val="-10"/>
      <w:sz w:val="72"/>
      <w:szCs w:val="52"/>
    </w:rPr>
  </w:style>
  <w:style w:type="character" w:customStyle="1" w:styleId="TitleChar">
    <w:name w:val="Title Char"/>
    <w:basedOn w:val="DefaultParagraphFont"/>
    <w:link w:val="Title"/>
    <w:uiPriority w:val="10"/>
    <w:rsid w:val="000164E6"/>
    <w:rPr>
      <w:rFonts w:asciiTheme="majorHAnsi" w:eastAsiaTheme="majorEastAsia" w:hAnsiTheme="majorHAnsi" w:cstheme="majorBidi"/>
      <w:color w:val="002F59" w:themeColor="text2"/>
      <w:spacing w:val="-10"/>
      <w:sz w:val="72"/>
      <w:szCs w:val="52"/>
    </w:rPr>
  </w:style>
  <w:style w:type="character" w:customStyle="1" w:styleId="Heading1Char">
    <w:name w:val="Heading 1 Char"/>
    <w:basedOn w:val="DefaultParagraphFont"/>
    <w:link w:val="Heading1"/>
    <w:uiPriority w:val="9"/>
    <w:rsid w:val="004F6205"/>
    <w:rPr>
      <w:rFonts w:asciiTheme="majorHAnsi" w:eastAsiaTheme="majorEastAsia" w:hAnsiTheme="majorHAnsi" w:cstheme="majorBidi"/>
      <w:b/>
      <w:color w:val="00548C" w:themeColor="accent1" w:themeShade="BF"/>
      <w:sz w:val="30"/>
      <w:szCs w:val="30"/>
    </w:rPr>
  </w:style>
  <w:style w:type="character" w:customStyle="1" w:styleId="Heading2Char">
    <w:name w:val="Heading 2 Char"/>
    <w:basedOn w:val="DefaultParagraphFont"/>
    <w:link w:val="Heading2"/>
    <w:uiPriority w:val="9"/>
    <w:rsid w:val="004F6205"/>
    <w:rPr>
      <w:rFonts w:asciiTheme="majorHAnsi" w:eastAsiaTheme="majorEastAsia" w:hAnsiTheme="majorHAnsi" w:cstheme="majorBidi"/>
      <w:color w:val="0081B3" w:themeColor="accent2" w:themeShade="BF"/>
      <w:sz w:val="28"/>
      <w:szCs w:val="28"/>
    </w:rPr>
  </w:style>
  <w:style w:type="character" w:customStyle="1" w:styleId="Heading3Char">
    <w:name w:val="Heading 3 Char"/>
    <w:basedOn w:val="DefaultParagraphFont"/>
    <w:link w:val="Heading3"/>
    <w:uiPriority w:val="9"/>
    <w:rsid w:val="004F6205"/>
    <w:rPr>
      <w:rFonts w:asciiTheme="majorHAnsi" w:eastAsiaTheme="majorEastAsia" w:hAnsiTheme="majorHAnsi" w:cstheme="majorBidi"/>
      <w:color w:val="006068" w:themeColor="accent4"/>
      <w:sz w:val="26"/>
      <w:szCs w:val="26"/>
    </w:rPr>
  </w:style>
  <w:style w:type="character" w:customStyle="1" w:styleId="Heading4Char">
    <w:name w:val="Heading 4 Char"/>
    <w:basedOn w:val="DefaultParagraphFont"/>
    <w:link w:val="Heading4"/>
    <w:uiPriority w:val="9"/>
    <w:rsid w:val="004F6205"/>
    <w:rPr>
      <w:rFonts w:asciiTheme="majorHAnsi" w:eastAsiaTheme="majorEastAsia" w:hAnsiTheme="majorHAnsi" w:cstheme="majorBidi"/>
      <w:i/>
      <w:iCs/>
      <w:color w:val="00803C" w:themeColor="accent5" w:themeShade="BF"/>
      <w:sz w:val="25"/>
      <w:szCs w:val="25"/>
    </w:rPr>
  </w:style>
  <w:style w:type="character" w:customStyle="1" w:styleId="Heading5Char">
    <w:name w:val="Heading 5 Char"/>
    <w:basedOn w:val="DefaultParagraphFont"/>
    <w:link w:val="Heading5"/>
    <w:uiPriority w:val="9"/>
    <w:semiHidden/>
    <w:rsid w:val="004F6205"/>
    <w:rPr>
      <w:rFonts w:asciiTheme="majorHAnsi" w:eastAsiaTheme="majorEastAsia" w:hAnsiTheme="majorHAnsi" w:cstheme="majorBidi"/>
      <w:i/>
      <w:iCs/>
      <w:color w:val="005677" w:themeColor="accent2" w:themeShade="80"/>
      <w:sz w:val="24"/>
      <w:szCs w:val="24"/>
    </w:rPr>
  </w:style>
  <w:style w:type="character" w:customStyle="1" w:styleId="Heading6Char">
    <w:name w:val="Heading 6 Char"/>
    <w:basedOn w:val="DefaultParagraphFont"/>
    <w:link w:val="Heading6"/>
    <w:uiPriority w:val="9"/>
    <w:semiHidden/>
    <w:rsid w:val="004F6205"/>
    <w:rPr>
      <w:rFonts w:asciiTheme="majorHAnsi" w:eastAsiaTheme="majorEastAsia" w:hAnsiTheme="majorHAnsi" w:cstheme="majorBidi"/>
      <w:i/>
      <w:iCs/>
      <w:color w:val="003228" w:themeColor="accent6" w:themeShade="80"/>
      <w:sz w:val="23"/>
      <w:szCs w:val="23"/>
    </w:rPr>
  </w:style>
  <w:style w:type="character" w:customStyle="1" w:styleId="Heading7Char">
    <w:name w:val="Heading 7 Char"/>
    <w:basedOn w:val="DefaultParagraphFont"/>
    <w:link w:val="Heading7"/>
    <w:uiPriority w:val="9"/>
    <w:semiHidden/>
    <w:rsid w:val="004F6205"/>
    <w:rPr>
      <w:rFonts w:asciiTheme="majorHAnsi" w:eastAsiaTheme="majorEastAsia" w:hAnsiTheme="majorHAnsi" w:cstheme="majorBidi"/>
      <w:color w:val="00385E" w:themeColor="accent1" w:themeShade="80"/>
    </w:rPr>
  </w:style>
  <w:style w:type="character" w:customStyle="1" w:styleId="Heading8Char">
    <w:name w:val="Heading 8 Char"/>
    <w:basedOn w:val="DefaultParagraphFont"/>
    <w:link w:val="Heading8"/>
    <w:uiPriority w:val="9"/>
    <w:semiHidden/>
    <w:rsid w:val="004F6205"/>
    <w:rPr>
      <w:rFonts w:asciiTheme="majorHAnsi" w:eastAsiaTheme="majorEastAsia" w:hAnsiTheme="majorHAnsi" w:cstheme="majorBidi"/>
      <w:color w:val="005677" w:themeColor="accent2" w:themeShade="80"/>
      <w:sz w:val="21"/>
      <w:szCs w:val="21"/>
    </w:rPr>
  </w:style>
  <w:style w:type="character" w:customStyle="1" w:styleId="Heading9Char">
    <w:name w:val="Heading 9 Char"/>
    <w:basedOn w:val="DefaultParagraphFont"/>
    <w:link w:val="Heading9"/>
    <w:uiPriority w:val="9"/>
    <w:semiHidden/>
    <w:rsid w:val="004F6205"/>
    <w:rPr>
      <w:rFonts w:asciiTheme="majorHAnsi" w:eastAsiaTheme="majorEastAsia" w:hAnsiTheme="majorHAnsi" w:cstheme="majorBidi"/>
      <w:color w:val="003228" w:themeColor="accent6" w:themeShade="80"/>
    </w:rPr>
  </w:style>
  <w:style w:type="paragraph" w:styleId="Caption">
    <w:name w:val="caption"/>
    <w:basedOn w:val="Normal"/>
    <w:next w:val="Normal"/>
    <w:uiPriority w:val="35"/>
    <w:unhideWhenUsed/>
    <w:qFormat/>
    <w:rsid w:val="004F6205"/>
    <w:pPr>
      <w:spacing w:line="240" w:lineRule="auto"/>
    </w:pPr>
    <w:rPr>
      <w:b/>
      <w:bCs/>
      <w:smallCaps/>
      <w:color w:val="0072BC" w:themeColor="accent1"/>
      <w:spacing w:val="6"/>
    </w:rPr>
  </w:style>
  <w:style w:type="paragraph" w:styleId="Subtitle">
    <w:name w:val="Subtitle"/>
    <w:basedOn w:val="Normal"/>
    <w:next w:val="Normal"/>
    <w:link w:val="SubtitleChar"/>
    <w:uiPriority w:val="11"/>
    <w:qFormat/>
    <w:rsid w:val="004F6205"/>
    <w:pPr>
      <w:numPr>
        <w:ilvl w:val="1"/>
      </w:numPr>
      <w:spacing w:line="240" w:lineRule="auto"/>
    </w:pPr>
    <w:rPr>
      <w:rFonts w:asciiTheme="majorHAnsi" w:eastAsiaTheme="majorEastAsia" w:hAnsiTheme="majorHAnsi" w:cstheme="majorBidi"/>
      <w:color w:val="002F59" w:themeColor="text2"/>
      <w:sz w:val="44"/>
    </w:rPr>
  </w:style>
  <w:style w:type="character" w:customStyle="1" w:styleId="SubtitleChar">
    <w:name w:val="Subtitle Char"/>
    <w:basedOn w:val="DefaultParagraphFont"/>
    <w:link w:val="Subtitle"/>
    <w:uiPriority w:val="11"/>
    <w:rsid w:val="004F6205"/>
    <w:rPr>
      <w:rFonts w:asciiTheme="majorHAnsi" w:eastAsiaTheme="majorEastAsia" w:hAnsiTheme="majorHAnsi" w:cstheme="majorBidi"/>
      <w:color w:val="002F59" w:themeColor="text2"/>
      <w:sz w:val="44"/>
    </w:rPr>
  </w:style>
  <w:style w:type="character" w:styleId="Strong">
    <w:name w:val="Strong"/>
    <w:basedOn w:val="DefaultParagraphFont"/>
    <w:uiPriority w:val="22"/>
    <w:qFormat/>
    <w:rsid w:val="004F6205"/>
    <w:rPr>
      <w:b/>
      <w:bCs/>
    </w:rPr>
  </w:style>
  <w:style w:type="character" w:styleId="Emphasis">
    <w:name w:val="Emphasis"/>
    <w:basedOn w:val="DefaultParagraphFont"/>
    <w:uiPriority w:val="20"/>
    <w:qFormat/>
    <w:rsid w:val="004F6205"/>
    <w:rPr>
      <w:i/>
      <w:iCs/>
    </w:rPr>
  </w:style>
  <w:style w:type="paragraph" w:styleId="NoSpacing">
    <w:name w:val="No Spacing"/>
    <w:uiPriority w:val="1"/>
    <w:qFormat/>
    <w:rsid w:val="004F6205"/>
    <w:pPr>
      <w:spacing w:after="0" w:line="240" w:lineRule="auto"/>
    </w:pPr>
  </w:style>
  <w:style w:type="paragraph" w:styleId="Quote">
    <w:name w:val="Quote"/>
    <w:basedOn w:val="Normal"/>
    <w:next w:val="Normal"/>
    <w:link w:val="QuoteChar"/>
    <w:uiPriority w:val="29"/>
    <w:qFormat/>
    <w:rsid w:val="004F6205"/>
    <w:pPr>
      <w:spacing w:before="120"/>
      <w:ind w:left="720" w:right="720"/>
      <w:jc w:val="center"/>
    </w:pPr>
    <w:rPr>
      <w:i/>
      <w:iCs/>
    </w:rPr>
  </w:style>
  <w:style w:type="character" w:customStyle="1" w:styleId="QuoteChar">
    <w:name w:val="Quote Char"/>
    <w:basedOn w:val="DefaultParagraphFont"/>
    <w:link w:val="Quote"/>
    <w:uiPriority w:val="29"/>
    <w:rsid w:val="004F6205"/>
    <w:rPr>
      <w:i/>
      <w:iCs/>
    </w:rPr>
  </w:style>
  <w:style w:type="paragraph" w:styleId="IntenseQuote">
    <w:name w:val="Intense Quote"/>
    <w:basedOn w:val="Normal"/>
    <w:next w:val="Normal"/>
    <w:link w:val="IntenseQuoteChar"/>
    <w:uiPriority w:val="30"/>
    <w:qFormat/>
    <w:rsid w:val="004F6205"/>
    <w:pPr>
      <w:spacing w:before="120" w:line="300" w:lineRule="auto"/>
      <w:ind w:left="576" w:right="576"/>
      <w:jc w:val="center"/>
    </w:pPr>
    <w:rPr>
      <w:rFonts w:asciiTheme="majorHAnsi" w:eastAsiaTheme="majorEastAsia" w:hAnsiTheme="majorHAnsi" w:cstheme="majorBidi"/>
      <w:color w:val="0072BC" w:themeColor="accent1"/>
      <w:sz w:val="24"/>
      <w:szCs w:val="24"/>
    </w:rPr>
  </w:style>
  <w:style w:type="character" w:customStyle="1" w:styleId="IntenseQuoteChar">
    <w:name w:val="Intense Quote Char"/>
    <w:basedOn w:val="DefaultParagraphFont"/>
    <w:link w:val="IntenseQuote"/>
    <w:uiPriority w:val="30"/>
    <w:rsid w:val="004F6205"/>
    <w:rPr>
      <w:rFonts w:asciiTheme="majorHAnsi" w:eastAsiaTheme="majorEastAsia" w:hAnsiTheme="majorHAnsi" w:cstheme="majorBidi"/>
      <w:color w:val="0072BC" w:themeColor="accent1"/>
      <w:sz w:val="24"/>
      <w:szCs w:val="24"/>
    </w:rPr>
  </w:style>
  <w:style w:type="character" w:styleId="SubtleEmphasis">
    <w:name w:val="Subtle Emphasis"/>
    <w:basedOn w:val="DefaultParagraphFont"/>
    <w:uiPriority w:val="19"/>
    <w:qFormat/>
    <w:rsid w:val="004F6205"/>
    <w:rPr>
      <w:i/>
      <w:iCs/>
      <w:color w:val="404040" w:themeColor="text1" w:themeTint="BF"/>
    </w:rPr>
  </w:style>
  <w:style w:type="character" w:styleId="IntenseEmphasis">
    <w:name w:val="Intense Emphasis"/>
    <w:basedOn w:val="DefaultParagraphFont"/>
    <w:uiPriority w:val="21"/>
    <w:qFormat/>
    <w:rsid w:val="004F6205"/>
    <w:rPr>
      <w:b w:val="0"/>
      <w:bCs w:val="0"/>
      <w:i/>
      <w:iCs/>
      <w:color w:val="0072BC" w:themeColor="accent1"/>
    </w:rPr>
  </w:style>
  <w:style w:type="character" w:styleId="SubtleReference">
    <w:name w:val="Subtle Reference"/>
    <w:basedOn w:val="DefaultParagraphFont"/>
    <w:uiPriority w:val="31"/>
    <w:qFormat/>
    <w:rsid w:val="004F62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6205"/>
    <w:rPr>
      <w:b/>
      <w:bCs/>
      <w:smallCaps/>
      <w:color w:val="0072BC" w:themeColor="accent1"/>
      <w:spacing w:val="5"/>
      <w:u w:val="single"/>
    </w:rPr>
  </w:style>
  <w:style w:type="character" w:styleId="BookTitle">
    <w:name w:val="Book Title"/>
    <w:basedOn w:val="DefaultParagraphFont"/>
    <w:uiPriority w:val="33"/>
    <w:qFormat/>
    <w:rsid w:val="004F6205"/>
    <w:rPr>
      <w:b/>
      <w:bCs/>
      <w:smallCaps/>
    </w:rPr>
  </w:style>
  <w:style w:type="paragraph" w:styleId="TOCHeading">
    <w:name w:val="TOC Heading"/>
    <w:basedOn w:val="Heading1"/>
    <w:next w:val="Normal"/>
    <w:uiPriority w:val="39"/>
    <w:unhideWhenUsed/>
    <w:qFormat/>
    <w:rsid w:val="004F6205"/>
    <w:pPr>
      <w:outlineLvl w:val="9"/>
    </w:pPr>
  </w:style>
  <w:style w:type="character" w:styleId="Hyperlink">
    <w:name w:val="Hyperlink"/>
    <w:basedOn w:val="DefaultParagraphFont"/>
    <w:uiPriority w:val="99"/>
    <w:unhideWhenUsed/>
    <w:rsid w:val="009B7895"/>
    <w:rPr>
      <w:color w:val="005481" w:themeColor="hyperlink"/>
      <w:u w:val="single"/>
    </w:rPr>
  </w:style>
  <w:style w:type="character" w:styleId="UnresolvedMention">
    <w:name w:val="Unresolved Mention"/>
    <w:basedOn w:val="DefaultParagraphFont"/>
    <w:uiPriority w:val="99"/>
    <w:rsid w:val="009B7895"/>
    <w:rPr>
      <w:color w:val="605E5C"/>
      <w:shd w:val="clear" w:color="auto" w:fill="E1DFDD"/>
    </w:rPr>
  </w:style>
  <w:style w:type="paragraph" w:styleId="ListParagraph">
    <w:name w:val="List Paragraph"/>
    <w:basedOn w:val="Normal"/>
    <w:link w:val="ListParagraphChar"/>
    <w:uiPriority w:val="34"/>
    <w:qFormat/>
    <w:rsid w:val="00996481"/>
    <w:pPr>
      <w:spacing w:after="160"/>
      <w:ind w:left="720"/>
      <w:contextualSpacing/>
    </w:pPr>
    <w:rPr>
      <w:rFonts w:eastAsiaTheme="minorHAnsi"/>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36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01B"/>
    <w:rPr>
      <w:rFonts w:ascii="Segoe UI" w:hAnsi="Segoe UI" w:cs="Segoe UI"/>
      <w:sz w:val="18"/>
      <w:szCs w:val="18"/>
    </w:rPr>
  </w:style>
  <w:style w:type="paragraph" w:styleId="FootnoteText">
    <w:name w:val="footnote text"/>
    <w:basedOn w:val="Normal"/>
    <w:link w:val="FootnoteTextChar"/>
    <w:unhideWhenUsed/>
    <w:rsid w:val="0004553E"/>
    <w:pPr>
      <w:spacing w:after="0" w:line="240" w:lineRule="auto"/>
    </w:pPr>
    <w:rPr>
      <w:sz w:val="20"/>
      <w:szCs w:val="20"/>
    </w:rPr>
  </w:style>
  <w:style w:type="character" w:customStyle="1" w:styleId="FootnoteTextChar">
    <w:name w:val="Footnote Text Char"/>
    <w:basedOn w:val="DefaultParagraphFont"/>
    <w:link w:val="FootnoteText"/>
    <w:rsid w:val="0004553E"/>
    <w:rPr>
      <w:sz w:val="20"/>
      <w:szCs w:val="20"/>
    </w:rPr>
  </w:style>
  <w:style w:type="character" w:styleId="FootnoteReference">
    <w:name w:val="footnote reference"/>
    <w:basedOn w:val="DefaultParagraphFont"/>
    <w:semiHidden/>
    <w:unhideWhenUsed/>
    <w:rsid w:val="0004553E"/>
    <w:rPr>
      <w:vertAlign w:val="superscript"/>
    </w:rPr>
  </w:style>
  <w:style w:type="character" w:customStyle="1" w:styleId="ListParagraphChar">
    <w:name w:val="List Paragraph Char"/>
    <w:link w:val="ListParagraph"/>
    <w:uiPriority w:val="34"/>
    <w:rsid w:val="005173E4"/>
    <w:rPr>
      <w:rFonts w:eastAsiaTheme="minorHAnsi"/>
    </w:rPr>
  </w:style>
  <w:style w:type="character" w:customStyle="1" w:styleId="highlight">
    <w:name w:val="highlight"/>
    <w:basedOn w:val="DefaultParagraphFont"/>
    <w:rsid w:val="00466F0F"/>
  </w:style>
  <w:style w:type="paragraph" w:styleId="CommentSubject">
    <w:name w:val="annotation subject"/>
    <w:basedOn w:val="CommentText"/>
    <w:next w:val="CommentText"/>
    <w:link w:val="CommentSubjectChar"/>
    <w:uiPriority w:val="99"/>
    <w:semiHidden/>
    <w:unhideWhenUsed/>
    <w:rsid w:val="00F872CB"/>
    <w:rPr>
      <w:b/>
      <w:bCs/>
    </w:rPr>
  </w:style>
  <w:style w:type="character" w:customStyle="1" w:styleId="CommentSubjectChar">
    <w:name w:val="Comment Subject Char"/>
    <w:basedOn w:val="CommentTextChar"/>
    <w:link w:val="CommentSubject"/>
    <w:uiPriority w:val="99"/>
    <w:semiHidden/>
    <w:rsid w:val="00F872CB"/>
    <w:rPr>
      <w:b/>
      <w:bCs/>
      <w:sz w:val="20"/>
      <w:szCs w:val="20"/>
    </w:rPr>
  </w:style>
  <w:style w:type="table" w:styleId="TableGridLight">
    <w:name w:val="Grid Table Light"/>
    <w:basedOn w:val="TableNormal"/>
    <w:uiPriority w:val="40"/>
    <w:rsid w:val="003F5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065599"/>
    <w:pPr>
      <w:spacing w:after="100"/>
    </w:pPr>
  </w:style>
  <w:style w:type="paragraph" w:styleId="TOC2">
    <w:name w:val="toc 2"/>
    <w:basedOn w:val="Normal"/>
    <w:next w:val="Normal"/>
    <w:autoRedefine/>
    <w:uiPriority w:val="39"/>
    <w:unhideWhenUsed/>
    <w:rsid w:val="00065599"/>
    <w:pPr>
      <w:spacing w:after="100"/>
      <w:ind w:left="220"/>
    </w:pPr>
  </w:style>
  <w:style w:type="paragraph" w:styleId="HTMLPreformatted">
    <w:name w:val="HTML Preformatted"/>
    <w:basedOn w:val="Normal"/>
    <w:link w:val="HTMLPreformattedChar"/>
    <w:uiPriority w:val="99"/>
    <w:semiHidden/>
    <w:unhideWhenUsed/>
    <w:rsid w:val="008D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828"/>
    <w:rPr>
      <w:rFonts w:ascii="Courier New" w:eastAsia="Times New Roman" w:hAnsi="Courier New" w:cs="Courier New"/>
      <w:sz w:val="20"/>
      <w:szCs w:val="20"/>
    </w:rPr>
  </w:style>
  <w:style w:type="character" w:customStyle="1" w:styleId="gnkrckgcgsb">
    <w:name w:val="gnkrckgcgsb"/>
    <w:basedOn w:val="DefaultParagraphFont"/>
    <w:rsid w:val="008D7828"/>
  </w:style>
  <w:style w:type="paragraph" w:customStyle="1" w:styleId="TabFigSW">
    <w:name w:val="TabFig_SW"/>
    <w:basedOn w:val="Quote"/>
    <w:link w:val="TabFigSWChar"/>
    <w:qFormat/>
    <w:rsid w:val="00457FA6"/>
    <w:pPr>
      <w:spacing w:before="0" w:after="0" w:line="240" w:lineRule="auto"/>
    </w:pPr>
    <w:rPr>
      <w:color w:val="0072BC" w:themeColor="accent1"/>
      <w14:textFill>
        <w14:solidFill>
          <w14:schemeClr w14:val="accent1">
            <w14:lumMod w14:val="50000"/>
            <w14:lumMod w14:val="75000"/>
            <w14:lumOff w14:val="25000"/>
          </w14:schemeClr>
        </w14:solidFill>
      </w14:textFill>
    </w:rPr>
  </w:style>
  <w:style w:type="character" w:customStyle="1" w:styleId="TabFigSWChar">
    <w:name w:val="TabFig_SW Char"/>
    <w:basedOn w:val="QuoteChar"/>
    <w:link w:val="TabFigSW"/>
    <w:rsid w:val="00457FA6"/>
    <w:rPr>
      <w:i/>
      <w:iCs/>
      <w:color w:val="0072BC" w:themeColor="accent1"/>
      <w14:textFill>
        <w14:solidFill>
          <w14:schemeClr w14:val="accent1">
            <w14:lumMod w14:val="50000"/>
            <w14:lumMod w14:val="75000"/>
            <w14:lumOff w14:val="2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73308">
      <w:bodyDiv w:val="1"/>
      <w:marLeft w:val="0"/>
      <w:marRight w:val="0"/>
      <w:marTop w:val="0"/>
      <w:marBottom w:val="0"/>
      <w:divBdr>
        <w:top w:val="none" w:sz="0" w:space="0" w:color="auto"/>
        <w:left w:val="none" w:sz="0" w:space="0" w:color="auto"/>
        <w:bottom w:val="none" w:sz="0" w:space="0" w:color="auto"/>
        <w:right w:val="none" w:sz="0" w:space="0" w:color="auto"/>
      </w:divBdr>
    </w:div>
    <w:div w:id="320234723">
      <w:bodyDiv w:val="1"/>
      <w:marLeft w:val="0"/>
      <w:marRight w:val="0"/>
      <w:marTop w:val="0"/>
      <w:marBottom w:val="0"/>
      <w:divBdr>
        <w:top w:val="none" w:sz="0" w:space="0" w:color="auto"/>
        <w:left w:val="none" w:sz="0" w:space="0" w:color="auto"/>
        <w:bottom w:val="none" w:sz="0" w:space="0" w:color="auto"/>
        <w:right w:val="none" w:sz="0" w:space="0" w:color="auto"/>
      </w:divBdr>
    </w:div>
    <w:div w:id="452790485">
      <w:bodyDiv w:val="1"/>
      <w:marLeft w:val="0"/>
      <w:marRight w:val="0"/>
      <w:marTop w:val="0"/>
      <w:marBottom w:val="0"/>
      <w:divBdr>
        <w:top w:val="none" w:sz="0" w:space="0" w:color="auto"/>
        <w:left w:val="none" w:sz="0" w:space="0" w:color="auto"/>
        <w:bottom w:val="none" w:sz="0" w:space="0" w:color="auto"/>
        <w:right w:val="none" w:sz="0" w:space="0" w:color="auto"/>
      </w:divBdr>
    </w:div>
    <w:div w:id="453601124">
      <w:bodyDiv w:val="1"/>
      <w:marLeft w:val="0"/>
      <w:marRight w:val="0"/>
      <w:marTop w:val="0"/>
      <w:marBottom w:val="0"/>
      <w:divBdr>
        <w:top w:val="none" w:sz="0" w:space="0" w:color="auto"/>
        <w:left w:val="none" w:sz="0" w:space="0" w:color="auto"/>
        <w:bottom w:val="none" w:sz="0" w:space="0" w:color="auto"/>
        <w:right w:val="none" w:sz="0" w:space="0" w:color="auto"/>
      </w:divBdr>
    </w:div>
    <w:div w:id="480468358">
      <w:bodyDiv w:val="1"/>
      <w:marLeft w:val="0"/>
      <w:marRight w:val="0"/>
      <w:marTop w:val="0"/>
      <w:marBottom w:val="0"/>
      <w:divBdr>
        <w:top w:val="none" w:sz="0" w:space="0" w:color="auto"/>
        <w:left w:val="none" w:sz="0" w:space="0" w:color="auto"/>
        <w:bottom w:val="none" w:sz="0" w:space="0" w:color="auto"/>
        <w:right w:val="none" w:sz="0" w:space="0" w:color="auto"/>
      </w:divBdr>
    </w:div>
    <w:div w:id="537161798">
      <w:bodyDiv w:val="1"/>
      <w:marLeft w:val="0"/>
      <w:marRight w:val="0"/>
      <w:marTop w:val="0"/>
      <w:marBottom w:val="0"/>
      <w:divBdr>
        <w:top w:val="none" w:sz="0" w:space="0" w:color="auto"/>
        <w:left w:val="none" w:sz="0" w:space="0" w:color="auto"/>
        <w:bottom w:val="none" w:sz="0" w:space="0" w:color="auto"/>
        <w:right w:val="none" w:sz="0" w:space="0" w:color="auto"/>
      </w:divBdr>
    </w:div>
    <w:div w:id="602420635">
      <w:bodyDiv w:val="1"/>
      <w:marLeft w:val="0"/>
      <w:marRight w:val="0"/>
      <w:marTop w:val="0"/>
      <w:marBottom w:val="0"/>
      <w:divBdr>
        <w:top w:val="none" w:sz="0" w:space="0" w:color="auto"/>
        <w:left w:val="none" w:sz="0" w:space="0" w:color="auto"/>
        <w:bottom w:val="none" w:sz="0" w:space="0" w:color="auto"/>
        <w:right w:val="none" w:sz="0" w:space="0" w:color="auto"/>
      </w:divBdr>
    </w:div>
    <w:div w:id="731579770">
      <w:bodyDiv w:val="1"/>
      <w:marLeft w:val="0"/>
      <w:marRight w:val="0"/>
      <w:marTop w:val="0"/>
      <w:marBottom w:val="0"/>
      <w:divBdr>
        <w:top w:val="none" w:sz="0" w:space="0" w:color="auto"/>
        <w:left w:val="none" w:sz="0" w:space="0" w:color="auto"/>
        <w:bottom w:val="none" w:sz="0" w:space="0" w:color="auto"/>
        <w:right w:val="none" w:sz="0" w:space="0" w:color="auto"/>
      </w:divBdr>
    </w:div>
    <w:div w:id="816191375">
      <w:bodyDiv w:val="1"/>
      <w:marLeft w:val="0"/>
      <w:marRight w:val="0"/>
      <w:marTop w:val="0"/>
      <w:marBottom w:val="0"/>
      <w:divBdr>
        <w:top w:val="none" w:sz="0" w:space="0" w:color="auto"/>
        <w:left w:val="none" w:sz="0" w:space="0" w:color="auto"/>
        <w:bottom w:val="none" w:sz="0" w:space="0" w:color="auto"/>
        <w:right w:val="none" w:sz="0" w:space="0" w:color="auto"/>
      </w:divBdr>
    </w:div>
    <w:div w:id="841090207">
      <w:bodyDiv w:val="1"/>
      <w:marLeft w:val="0"/>
      <w:marRight w:val="0"/>
      <w:marTop w:val="0"/>
      <w:marBottom w:val="0"/>
      <w:divBdr>
        <w:top w:val="none" w:sz="0" w:space="0" w:color="auto"/>
        <w:left w:val="none" w:sz="0" w:space="0" w:color="auto"/>
        <w:bottom w:val="none" w:sz="0" w:space="0" w:color="auto"/>
        <w:right w:val="none" w:sz="0" w:space="0" w:color="auto"/>
      </w:divBdr>
    </w:div>
    <w:div w:id="882987580">
      <w:bodyDiv w:val="1"/>
      <w:marLeft w:val="0"/>
      <w:marRight w:val="0"/>
      <w:marTop w:val="0"/>
      <w:marBottom w:val="0"/>
      <w:divBdr>
        <w:top w:val="none" w:sz="0" w:space="0" w:color="auto"/>
        <w:left w:val="none" w:sz="0" w:space="0" w:color="auto"/>
        <w:bottom w:val="none" w:sz="0" w:space="0" w:color="auto"/>
        <w:right w:val="none" w:sz="0" w:space="0" w:color="auto"/>
      </w:divBdr>
    </w:div>
    <w:div w:id="1107040708">
      <w:bodyDiv w:val="1"/>
      <w:marLeft w:val="0"/>
      <w:marRight w:val="0"/>
      <w:marTop w:val="0"/>
      <w:marBottom w:val="0"/>
      <w:divBdr>
        <w:top w:val="none" w:sz="0" w:space="0" w:color="auto"/>
        <w:left w:val="none" w:sz="0" w:space="0" w:color="auto"/>
        <w:bottom w:val="none" w:sz="0" w:space="0" w:color="auto"/>
        <w:right w:val="none" w:sz="0" w:space="0" w:color="auto"/>
      </w:divBdr>
    </w:div>
    <w:div w:id="1306468730">
      <w:bodyDiv w:val="1"/>
      <w:marLeft w:val="0"/>
      <w:marRight w:val="0"/>
      <w:marTop w:val="0"/>
      <w:marBottom w:val="0"/>
      <w:divBdr>
        <w:top w:val="none" w:sz="0" w:space="0" w:color="auto"/>
        <w:left w:val="none" w:sz="0" w:space="0" w:color="auto"/>
        <w:bottom w:val="none" w:sz="0" w:space="0" w:color="auto"/>
        <w:right w:val="none" w:sz="0" w:space="0" w:color="auto"/>
      </w:divBdr>
    </w:div>
    <w:div w:id="1323848894">
      <w:bodyDiv w:val="1"/>
      <w:marLeft w:val="0"/>
      <w:marRight w:val="0"/>
      <w:marTop w:val="0"/>
      <w:marBottom w:val="0"/>
      <w:divBdr>
        <w:top w:val="none" w:sz="0" w:space="0" w:color="auto"/>
        <w:left w:val="none" w:sz="0" w:space="0" w:color="auto"/>
        <w:bottom w:val="none" w:sz="0" w:space="0" w:color="auto"/>
        <w:right w:val="none" w:sz="0" w:space="0" w:color="auto"/>
      </w:divBdr>
    </w:div>
    <w:div w:id="1457718056">
      <w:bodyDiv w:val="1"/>
      <w:marLeft w:val="0"/>
      <w:marRight w:val="0"/>
      <w:marTop w:val="0"/>
      <w:marBottom w:val="0"/>
      <w:divBdr>
        <w:top w:val="none" w:sz="0" w:space="0" w:color="auto"/>
        <w:left w:val="none" w:sz="0" w:space="0" w:color="auto"/>
        <w:bottom w:val="none" w:sz="0" w:space="0" w:color="auto"/>
        <w:right w:val="none" w:sz="0" w:space="0" w:color="auto"/>
      </w:divBdr>
      <w:divsChild>
        <w:div w:id="1373115859">
          <w:marLeft w:val="0"/>
          <w:marRight w:val="0"/>
          <w:marTop w:val="0"/>
          <w:marBottom w:val="0"/>
          <w:divBdr>
            <w:top w:val="none" w:sz="0" w:space="0" w:color="auto"/>
            <w:left w:val="none" w:sz="0" w:space="0" w:color="auto"/>
            <w:bottom w:val="none" w:sz="0" w:space="0" w:color="auto"/>
            <w:right w:val="none" w:sz="0" w:space="0" w:color="auto"/>
          </w:divBdr>
        </w:div>
      </w:divsChild>
    </w:div>
    <w:div w:id="1554345614">
      <w:bodyDiv w:val="1"/>
      <w:marLeft w:val="0"/>
      <w:marRight w:val="0"/>
      <w:marTop w:val="0"/>
      <w:marBottom w:val="0"/>
      <w:divBdr>
        <w:top w:val="none" w:sz="0" w:space="0" w:color="auto"/>
        <w:left w:val="none" w:sz="0" w:space="0" w:color="auto"/>
        <w:bottom w:val="none" w:sz="0" w:space="0" w:color="auto"/>
        <w:right w:val="none" w:sz="0" w:space="0" w:color="auto"/>
      </w:divBdr>
    </w:div>
    <w:div w:id="1638142805">
      <w:bodyDiv w:val="1"/>
      <w:marLeft w:val="0"/>
      <w:marRight w:val="0"/>
      <w:marTop w:val="0"/>
      <w:marBottom w:val="0"/>
      <w:divBdr>
        <w:top w:val="none" w:sz="0" w:space="0" w:color="auto"/>
        <w:left w:val="none" w:sz="0" w:space="0" w:color="auto"/>
        <w:bottom w:val="none" w:sz="0" w:space="0" w:color="auto"/>
        <w:right w:val="none" w:sz="0" w:space="0" w:color="auto"/>
      </w:divBdr>
    </w:div>
    <w:div w:id="1671057358">
      <w:bodyDiv w:val="1"/>
      <w:marLeft w:val="0"/>
      <w:marRight w:val="0"/>
      <w:marTop w:val="0"/>
      <w:marBottom w:val="0"/>
      <w:divBdr>
        <w:top w:val="none" w:sz="0" w:space="0" w:color="auto"/>
        <w:left w:val="none" w:sz="0" w:space="0" w:color="auto"/>
        <w:bottom w:val="none" w:sz="0" w:space="0" w:color="auto"/>
        <w:right w:val="none" w:sz="0" w:space="0" w:color="auto"/>
      </w:divBdr>
    </w:div>
    <w:div w:id="1703558098">
      <w:bodyDiv w:val="1"/>
      <w:marLeft w:val="0"/>
      <w:marRight w:val="0"/>
      <w:marTop w:val="0"/>
      <w:marBottom w:val="0"/>
      <w:divBdr>
        <w:top w:val="none" w:sz="0" w:space="0" w:color="auto"/>
        <w:left w:val="none" w:sz="0" w:space="0" w:color="auto"/>
        <w:bottom w:val="none" w:sz="0" w:space="0" w:color="auto"/>
        <w:right w:val="none" w:sz="0" w:space="0" w:color="auto"/>
      </w:divBdr>
    </w:div>
    <w:div w:id="1791435136">
      <w:bodyDiv w:val="1"/>
      <w:marLeft w:val="0"/>
      <w:marRight w:val="0"/>
      <w:marTop w:val="0"/>
      <w:marBottom w:val="0"/>
      <w:divBdr>
        <w:top w:val="none" w:sz="0" w:space="0" w:color="auto"/>
        <w:left w:val="none" w:sz="0" w:space="0" w:color="auto"/>
        <w:bottom w:val="none" w:sz="0" w:space="0" w:color="auto"/>
        <w:right w:val="none" w:sz="0" w:space="0" w:color="auto"/>
      </w:divBdr>
    </w:div>
    <w:div w:id="1959530867">
      <w:bodyDiv w:val="1"/>
      <w:marLeft w:val="0"/>
      <w:marRight w:val="0"/>
      <w:marTop w:val="0"/>
      <w:marBottom w:val="0"/>
      <w:divBdr>
        <w:top w:val="none" w:sz="0" w:space="0" w:color="auto"/>
        <w:left w:val="none" w:sz="0" w:space="0" w:color="auto"/>
        <w:bottom w:val="none" w:sz="0" w:space="0" w:color="auto"/>
        <w:right w:val="none" w:sz="0" w:space="0" w:color="auto"/>
      </w:divBdr>
      <w:divsChild>
        <w:div w:id="33777918">
          <w:marLeft w:val="0"/>
          <w:marRight w:val="0"/>
          <w:marTop w:val="0"/>
          <w:marBottom w:val="0"/>
          <w:divBdr>
            <w:top w:val="none" w:sz="0" w:space="0" w:color="auto"/>
            <w:left w:val="none" w:sz="0" w:space="0" w:color="auto"/>
            <w:bottom w:val="none" w:sz="0" w:space="0" w:color="auto"/>
            <w:right w:val="none" w:sz="0" w:space="0" w:color="auto"/>
          </w:divBdr>
        </w:div>
      </w:divsChild>
    </w:div>
    <w:div w:id="21436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microdata.worldbank.org/index.php/catalog/3410" TargetMode="External"/><Relationship Id="rId1" Type="http://schemas.openxmlformats.org/officeDocument/2006/relationships/hyperlink" Target="https://reliefweb.int/report/somalia/internal-displacement-profiling-hargeisa-december-201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b559167\UNHCR\Joint%20Data%20Center%20on%20Forced%20Displacement%20(JDC)%20-%20General\JDC%20Administration%20and%20Management\Logos%20and%20Briefs\59842%20-%20Logos%20and%20Branding\JDC-Doc-template-v2.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95E1D8-60B9-4B99-AA79-C460ECE22CE1}"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D508F210-5F19-43D4-A985-690F68BD34FD}">
      <dgm:prSet phldrT="[Text]" custT="1"/>
      <dgm:spPr/>
      <dgm:t>
        <a:bodyPr/>
        <a:lstStyle/>
        <a:p>
          <a:r>
            <a:rPr lang="en-US" sz="600"/>
            <a:t>Dataset </a:t>
          </a:r>
        </a:p>
      </dgm:t>
    </dgm:pt>
    <dgm:pt modelId="{5528C7A3-0D6F-43CB-90C5-DFD5A0B29F9C}" type="parTrans" cxnId="{0BEBFF2A-1B2C-4997-AD30-4D8A4EF05D98}">
      <dgm:prSet/>
      <dgm:spPr/>
      <dgm:t>
        <a:bodyPr/>
        <a:lstStyle/>
        <a:p>
          <a:endParaRPr lang="en-US"/>
        </a:p>
      </dgm:t>
    </dgm:pt>
    <dgm:pt modelId="{5CB0CCE6-FF99-4353-A41B-B599472343A8}" type="sibTrans" cxnId="{0BEBFF2A-1B2C-4997-AD30-4D8A4EF05D98}">
      <dgm:prSet/>
      <dgm:spPr/>
      <dgm:t>
        <a:bodyPr/>
        <a:lstStyle/>
        <a:p>
          <a:endParaRPr lang="en-US"/>
        </a:p>
      </dgm:t>
    </dgm:pt>
    <dgm:pt modelId="{68A35F0C-C209-4B53-AFB0-28808AF99A7B}">
      <dgm:prSet phldrT="[Text]" custT="1"/>
      <dgm:spPr/>
      <dgm:t>
        <a:bodyPr/>
        <a:lstStyle/>
        <a:p>
          <a:r>
            <a:rPr lang="en-US" sz="600"/>
            <a:t>Combination 1 of 10 indicators</a:t>
          </a:r>
        </a:p>
      </dgm:t>
    </dgm:pt>
    <dgm:pt modelId="{D57BDAAB-AB5B-4F2B-BBE9-97A46702FE66}" type="parTrans" cxnId="{EE9BFADC-395F-48B4-B7C1-EBFA6E6EC37F}">
      <dgm:prSet custT="1"/>
      <dgm:spPr/>
      <dgm:t>
        <a:bodyPr/>
        <a:lstStyle/>
        <a:p>
          <a:endParaRPr lang="en-US" sz="600"/>
        </a:p>
      </dgm:t>
    </dgm:pt>
    <dgm:pt modelId="{F692E094-DF93-4697-B794-5CA3A884CF1A}" type="sibTrans" cxnId="{EE9BFADC-395F-48B4-B7C1-EBFA6E6EC37F}">
      <dgm:prSet/>
      <dgm:spPr/>
      <dgm:t>
        <a:bodyPr/>
        <a:lstStyle/>
        <a:p>
          <a:endParaRPr lang="en-US"/>
        </a:p>
      </dgm:t>
    </dgm:pt>
    <dgm:pt modelId="{B0846704-DA20-4AEB-8C3C-19300743BA66}">
      <dgm:prSet phldrT="[Text]" custT="1"/>
      <dgm:spPr/>
      <dgm:t>
        <a:bodyPr/>
        <a:lstStyle/>
        <a:p>
          <a:r>
            <a:rPr lang="en-US" sz="600"/>
            <a:t>Metrics option 1</a:t>
          </a:r>
        </a:p>
      </dgm:t>
    </dgm:pt>
    <dgm:pt modelId="{B8751CA5-9493-4F81-890F-63EEF271A44E}" type="parTrans" cxnId="{FB8B538E-B67F-4876-A786-6885D05B9A71}">
      <dgm:prSet custT="1"/>
      <dgm:spPr/>
      <dgm:t>
        <a:bodyPr/>
        <a:lstStyle/>
        <a:p>
          <a:endParaRPr lang="en-US" sz="600"/>
        </a:p>
      </dgm:t>
    </dgm:pt>
    <dgm:pt modelId="{86A48EB6-9196-4359-BA91-66EEDD4589F5}" type="sibTrans" cxnId="{FB8B538E-B67F-4876-A786-6885D05B9A71}">
      <dgm:prSet/>
      <dgm:spPr/>
      <dgm:t>
        <a:bodyPr/>
        <a:lstStyle/>
        <a:p>
          <a:endParaRPr lang="en-US"/>
        </a:p>
      </dgm:t>
    </dgm:pt>
    <dgm:pt modelId="{6BB4A1C4-1B09-49BB-B96B-29BD5B2658E2}">
      <dgm:prSet phldrT="[Text]" custT="1"/>
      <dgm:spPr/>
      <dgm:t>
        <a:bodyPr/>
        <a:lstStyle/>
        <a:p>
          <a:r>
            <a:rPr lang="en-US" sz="600"/>
            <a:t>Metrics option  4</a:t>
          </a:r>
        </a:p>
      </dgm:t>
    </dgm:pt>
    <dgm:pt modelId="{A86921F3-F669-4B2D-B03F-1B234D15C939}" type="parTrans" cxnId="{B2366A44-3BCE-4E48-A33D-AAF83AAE0EDC}">
      <dgm:prSet custT="1"/>
      <dgm:spPr/>
      <dgm:t>
        <a:bodyPr/>
        <a:lstStyle/>
        <a:p>
          <a:endParaRPr lang="en-US" sz="600"/>
        </a:p>
      </dgm:t>
    </dgm:pt>
    <dgm:pt modelId="{E6B13326-E4DE-4B22-A29E-8FD864975E6A}" type="sibTrans" cxnId="{B2366A44-3BCE-4E48-A33D-AAF83AAE0EDC}">
      <dgm:prSet/>
      <dgm:spPr/>
      <dgm:t>
        <a:bodyPr/>
        <a:lstStyle/>
        <a:p>
          <a:endParaRPr lang="en-US"/>
        </a:p>
      </dgm:t>
    </dgm:pt>
    <dgm:pt modelId="{B0E097C3-C667-4190-A822-E2C65AAEA9F1}">
      <dgm:prSet phldrT="[Text]" custT="1"/>
      <dgm:spPr>
        <a:solidFill>
          <a:schemeClr val="bg1">
            <a:lumMod val="95000"/>
          </a:schemeClr>
        </a:solidFill>
      </dgm:spPr>
      <dgm:t>
        <a:bodyPr/>
        <a:lstStyle/>
        <a:p>
          <a:r>
            <a:rPr lang="en-US" sz="600"/>
            <a:t>Combination 2 of 10 indicators</a:t>
          </a:r>
        </a:p>
      </dgm:t>
    </dgm:pt>
    <dgm:pt modelId="{946BE7E0-E948-49B0-8A87-160C8034B979}" type="parTrans" cxnId="{4FCE24E0-D789-4EDE-A329-E53694061882}">
      <dgm:prSet custT="1"/>
      <dgm:spPr/>
      <dgm:t>
        <a:bodyPr/>
        <a:lstStyle/>
        <a:p>
          <a:endParaRPr lang="en-US" sz="600"/>
        </a:p>
      </dgm:t>
    </dgm:pt>
    <dgm:pt modelId="{C2787F33-8016-45BB-817A-3EFBC44B2B79}" type="sibTrans" cxnId="{4FCE24E0-D789-4EDE-A329-E53694061882}">
      <dgm:prSet/>
      <dgm:spPr/>
      <dgm:t>
        <a:bodyPr/>
        <a:lstStyle/>
        <a:p>
          <a:endParaRPr lang="en-US"/>
        </a:p>
      </dgm:t>
    </dgm:pt>
    <dgm:pt modelId="{2DDB9F27-E2BD-48FE-B74B-3B23D3D464AD}">
      <dgm:prSet custT="1"/>
      <dgm:spPr>
        <a:solidFill>
          <a:schemeClr val="bg1">
            <a:lumMod val="95000"/>
          </a:schemeClr>
        </a:solidFill>
      </dgm:spPr>
      <dgm:t>
        <a:bodyPr/>
        <a:lstStyle/>
        <a:p>
          <a:r>
            <a:rPr lang="en-US" sz="600"/>
            <a:t>Iterate through the pass/fail and the 1-5 metrics options</a:t>
          </a:r>
        </a:p>
      </dgm:t>
    </dgm:pt>
    <dgm:pt modelId="{C393F94B-65F8-43CB-A9A6-2911BED3377F}" type="parTrans" cxnId="{C3CAD697-69C5-4EB4-8D1A-C206FA80CA11}">
      <dgm:prSet custT="1"/>
      <dgm:spPr/>
      <dgm:t>
        <a:bodyPr/>
        <a:lstStyle/>
        <a:p>
          <a:endParaRPr lang="en-US" sz="600"/>
        </a:p>
      </dgm:t>
    </dgm:pt>
    <dgm:pt modelId="{D7EEAC2B-2D2D-496E-BD7A-FDDBE26EBC61}" type="sibTrans" cxnId="{C3CAD697-69C5-4EB4-8D1A-C206FA80CA11}">
      <dgm:prSet/>
      <dgm:spPr/>
      <dgm:t>
        <a:bodyPr/>
        <a:lstStyle/>
        <a:p>
          <a:endParaRPr lang="en-US"/>
        </a:p>
      </dgm:t>
    </dgm:pt>
    <dgm:pt modelId="{DB5F6279-5063-4F2F-A136-A315675F31D1}">
      <dgm:prSet custT="1"/>
      <dgm:spPr>
        <a:solidFill>
          <a:schemeClr val="bg1">
            <a:lumMod val="95000"/>
          </a:schemeClr>
        </a:solidFill>
      </dgm:spPr>
      <dgm:t>
        <a:bodyPr/>
        <a:lstStyle/>
        <a:p>
          <a:r>
            <a:rPr lang="en-US" sz="600"/>
            <a:t>Combination ... of 10 indicators</a:t>
          </a:r>
        </a:p>
      </dgm:t>
    </dgm:pt>
    <dgm:pt modelId="{6A124D95-02D3-43B0-868C-E97342C7C2E6}" type="parTrans" cxnId="{42BB2314-FAC7-4EE6-B003-6FB24698D884}">
      <dgm:prSet custT="1"/>
      <dgm:spPr/>
      <dgm:t>
        <a:bodyPr/>
        <a:lstStyle/>
        <a:p>
          <a:endParaRPr lang="en-US" sz="600"/>
        </a:p>
      </dgm:t>
    </dgm:pt>
    <dgm:pt modelId="{33E3AF8C-B478-495C-BB59-674903321950}" type="sibTrans" cxnId="{42BB2314-FAC7-4EE6-B003-6FB24698D884}">
      <dgm:prSet/>
      <dgm:spPr/>
      <dgm:t>
        <a:bodyPr/>
        <a:lstStyle/>
        <a:p>
          <a:endParaRPr lang="en-US"/>
        </a:p>
      </dgm:t>
    </dgm:pt>
    <dgm:pt modelId="{E93F7751-72A4-4408-9E97-3548E2EE5316}">
      <dgm:prSet custT="1"/>
      <dgm:spPr/>
      <dgm:t>
        <a:bodyPr/>
        <a:lstStyle/>
        <a:p>
          <a:r>
            <a:rPr lang="en-US" sz="600"/>
            <a:t>Metrics option 3</a:t>
          </a:r>
        </a:p>
      </dgm:t>
    </dgm:pt>
    <dgm:pt modelId="{9702EF54-07FA-4EB8-A5CE-2F13502B4668}" type="parTrans" cxnId="{117A64E3-04E8-4060-AC1C-8457EDE36796}">
      <dgm:prSet custT="1"/>
      <dgm:spPr/>
      <dgm:t>
        <a:bodyPr/>
        <a:lstStyle/>
        <a:p>
          <a:endParaRPr lang="en-US" sz="600"/>
        </a:p>
      </dgm:t>
    </dgm:pt>
    <dgm:pt modelId="{0EEE6F51-C12B-4CA8-927C-75C17D916136}" type="sibTrans" cxnId="{117A64E3-04E8-4060-AC1C-8457EDE36796}">
      <dgm:prSet/>
      <dgm:spPr/>
      <dgm:t>
        <a:bodyPr/>
        <a:lstStyle/>
        <a:p>
          <a:endParaRPr lang="en-US"/>
        </a:p>
      </dgm:t>
    </dgm:pt>
    <dgm:pt modelId="{69D1C112-71E9-428C-85CD-F29F31AF6458}">
      <dgm:prSet custT="1"/>
      <dgm:spPr/>
      <dgm:t>
        <a:bodyPr/>
        <a:lstStyle/>
        <a:p>
          <a:r>
            <a:rPr lang="en-US" sz="600"/>
            <a:t>Metrics option 2</a:t>
          </a:r>
        </a:p>
      </dgm:t>
    </dgm:pt>
    <dgm:pt modelId="{59B6F3CD-1059-428B-A1C8-18800E10DF8D}" type="parTrans" cxnId="{42C64D5B-CC08-45BF-9F6D-EA957DE65522}">
      <dgm:prSet custT="1"/>
      <dgm:spPr/>
      <dgm:t>
        <a:bodyPr/>
        <a:lstStyle/>
        <a:p>
          <a:endParaRPr lang="en-US" sz="600"/>
        </a:p>
      </dgm:t>
    </dgm:pt>
    <dgm:pt modelId="{C8978E05-BCF0-4BCD-8FFB-BF1C08F5FD5E}" type="sibTrans" cxnId="{42C64D5B-CC08-45BF-9F6D-EA957DE65522}">
      <dgm:prSet/>
      <dgm:spPr/>
      <dgm:t>
        <a:bodyPr/>
        <a:lstStyle/>
        <a:p>
          <a:endParaRPr lang="en-US"/>
        </a:p>
      </dgm:t>
    </dgm:pt>
    <dgm:pt modelId="{2122059E-EE31-47BB-B2A1-21D7C72F7497}">
      <dgm:prSet custT="1"/>
      <dgm:spPr>
        <a:solidFill>
          <a:schemeClr val="bg1">
            <a:lumMod val="95000"/>
          </a:schemeClr>
        </a:solidFill>
      </dgm:spPr>
      <dgm:t>
        <a:bodyPr/>
        <a:lstStyle/>
        <a:p>
          <a:r>
            <a:rPr lang="en-US" sz="600"/>
            <a:t>Iterate through the pass/fail and the 1-5 metrics options</a:t>
          </a:r>
        </a:p>
      </dgm:t>
    </dgm:pt>
    <dgm:pt modelId="{1FAB6554-75F7-40D0-8A16-BE9EB3CFC053}" type="parTrans" cxnId="{650C7688-A50B-493B-AD6C-3A8A55018D9F}">
      <dgm:prSet custT="1"/>
      <dgm:spPr/>
      <dgm:t>
        <a:bodyPr/>
        <a:lstStyle/>
        <a:p>
          <a:endParaRPr lang="en-US" sz="600"/>
        </a:p>
      </dgm:t>
    </dgm:pt>
    <dgm:pt modelId="{3304A1FB-46A5-4C8C-9E2F-5DE1C60F229E}" type="sibTrans" cxnId="{650C7688-A50B-493B-AD6C-3A8A55018D9F}">
      <dgm:prSet/>
      <dgm:spPr/>
      <dgm:t>
        <a:bodyPr/>
        <a:lstStyle/>
        <a:p>
          <a:endParaRPr lang="en-US"/>
        </a:p>
      </dgm:t>
    </dgm:pt>
    <dgm:pt modelId="{EF6A1120-A1D3-43CD-AFEB-1E43D96BA38E}">
      <dgm:prSet custT="1"/>
      <dgm:spPr>
        <a:solidFill>
          <a:schemeClr val="bg1">
            <a:lumMod val="95000"/>
          </a:schemeClr>
        </a:solidFill>
      </dgm:spPr>
      <dgm:t>
        <a:bodyPr/>
        <a:lstStyle/>
        <a:p>
          <a:r>
            <a:rPr lang="en-US" sz="600"/>
            <a:t>Report number of IDPs achieving a durable solution for each metrics option</a:t>
          </a:r>
        </a:p>
      </dgm:t>
    </dgm:pt>
    <dgm:pt modelId="{A88DD318-840F-4D4A-9D4E-867F47DF8CF4}" type="parTrans" cxnId="{5ACE9942-7A85-49D5-85BC-7DD915AC15F3}">
      <dgm:prSet custT="1"/>
      <dgm:spPr/>
      <dgm:t>
        <a:bodyPr/>
        <a:lstStyle/>
        <a:p>
          <a:endParaRPr lang="en-US" sz="600"/>
        </a:p>
      </dgm:t>
    </dgm:pt>
    <dgm:pt modelId="{1B294F6F-AFC3-45A7-84D8-DEF89B9C799A}" type="sibTrans" cxnId="{5ACE9942-7A85-49D5-85BC-7DD915AC15F3}">
      <dgm:prSet/>
      <dgm:spPr/>
      <dgm:t>
        <a:bodyPr/>
        <a:lstStyle/>
        <a:p>
          <a:endParaRPr lang="en-US"/>
        </a:p>
      </dgm:t>
    </dgm:pt>
    <dgm:pt modelId="{746F3D2A-8683-4E36-9079-7B5E3F82E432}">
      <dgm:prSet custT="1"/>
      <dgm:spPr>
        <a:solidFill>
          <a:schemeClr val="bg1">
            <a:lumMod val="95000"/>
          </a:schemeClr>
        </a:solidFill>
      </dgm:spPr>
      <dgm:t>
        <a:bodyPr/>
        <a:lstStyle/>
        <a:p>
          <a:r>
            <a:rPr lang="en-US" sz="600"/>
            <a:t>...</a:t>
          </a:r>
        </a:p>
      </dgm:t>
    </dgm:pt>
    <dgm:pt modelId="{3871330D-FB92-465F-85F0-C1759B28E798}" type="parTrans" cxnId="{6B0ED930-16CA-4270-80D7-F8D7E840CEB4}">
      <dgm:prSet custT="1"/>
      <dgm:spPr/>
      <dgm:t>
        <a:bodyPr/>
        <a:lstStyle/>
        <a:p>
          <a:endParaRPr lang="en-US" sz="600"/>
        </a:p>
      </dgm:t>
    </dgm:pt>
    <dgm:pt modelId="{A49D965F-2119-4A7A-8B71-7C1215C88262}" type="sibTrans" cxnId="{6B0ED930-16CA-4270-80D7-F8D7E840CEB4}">
      <dgm:prSet/>
      <dgm:spPr/>
      <dgm:t>
        <a:bodyPr/>
        <a:lstStyle/>
        <a:p>
          <a:endParaRPr lang="en-US"/>
        </a:p>
      </dgm:t>
    </dgm:pt>
    <dgm:pt modelId="{88F5E8E2-BD35-4679-8D6C-944DB368367F}">
      <dgm:prSet custT="1"/>
      <dgm:spPr/>
      <dgm:t>
        <a:bodyPr/>
        <a:lstStyle/>
        <a:p>
          <a:r>
            <a:rPr lang="en-US" sz="600"/>
            <a:t>Metrics option 5</a:t>
          </a:r>
        </a:p>
      </dgm:t>
    </dgm:pt>
    <dgm:pt modelId="{E636247A-EC69-4756-87A0-FEA666C72D7B}" type="parTrans" cxnId="{8410DD0B-031F-4A07-B440-D16AAA03A934}">
      <dgm:prSet custT="1"/>
      <dgm:spPr/>
      <dgm:t>
        <a:bodyPr/>
        <a:lstStyle/>
        <a:p>
          <a:endParaRPr lang="en-US" sz="600"/>
        </a:p>
      </dgm:t>
    </dgm:pt>
    <dgm:pt modelId="{D07CBB0B-CB93-4CF7-A7AC-D8B140C44CD0}" type="sibTrans" cxnId="{8410DD0B-031F-4A07-B440-D16AAA03A934}">
      <dgm:prSet/>
      <dgm:spPr/>
      <dgm:t>
        <a:bodyPr/>
        <a:lstStyle/>
        <a:p>
          <a:endParaRPr lang="en-US"/>
        </a:p>
      </dgm:t>
    </dgm:pt>
    <dgm:pt modelId="{E628F032-7C69-41F9-97D9-238D673A0942}">
      <dgm:prSet custT="1"/>
      <dgm:spPr/>
      <dgm:t>
        <a:bodyPr/>
        <a:lstStyle/>
        <a:p>
          <a:r>
            <a:rPr lang="en-US" sz="600"/>
            <a:t>Report number of IDPs achieving a durable solution</a:t>
          </a:r>
        </a:p>
      </dgm:t>
    </dgm:pt>
    <dgm:pt modelId="{583A5574-BA66-4CA2-81F1-D455C2C2DCD1}" type="parTrans" cxnId="{CAFE1636-A088-4011-A804-8B538B5A8A0C}">
      <dgm:prSet custT="1"/>
      <dgm:spPr/>
      <dgm:t>
        <a:bodyPr/>
        <a:lstStyle/>
        <a:p>
          <a:endParaRPr lang="en-US" sz="600"/>
        </a:p>
      </dgm:t>
    </dgm:pt>
    <dgm:pt modelId="{2B0F93C8-47C0-4FEC-B8A0-43C693A218DB}" type="sibTrans" cxnId="{CAFE1636-A088-4011-A804-8B538B5A8A0C}">
      <dgm:prSet/>
      <dgm:spPr/>
      <dgm:t>
        <a:bodyPr/>
        <a:lstStyle/>
        <a:p>
          <a:endParaRPr lang="en-US"/>
        </a:p>
      </dgm:t>
    </dgm:pt>
    <dgm:pt modelId="{1DD30267-6264-4A02-9757-5979412DB148}">
      <dgm:prSet custT="1"/>
      <dgm:spPr/>
      <dgm:t>
        <a:bodyPr/>
        <a:lstStyle/>
        <a:p>
          <a:r>
            <a:rPr lang="en-US" sz="600"/>
            <a:t>Report number of IDPs achieving a durable solution</a:t>
          </a:r>
        </a:p>
      </dgm:t>
    </dgm:pt>
    <dgm:pt modelId="{D80D300F-591C-4C21-AAA1-25C3F6C3CF8D}" type="parTrans" cxnId="{E7BE15C5-EE72-4159-BB83-0AFB568C451A}">
      <dgm:prSet custT="1"/>
      <dgm:spPr/>
      <dgm:t>
        <a:bodyPr/>
        <a:lstStyle/>
        <a:p>
          <a:endParaRPr lang="en-US" sz="600"/>
        </a:p>
      </dgm:t>
    </dgm:pt>
    <dgm:pt modelId="{2660CC87-6519-4D6C-A3E9-6F9135A1F8FB}" type="sibTrans" cxnId="{E7BE15C5-EE72-4159-BB83-0AFB568C451A}">
      <dgm:prSet/>
      <dgm:spPr/>
      <dgm:t>
        <a:bodyPr/>
        <a:lstStyle/>
        <a:p>
          <a:endParaRPr lang="en-US"/>
        </a:p>
      </dgm:t>
    </dgm:pt>
    <dgm:pt modelId="{A5FECDDF-F824-4605-A4CF-881E0E4429A1}">
      <dgm:prSet custT="1"/>
      <dgm:spPr/>
      <dgm:t>
        <a:bodyPr/>
        <a:lstStyle/>
        <a:p>
          <a:r>
            <a:rPr lang="en-US" sz="600"/>
            <a:t>Report number of IDPs achieving a durable solution</a:t>
          </a:r>
        </a:p>
      </dgm:t>
    </dgm:pt>
    <dgm:pt modelId="{B49B3E5A-F33F-456B-8BD0-FF95B4C887AB}" type="parTrans" cxnId="{D89334D6-39F0-4814-BF6F-802194529AA8}">
      <dgm:prSet custT="1"/>
      <dgm:spPr/>
      <dgm:t>
        <a:bodyPr/>
        <a:lstStyle/>
        <a:p>
          <a:endParaRPr lang="en-US" sz="600"/>
        </a:p>
      </dgm:t>
    </dgm:pt>
    <dgm:pt modelId="{51ABE180-0B2B-4344-A643-4237E177DD8A}" type="sibTrans" cxnId="{D89334D6-39F0-4814-BF6F-802194529AA8}">
      <dgm:prSet/>
      <dgm:spPr/>
      <dgm:t>
        <a:bodyPr/>
        <a:lstStyle/>
        <a:p>
          <a:endParaRPr lang="en-US"/>
        </a:p>
      </dgm:t>
    </dgm:pt>
    <dgm:pt modelId="{395EE6F7-8325-47AB-AD64-47067CCE0011}">
      <dgm:prSet custT="1"/>
      <dgm:spPr/>
      <dgm:t>
        <a:bodyPr/>
        <a:lstStyle/>
        <a:p>
          <a:r>
            <a:rPr lang="en-US" sz="600"/>
            <a:t>Report number of IDPs achieving a durable solution</a:t>
          </a:r>
        </a:p>
      </dgm:t>
    </dgm:pt>
    <dgm:pt modelId="{81C6A0DF-FB29-498D-85C5-13B9DA636B67}" type="parTrans" cxnId="{A473F6B8-2980-452E-A3B4-C9B1ABF1C157}">
      <dgm:prSet custT="1"/>
      <dgm:spPr/>
      <dgm:t>
        <a:bodyPr/>
        <a:lstStyle/>
        <a:p>
          <a:endParaRPr lang="en-US" sz="600"/>
        </a:p>
      </dgm:t>
    </dgm:pt>
    <dgm:pt modelId="{64A0C7EC-79F7-4596-9196-9EE0BCBFC8E1}" type="sibTrans" cxnId="{A473F6B8-2980-452E-A3B4-C9B1ABF1C157}">
      <dgm:prSet/>
      <dgm:spPr/>
      <dgm:t>
        <a:bodyPr/>
        <a:lstStyle/>
        <a:p>
          <a:endParaRPr lang="en-US"/>
        </a:p>
      </dgm:t>
    </dgm:pt>
    <dgm:pt modelId="{45C89776-5D16-4DA1-96A7-EF596147F884}">
      <dgm:prSet custT="1"/>
      <dgm:spPr/>
      <dgm:t>
        <a:bodyPr/>
        <a:lstStyle/>
        <a:p>
          <a:r>
            <a:rPr lang="en-US" sz="600"/>
            <a:t>Report number of IDPs achieving a durable solution</a:t>
          </a:r>
        </a:p>
      </dgm:t>
    </dgm:pt>
    <dgm:pt modelId="{AD5F08D4-E8C9-40CE-971B-27C2DF054E81}" type="parTrans" cxnId="{B597B84A-3DED-467A-AAA9-34EC253906B9}">
      <dgm:prSet custT="1"/>
      <dgm:spPr/>
      <dgm:t>
        <a:bodyPr/>
        <a:lstStyle/>
        <a:p>
          <a:endParaRPr lang="en-US" sz="600"/>
        </a:p>
      </dgm:t>
    </dgm:pt>
    <dgm:pt modelId="{136A884F-1DB7-42A9-B6B0-FF34EB46C8DB}" type="sibTrans" cxnId="{B597B84A-3DED-467A-AAA9-34EC253906B9}">
      <dgm:prSet/>
      <dgm:spPr/>
      <dgm:t>
        <a:bodyPr/>
        <a:lstStyle/>
        <a:p>
          <a:endParaRPr lang="en-US"/>
        </a:p>
      </dgm:t>
    </dgm:pt>
    <dgm:pt modelId="{E6ADF616-5958-4B90-A018-B5C68D6E9083}">
      <dgm:prSet custT="1"/>
      <dgm:spPr/>
      <dgm:t>
        <a:bodyPr/>
        <a:lstStyle/>
        <a:p>
          <a:r>
            <a:rPr lang="en-US" sz="600"/>
            <a:t>Report number of IDPs achieving a durable solution</a:t>
          </a:r>
        </a:p>
      </dgm:t>
    </dgm:pt>
    <dgm:pt modelId="{30F75C0C-2694-4707-99E7-1BA1AF359B69}" type="parTrans" cxnId="{9E02608B-C835-4C4E-AB01-95F01C61081A}">
      <dgm:prSet custT="1"/>
      <dgm:spPr/>
      <dgm:t>
        <a:bodyPr/>
        <a:lstStyle/>
        <a:p>
          <a:endParaRPr lang="en-US" sz="600"/>
        </a:p>
      </dgm:t>
    </dgm:pt>
    <dgm:pt modelId="{B9DD7A81-2D1A-409C-938D-DC96527FA134}" type="sibTrans" cxnId="{9E02608B-C835-4C4E-AB01-95F01C61081A}">
      <dgm:prSet/>
      <dgm:spPr/>
      <dgm:t>
        <a:bodyPr/>
        <a:lstStyle/>
        <a:p>
          <a:endParaRPr lang="en-US"/>
        </a:p>
      </dgm:t>
    </dgm:pt>
    <dgm:pt modelId="{DF2D06C7-1587-4E0A-84F7-06829DB9A677}">
      <dgm:prSet custT="1"/>
      <dgm:spPr/>
      <dgm:t>
        <a:bodyPr/>
        <a:lstStyle/>
        <a:p>
          <a:r>
            <a:rPr lang="en-US" sz="600"/>
            <a:t>Pass/fail</a:t>
          </a:r>
        </a:p>
      </dgm:t>
    </dgm:pt>
    <dgm:pt modelId="{267C116A-98F1-4393-A319-F987FEADA1DC}" type="sibTrans" cxnId="{BF0DD697-4769-47BF-9209-2E3DA602E5E7}">
      <dgm:prSet/>
      <dgm:spPr/>
      <dgm:t>
        <a:bodyPr/>
        <a:lstStyle/>
        <a:p>
          <a:endParaRPr lang="en-US"/>
        </a:p>
      </dgm:t>
    </dgm:pt>
    <dgm:pt modelId="{7F7A889A-109D-44A1-A646-EDBDA996A3C9}" type="parTrans" cxnId="{BF0DD697-4769-47BF-9209-2E3DA602E5E7}">
      <dgm:prSet custT="1"/>
      <dgm:spPr/>
      <dgm:t>
        <a:bodyPr/>
        <a:lstStyle/>
        <a:p>
          <a:endParaRPr lang="en-US" sz="600"/>
        </a:p>
      </dgm:t>
    </dgm:pt>
    <dgm:pt modelId="{A71B35EB-9D70-46F9-966B-CA3E06BE65DC}" type="pres">
      <dgm:prSet presAssocID="{6A95E1D8-60B9-4B99-AA79-C460ECE22CE1}" presName="diagram" presStyleCnt="0">
        <dgm:presLayoutVars>
          <dgm:chPref val="1"/>
          <dgm:dir/>
          <dgm:animOne val="branch"/>
          <dgm:animLvl val="lvl"/>
          <dgm:resizeHandles val="exact"/>
        </dgm:presLayoutVars>
      </dgm:prSet>
      <dgm:spPr/>
    </dgm:pt>
    <dgm:pt modelId="{3C12CAD6-C715-4792-8853-4A498B18C93E}" type="pres">
      <dgm:prSet presAssocID="{D508F210-5F19-43D4-A985-690F68BD34FD}" presName="root1" presStyleCnt="0"/>
      <dgm:spPr/>
    </dgm:pt>
    <dgm:pt modelId="{F1C0B253-5C72-419A-B39C-65CA22C40FDB}" type="pres">
      <dgm:prSet presAssocID="{D508F210-5F19-43D4-A985-690F68BD34FD}" presName="LevelOneTextNode" presStyleLbl="node0" presStyleIdx="0" presStyleCnt="1" custScaleX="33450" custScaleY="57948" custLinFactY="-10409" custLinFactNeighborX="-76627" custLinFactNeighborY="-100000">
        <dgm:presLayoutVars>
          <dgm:chPref val="3"/>
        </dgm:presLayoutVars>
      </dgm:prSet>
      <dgm:spPr/>
    </dgm:pt>
    <dgm:pt modelId="{358C0D58-8BC3-4F67-A5B9-9091676CCDA7}" type="pres">
      <dgm:prSet presAssocID="{D508F210-5F19-43D4-A985-690F68BD34FD}" presName="level2hierChild" presStyleCnt="0"/>
      <dgm:spPr/>
    </dgm:pt>
    <dgm:pt modelId="{4907F4D1-7A09-4707-8200-546156BD96B6}" type="pres">
      <dgm:prSet presAssocID="{D57BDAAB-AB5B-4F2B-BBE9-97A46702FE66}" presName="conn2-1" presStyleLbl="parChTrans1D2" presStyleIdx="0" presStyleCnt="3"/>
      <dgm:spPr/>
    </dgm:pt>
    <dgm:pt modelId="{BFD8BE3F-2112-478F-B213-0D6EC683AB7B}" type="pres">
      <dgm:prSet presAssocID="{D57BDAAB-AB5B-4F2B-BBE9-97A46702FE66}" presName="connTx" presStyleLbl="parChTrans1D2" presStyleIdx="0" presStyleCnt="3"/>
      <dgm:spPr/>
    </dgm:pt>
    <dgm:pt modelId="{04721269-F43C-4D47-B632-6C9A08681DCF}" type="pres">
      <dgm:prSet presAssocID="{68A35F0C-C209-4B53-AFB0-28808AF99A7B}" presName="root2" presStyleCnt="0"/>
      <dgm:spPr/>
    </dgm:pt>
    <dgm:pt modelId="{FF6FA15F-31E1-405A-967C-AD0CAE797268}" type="pres">
      <dgm:prSet presAssocID="{68A35F0C-C209-4B53-AFB0-28808AF99A7B}" presName="LevelTwoTextNode" presStyleLbl="node2" presStyleIdx="0" presStyleCnt="3" custScaleX="52084" custScaleY="61240" custLinFactNeighborX="-47541" custLinFactNeighborY="-67630">
        <dgm:presLayoutVars>
          <dgm:chPref val="3"/>
        </dgm:presLayoutVars>
      </dgm:prSet>
      <dgm:spPr/>
    </dgm:pt>
    <dgm:pt modelId="{BCB358FB-95CB-4ACF-925E-91451668B8F2}" type="pres">
      <dgm:prSet presAssocID="{68A35F0C-C209-4B53-AFB0-28808AF99A7B}" presName="level3hierChild" presStyleCnt="0"/>
      <dgm:spPr/>
    </dgm:pt>
    <dgm:pt modelId="{0CED305F-938F-4947-BFD3-DB2CF6629929}" type="pres">
      <dgm:prSet presAssocID="{7F7A889A-109D-44A1-A646-EDBDA996A3C9}" presName="conn2-1" presStyleLbl="parChTrans1D3" presStyleIdx="0" presStyleCnt="8"/>
      <dgm:spPr/>
    </dgm:pt>
    <dgm:pt modelId="{3801741B-20B4-48F3-B3A1-9B0F1D398848}" type="pres">
      <dgm:prSet presAssocID="{7F7A889A-109D-44A1-A646-EDBDA996A3C9}" presName="connTx" presStyleLbl="parChTrans1D3" presStyleIdx="0" presStyleCnt="8"/>
      <dgm:spPr/>
    </dgm:pt>
    <dgm:pt modelId="{52F2A3D7-F320-4D2F-B674-182D274E23F4}" type="pres">
      <dgm:prSet presAssocID="{DF2D06C7-1587-4E0A-84F7-06829DB9A677}" presName="root2" presStyleCnt="0"/>
      <dgm:spPr/>
    </dgm:pt>
    <dgm:pt modelId="{B0FF0678-5179-4B51-A154-5721C1EC96DD}" type="pres">
      <dgm:prSet presAssocID="{DF2D06C7-1587-4E0A-84F7-06829DB9A677}" presName="LevelTwoTextNode" presStyleLbl="node3" presStyleIdx="0" presStyleCnt="8" custScaleX="58604" custScaleY="38389" custLinFactNeighborX="-68573" custLinFactNeighborY="-4698">
        <dgm:presLayoutVars>
          <dgm:chPref val="3"/>
        </dgm:presLayoutVars>
      </dgm:prSet>
      <dgm:spPr/>
    </dgm:pt>
    <dgm:pt modelId="{D371D162-F87D-4EB4-AC4E-54EC6B06669D}" type="pres">
      <dgm:prSet presAssocID="{DF2D06C7-1587-4E0A-84F7-06829DB9A677}" presName="level3hierChild" presStyleCnt="0"/>
      <dgm:spPr/>
    </dgm:pt>
    <dgm:pt modelId="{6F00BFF1-D066-4588-8119-B7340CAD1558}" type="pres">
      <dgm:prSet presAssocID="{30F75C0C-2694-4707-99E7-1BA1AF359B69}" presName="conn2-1" presStyleLbl="parChTrans1D4" presStyleIdx="0" presStyleCnt="8"/>
      <dgm:spPr/>
    </dgm:pt>
    <dgm:pt modelId="{DF1402B5-1249-4298-83AB-B6C461491F55}" type="pres">
      <dgm:prSet presAssocID="{30F75C0C-2694-4707-99E7-1BA1AF359B69}" presName="connTx" presStyleLbl="parChTrans1D4" presStyleIdx="0" presStyleCnt="8"/>
      <dgm:spPr/>
    </dgm:pt>
    <dgm:pt modelId="{BEB3A29F-D899-4278-A4A2-EE177059804D}" type="pres">
      <dgm:prSet presAssocID="{E6ADF616-5958-4B90-A018-B5C68D6E9083}" presName="root2" presStyleCnt="0"/>
      <dgm:spPr/>
    </dgm:pt>
    <dgm:pt modelId="{CA857F20-680F-45D6-838B-47AB7E47E4EF}" type="pres">
      <dgm:prSet presAssocID="{E6ADF616-5958-4B90-A018-B5C68D6E9083}" presName="LevelTwoTextNode" presStyleLbl="node4" presStyleIdx="0" presStyleCnt="8" custScaleX="192639" custScaleY="31601" custLinFactNeighborX="-74162" custLinFactNeighborY="-12360">
        <dgm:presLayoutVars>
          <dgm:chPref val="3"/>
        </dgm:presLayoutVars>
      </dgm:prSet>
      <dgm:spPr/>
    </dgm:pt>
    <dgm:pt modelId="{D3C3603C-9C24-4022-8684-964CE0FDDA2C}" type="pres">
      <dgm:prSet presAssocID="{E6ADF616-5958-4B90-A018-B5C68D6E9083}" presName="level3hierChild" presStyleCnt="0"/>
      <dgm:spPr/>
    </dgm:pt>
    <dgm:pt modelId="{FA966413-BC94-43E8-BD22-F5D64E1E1B48}" type="pres">
      <dgm:prSet presAssocID="{B8751CA5-9493-4F81-890F-63EEF271A44E}" presName="conn2-1" presStyleLbl="parChTrans1D3" presStyleIdx="1" presStyleCnt="8"/>
      <dgm:spPr/>
    </dgm:pt>
    <dgm:pt modelId="{4498C895-27E6-40F1-A26D-E87DD193BAE8}" type="pres">
      <dgm:prSet presAssocID="{B8751CA5-9493-4F81-890F-63EEF271A44E}" presName="connTx" presStyleLbl="parChTrans1D3" presStyleIdx="1" presStyleCnt="8"/>
      <dgm:spPr/>
    </dgm:pt>
    <dgm:pt modelId="{9E8EC58D-FDDD-4031-BBB1-6D37D78F81A8}" type="pres">
      <dgm:prSet presAssocID="{B0846704-DA20-4AEB-8C3C-19300743BA66}" presName="root2" presStyleCnt="0"/>
      <dgm:spPr/>
    </dgm:pt>
    <dgm:pt modelId="{9EC60AF0-2CC3-490B-8750-22014E1D88D4}" type="pres">
      <dgm:prSet presAssocID="{B0846704-DA20-4AEB-8C3C-19300743BA66}" presName="LevelTwoTextNode" presStyleLbl="node3" presStyleIdx="1" presStyleCnt="8" custScaleX="58109" custScaleY="41371" custLinFactNeighborX="-68758" custLinFactNeighborY="-8807">
        <dgm:presLayoutVars>
          <dgm:chPref val="3"/>
        </dgm:presLayoutVars>
      </dgm:prSet>
      <dgm:spPr/>
    </dgm:pt>
    <dgm:pt modelId="{0118B7D0-D7AC-4E6C-B5E3-5662C6D69FB3}" type="pres">
      <dgm:prSet presAssocID="{B0846704-DA20-4AEB-8C3C-19300743BA66}" presName="level3hierChild" presStyleCnt="0"/>
      <dgm:spPr/>
    </dgm:pt>
    <dgm:pt modelId="{541683AB-3D6A-43BC-BAE2-6E9DDA47E407}" type="pres">
      <dgm:prSet presAssocID="{AD5F08D4-E8C9-40CE-971B-27C2DF054E81}" presName="conn2-1" presStyleLbl="parChTrans1D4" presStyleIdx="1" presStyleCnt="8"/>
      <dgm:spPr/>
    </dgm:pt>
    <dgm:pt modelId="{898AD381-DAD5-4068-A8AA-107B82A21888}" type="pres">
      <dgm:prSet presAssocID="{AD5F08D4-E8C9-40CE-971B-27C2DF054E81}" presName="connTx" presStyleLbl="parChTrans1D4" presStyleIdx="1" presStyleCnt="8"/>
      <dgm:spPr/>
    </dgm:pt>
    <dgm:pt modelId="{B14A0148-3612-4399-9CF3-E256CE84515C}" type="pres">
      <dgm:prSet presAssocID="{45C89776-5D16-4DA1-96A7-EF596147F884}" presName="root2" presStyleCnt="0"/>
      <dgm:spPr/>
    </dgm:pt>
    <dgm:pt modelId="{E95690A2-4FDC-4135-90D9-575892EE8D4C}" type="pres">
      <dgm:prSet presAssocID="{45C89776-5D16-4DA1-96A7-EF596147F884}" presName="LevelTwoTextNode" presStyleLbl="node4" presStyleIdx="1" presStyleCnt="8" custScaleX="192639" custScaleY="31601" custLinFactNeighborX="-74702" custLinFactNeighborY="-8036">
        <dgm:presLayoutVars>
          <dgm:chPref val="3"/>
        </dgm:presLayoutVars>
      </dgm:prSet>
      <dgm:spPr/>
    </dgm:pt>
    <dgm:pt modelId="{D95B10E8-2880-404B-BC60-21AD18A47ECF}" type="pres">
      <dgm:prSet presAssocID="{45C89776-5D16-4DA1-96A7-EF596147F884}" presName="level3hierChild" presStyleCnt="0"/>
      <dgm:spPr/>
    </dgm:pt>
    <dgm:pt modelId="{123912A5-16C9-488D-A390-989CC4BC1A16}" type="pres">
      <dgm:prSet presAssocID="{59B6F3CD-1059-428B-A1C8-18800E10DF8D}" presName="conn2-1" presStyleLbl="parChTrans1D3" presStyleIdx="2" presStyleCnt="8"/>
      <dgm:spPr/>
    </dgm:pt>
    <dgm:pt modelId="{5AF48F62-60CE-4DB1-BA6A-EFDDD291903F}" type="pres">
      <dgm:prSet presAssocID="{59B6F3CD-1059-428B-A1C8-18800E10DF8D}" presName="connTx" presStyleLbl="parChTrans1D3" presStyleIdx="2" presStyleCnt="8"/>
      <dgm:spPr/>
    </dgm:pt>
    <dgm:pt modelId="{2C25C1A9-F748-4B07-A221-686F05D942DB}" type="pres">
      <dgm:prSet presAssocID="{69D1C112-71E9-428C-85CD-F29F31AF6458}" presName="root2" presStyleCnt="0"/>
      <dgm:spPr/>
    </dgm:pt>
    <dgm:pt modelId="{9E734703-0827-4AD5-9C69-A398B5C817BE}" type="pres">
      <dgm:prSet presAssocID="{69D1C112-71E9-428C-85CD-F29F31AF6458}" presName="LevelTwoTextNode" presStyleLbl="node3" presStyleIdx="2" presStyleCnt="8" custScaleX="59642" custScaleY="47643" custLinFactNeighborX="-69156" custLinFactNeighborY="-16975">
        <dgm:presLayoutVars>
          <dgm:chPref val="3"/>
        </dgm:presLayoutVars>
      </dgm:prSet>
      <dgm:spPr/>
    </dgm:pt>
    <dgm:pt modelId="{61CA0BF0-9AA0-41F4-B89B-50802E835398}" type="pres">
      <dgm:prSet presAssocID="{69D1C112-71E9-428C-85CD-F29F31AF6458}" presName="level3hierChild" presStyleCnt="0"/>
      <dgm:spPr/>
    </dgm:pt>
    <dgm:pt modelId="{BEB7490C-957B-4EEC-B30E-54777478B850}" type="pres">
      <dgm:prSet presAssocID="{81C6A0DF-FB29-498D-85C5-13B9DA636B67}" presName="conn2-1" presStyleLbl="parChTrans1D4" presStyleIdx="2" presStyleCnt="8"/>
      <dgm:spPr/>
    </dgm:pt>
    <dgm:pt modelId="{D67DF6FD-D83C-41D3-8C19-9C94644D242A}" type="pres">
      <dgm:prSet presAssocID="{81C6A0DF-FB29-498D-85C5-13B9DA636B67}" presName="connTx" presStyleLbl="parChTrans1D4" presStyleIdx="2" presStyleCnt="8"/>
      <dgm:spPr/>
    </dgm:pt>
    <dgm:pt modelId="{9D69388D-5444-4685-8525-F8247D51EA14}" type="pres">
      <dgm:prSet presAssocID="{395EE6F7-8325-47AB-AD64-47067CCE0011}" presName="root2" presStyleCnt="0"/>
      <dgm:spPr/>
    </dgm:pt>
    <dgm:pt modelId="{12F2145B-32F4-47CC-B666-B169900E2826}" type="pres">
      <dgm:prSet presAssocID="{395EE6F7-8325-47AB-AD64-47067CCE0011}" presName="LevelTwoTextNode" presStyleLbl="node4" presStyleIdx="2" presStyleCnt="8" custScaleX="192639" custScaleY="31601" custLinFactNeighborX="-74162" custLinFactNeighborY="-17764">
        <dgm:presLayoutVars>
          <dgm:chPref val="3"/>
        </dgm:presLayoutVars>
      </dgm:prSet>
      <dgm:spPr/>
    </dgm:pt>
    <dgm:pt modelId="{0F5EF745-91ED-40E8-8850-C52B3E9A6CF6}" type="pres">
      <dgm:prSet presAssocID="{395EE6F7-8325-47AB-AD64-47067CCE0011}" presName="level3hierChild" presStyleCnt="0"/>
      <dgm:spPr/>
    </dgm:pt>
    <dgm:pt modelId="{B7857821-AE72-4A4C-9F2D-9A93261CB17B}" type="pres">
      <dgm:prSet presAssocID="{9702EF54-07FA-4EB8-A5CE-2F13502B4668}" presName="conn2-1" presStyleLbl="parChTrans1D3" presStyleIdx="3" presStyleCnt="8"/>
      <dgm:spPr/>
    </dgm:pt>
    <dgm:pt modelId="{73F57EDA-0A31-4021-8935-411CF7D8E9B4}" type="pres">
      <dgm:prSet presAssocID="{9702EF54-07FA-4EB8-A5CE-2F13502B4668}" presName="connTx" presStyleLbl="parChTrans1D3" presStyleIdx="3" presStyleCnt="8"/>
      <dgm:spPr/>
    </dgm:pt>
    <dgm:pt modelId="{8CFC1BE2-E68C-4631-A5E6-12F4F86EE0A1}" type="pres">
      <dgm:prSet presAssocID="{E93F7751-72A4-4408-9E97-3548E2EE5316}" presName="root2" presStyleCnt="0"/>
      <dgm:spPr/>
    </dgm:pt>
    <dgm:pt modelId="{4EC5C0FE-4B5E-45FF-B932-135E99F82AED}" type="pres">
      <dgm:prSet presAssocID="{E93F7751-72A4-4408-9E97-3548E2EE5316}" presName="LevelTwoTextNode" presStyleLbl="node3" presStyleIdx="3" presStyleCnt="8" custScaleX="57546" custScaleY="44168" custLinFactNeighborX="-68390" custLinFactNeighborY="-26641">
        <dgm:presLayoutVars>
          <dgm:chPref val="3"/>
        </dgm:presLayoutVars>
      </dgm:prSet>
      <dgm:spPr/>
    </dgm:pt>
    <dgm:pt modelId="{812BB1FB-945E-4997-8793-284D0AD7AAF2}" type="pres">
      <dgm:prSet presAssocID="{E93F7751-72A4-4408-9E97-3548E2EE5316}" presName="level3hierChild" presStyleCnt="0"/>
      <dgm:spPr/>
    </dgm:pt>
    <dgm:pt modelId="{43181BFA-7851-4999-B412-CD632CD22401}" type="pres">
      <dgm:prSet presAssocID="{B49B3E5A-F33F-456B-8BD0-FF95B4C887AB}" presName="conn2-1" presStyleLbl="parChTrans1D4" presStyleIdx="3" presStyleCnt="8"/>
      <dgm:spPr/>
    </dgm:pt>
    <dgm:pt modelId="{1EC1FFFD-BAFF-42AA-BC4C-01FF967695F8}" type="pres">
      <dgm:prSet presAssocID="{B49B3E5A-F33F-456B-8BD0-FF95B4C887AB}" presName="connTx" presStyleLbl="parChTrans1D4" presStyleIdx="3" presStyleCnt="8"/>
      <dgm:spPr/>
    </dgm:pt>
    <dgm:pt modelId="{BFB3630E-F936-4947-9E98-0F48EE7E57D8}" type="pres">
      <dgm:prSet presAssocID="{A5FECDDF-F824-4605-A4CF-881E0E4429A1}" presName="root2" presStyleCnt="0"/>
      <dgm:spPr/>
    </dgm:pt>
    <dgm:pt modelId="{7A221848-385A-4074-A046-60A60E81C6CA}" type="pres">
      <dgm:prSet presAssocID="{A5FECDDF-F824-4605-A4CF-881E0E4429A1}" presName="LevelTwoTextNode" presStyleLbl="node4" presStyleIdx="3" presStyleCnt="8" custScaleX="192639" custScaleY="31601" custLinFactNeighborX="-74162" custLinFactNeighborY="-25330">
        <dgm:presLayoutVars>
          <dgm:chPref val="3"/>
        </dgm:presLayoutVars>
      </dgm:prSet>
      <dgm:spPr/>
    </dgm:pt>
    <dgm:pt modelId="{F9B8F928-DC74-46FE-B720-E0B51C71203C}" type="pres">
      <dgm:prSet presAssocID="{A5FECDDF-F824-4605-A4CF-881E0E4429A1}" presName="level3hierChild" presStyleCnt="0"/>
      <dgm:spPr/>
    </dgm:pt>
    <dgm:pt modelId="{3E9B4108-ECBB-4EDD-9779-434EEA3ED69A}" type="pres">
      <dgm:prSet presAssocID="{A86921F3-F669-4B2D-B03F-1B234D15C939}" presName="conn2-1" presStyleLbl="parChTrans1D3" presStyleIdx="4" presStyleCnt="8"/>
      <dgm:spPr/>
    </dgm:pt>
    <dgm:pt modelId="{8FE95B21-7EB7-420D-B852-B380B2EB7616}" type="pres">
      <dgm:prSet presAssocID="{A86921F3-F669-4B2D-B03F-1B234D15C939}" presName="connTx" presStyleLbl="parChTrans1D3" presStyleIdx="4" presStyleCnt="8"/>
      <dgm:spPr/>
    </dgm:pt>
    <dgm:pt modelId="{3266BD14-75F9-4E8A-A3A6-82FB5099EE87}" type="pres">
      <dgm:prSet presAssocID="{6BB4A1C4-1B09-49BB-B96B-29BD5B2658E2}" presName="root2" presStyleCnt="0"/>
      <dgm:spPr/>
    </dgm:pt>
    <dgm:pt modelId="{313C968D-2439-4D42-9715-7AF2E06A1332}" type="pres">
      <dgm:prSet presAssocID="{6BB4A1C4-1B09-49BB-B96B-29BD5B2658E2}" presName="LevelTwoTextNode" presStyleLbl="node3" presStyleIdx="4" presStyleCnt="8" custScaleX="59447" custScaleY="38871" custLinFactNeighborX="-69035" custLinFactNeighborY="-31611">
        <dgm:presLayoutVars>
          <dgm:chPref val="3"/>
        </dgm:presLayoutVars>
      </dgm:prSet>
      <dgm:spPr/>
    </dgm:pt>
    <dgm:pt modelId="{630A0155-620C-410A-99DD-942106D34329}" type="pres">
      <dgm:prSet presAssocID="{6BB4A1C4-1B09-49BB-B96B-29BD5B2658E2}" presName="level3hierChild" presStyleCnt="0"/>
      <dgm:spPr/>
    </dgm:pt>
    <dgm:pt modelId="{DA0DB322-C936-413D-9A45-9C6496A104E8}" type="pres">
      <dgm:prSet presAssocID="{D80D300F-591C-4C21-AAA1-25C3F6C3CF8D}" presName="conn2-1" presStyleLbl="parChTrans1D4" presStyleIdx="4" presStyleCnt="8"/>
      <dgm:spPr/>
    </dgm:pt>
    <dgm:pt modelId="{FAC0733B-EB5B-4D44-91D7-1D2A2FD0F1D3}" type="pres">
      <dgm:prSet presAssocID="{D80D300F-591C-4C21-AAA1-25C3F6C3CF8D}" presName="connTx" presStyleLbl="parChTrans1D4" presStyleIdx="4" presStyleCnt="8"/>
      <dgm:spPr/>
    </dgm:pt>
    <dgm:pt modelId="{B23BE538-AC66-4870-B697-95F703E2C41B}" type="pres">
      <dgm:prSet presAssocID="{1DD30267-6264-4A02-9757-5979412DB148}" presName="root2" presStyleCnt="0"/>
      <dgm:spPr/>
    </dgm:pt>
    <dgm:pt modelId="{EC9FCC6B-E82B-41C5-A26C-A6F663709DDC}" type="pres">
      <dgm:prSet presAssocID="{1DD30267-6264-4A02-9757-5979412DB148}" presName="LevelTwoTextNode" presStyleLbl="node4" presStyleIdx="4" presStyleCnt="8" custScaleX="192639" custScaleY="31601" custLinFactNeighborX="-74162" custLinFactNeighborY="-29654">
        <dgm:presLayoutVars>
          <dgm:chPref val="3"/>
        </dgm:presLayoutVars>
      </dgm:prSet>
      <dgm:spPr/>
    </dgm:pt>
    <dgm:pt modelId="{32BF250C-0E9C-45E8-B982-AC36553FCCED}" type="pres">
      <dgm:prSet presAssocID="{1DD30267-6264-4A02-9757-5979412DB148}" presName="level3hierChild" presStyleCnt="0"/>
      <dgm:spPr/>
    </dgm:pt>
    <dgm:pt modelId="{15171E8A-BBDB-4531-A572-97567ACC00B9}" type="pres">
      <dgm:prSet presAssocID="{E636247A-EC69-4756-87A0-FEA666C72D7B}" presName="conn2-1" presStyleLbl="parChTrans1D3" presStyleIdx="5" presStyleCnt="8"/>
      <dgm:spPr/>
    </dgm:pt>
    <dgm:pt modelId="{8E9FA18D-50F4-4967-ABED-10718A74F1C0}" type="pres">
      <dgm:prSet presAssocID="{E636247A-EC69-4756-87A0-FEA666C72D7B}" presName="connTx" presStyleLbl="parChTrans1D3" presStyleIdx="5" presStyleCnt="8"/>
      <dgm:spPr/>
    </dgm:pt>
    <dgm:pt modelId="{E2916DB6-6804-4210-862A-62D5E09C4542}" type="pres">
      <dgm:prSet presAssocID="{88F5E8E2-BD35-4679-8D6C-944DB368367F}" presName="root2" presStyleCnt="0"/>
      <dgm:spPr/>
    </dgm:pt>
    <dgm:pt modelId="{1CC3B8EC-3366-45CF-A4AB-50B0DDF660EB}" type="pres">
      <dgm:prSet presAssocID="{88F5E8E2-BD35-4679-8D6C-944DB368367F}" presName="LevelTwoTextNode" presStyleLbl="node3" presStyleIdx="5" presStyleCnt="8" custScaleX="58454" custScaleY="38529" custLinFactNeighborX="-68365" custLinFactNeighborY="-38234">
        <dgm:presLayoutVars>
          <dgm:chPref val="3"/>
        </dgm:presLayoutVars>
      </dgm:prSet>
      <dgm:spPr/>
    </dgm:pt>
    <dgm:pt modelId="{13F8FED3-B609-41DE-8B1C-5987A3F81536}" type="pres">
      <dgm:prSet presAssocID="{88F5E8E2-BD35-4679-8D6C-944DB368367F}" presName="level3hierChild" presStyleCnt="0"/>
      <dgm:spPr/>
    </dgm:pt>
    <dgm:pt modelId="{DEE5468D-FEF3-4D0D-8E4F-6D3B0E7DFAE1}" type="pres">
      <dgm:prSet presAssocID="{583A5574-BA66-4CA2-81F1-D455C2C2DCD1}" presName="conn2-1" presStyleLbl="parChTrans1D4" presStyleIdx="5" presStyleCnt="8"/>
      <dgm:spPr/>
    </dgm:pt>
    <dgm:pt modelId="{21ED94AE-4929-42F7-AD79-5EB53507A2AE}" type="pres">
      <dgm:prSet presAssocID="{583A5574-BA66-4CA2-81F1-D455C2C2DCD1}" presName="connTx" presStyleLbl="parChTrans1D4" presStyleIdx="5" presStyleCnt="8"/>
      <dgm:spPr/>
    </dgm:pt>
    <dgm:pt modelId="{38AC71E9-4796-485D-A2AA-AF853D1B3703}" type="pres">
      <dgm:prSet presAssocID="{E628F032-7C69-41F9-97D9-238D673A0942}" presName="root2" presStyleCnt="0"/>
      <dgm:spPr/>
    </dgm:pt>
    <dgm:pt modelId="{E35D68EF-1A6D-495D-97A0-359BB766F987}" type="pres">
      <dgm:prSet presAssocID="{E628F032-7C69-41F9-97D9-238D673A0942}" presName="LevelTwoTextNode" presStyleLbl="node4" presStyleIdx="5" presStyleCnt="8" custScaleX="192639" custScaleY="31601" custLinFactNeighborX="-70407" custLinFactNeighborY="-35240">
        <dgm:presLayoutVars>
          <dgm:chPref val="3"/>
        </dgm:presLayoutVars>
      </dgm:prSet>
      <dgm:spPr/>
    </dgm:pt>
    <dgm:pt modelId="{DE65F943-C765-4FC0-9609-1545B91C571F}" type="pres">
      <dgm:prSet presAssocID="{E628F032-7C69-41F9-97D9-238D673A0942}" presName="level3hierChild" presStyleCnt="0"/>
      <dgm:spPr/>
    </dgm:pt>
    <dgm:pt modelId="{77F82420-DB33-4BE0-B254-14FE271C5A68}" type="pres">
      <dgm:prSet presAssocID="{946BE7E0-E948-49B0-8A87-160C8034B979}" presName="conn2-1" presStyleLbl="parChTrans1D2" presStyleIdx="1" presStyleCnt="3"/>
      <dgm:spPr/>
    </dgm:pt>
    <dgm:pt modelId="{A7881EE7-50F6-4A1C-B04F-3D7511941F03}" type="pres">
      <dgm:prSet presAssocID="{946BE7E0-E948-49B0-8A87-160C8034B979}" presName="connTx" presStyleLbl="parChTrans1D2" presStyleIdx="1" presStyleCnt="3"/>
      <dgm:spPr/>
    </dgm:pt>
    <dgm:pt modelId="{2379A223-005E-4664-AF71-17D8C17D74C8}" type="pres">
      <dgm:prSet presAssocID="{B0E097C3-C667-4190-A822-E2C65AAEA9F1}" presName="root2" presStyleCnt="0"/>
      <dgm:spPr/>
    </dgm:pt>
    <dgm:pt modelId="{E3620348-CBF4-4B1B-8274-98EA488A43F2}" type="pres">
      <dgm:prSet presAssocID="{B0E097C3-C667-4190-A822-E2C65AAEA9F1}" presName="LevelTwoTextNode" presStyleLbl="node2" presStyleIdx="1" presStyleCnt="3" custScaleX="57269" custScaleY="49379" custLinFactNeighborX="-52771" custLinFactNeighborY="-52744">
        <dgm:presLayoutVars>
          <dgm:chPref val="3"/>
        </dgm:presLayoutVars>
      </dgm:prSet>
      <dgm:spPr/>
    </dgm:pt>
    <dgm:pt modelId="{947E8CB9-9F04-4C57-B37A-DD6B661F8E0A}" type="pres">
      <dgm:prSet presAssocID="{B0E097C3-C667-4190-A822-E2C65AAEA9F1}" presName="level3hierChild" presStyleCnt="0"/>
      <dgm:spPr/>
    </dgm:pt>
    <dgm:pt modelId="{A00D0DC3-4D76-4D1A-A398-DF6EA8178E2A}" type="pres">
      <dgm:prSet presAssocID="{C393F94B-65F8-43CB-A9A6-2911BED3377F}" presName="conn2-1" presStyleLbl="parChTrans1D3" presStyleIdx="6" presStyleCnt="8"/>
      <dgm:spPr/>
    </dgm:pt>
    <dgm:pt modelId="{2FE775A9-91E4-46C7-B10A-8E39B337AB86}" type="pres">
      <dgm:prSet presAssocID="{C393F94B-65F8-43CB-A9A6-2911BED3377F}" presName="connTx" presStyleLbl="parChTrans1D3" presStyleIdx="6" presStyleCnt="8"/>
      <dgm:spPr/>
    </dgm:pt>
    <dgm:pt modelId="{ED4B7BB2-AD92-401E-AE13-AA9E660C98F0}" type="pres">
      <dgm:prSet presAssocID="{2DDB9F27-E2BD-48FE-B74B-3B23D3D464AD}" presName="root2" presStyleCnt="0"/>
      <dgm:spPr/>
    </dgm:pt>
    <dgm:pt modelId="{E911F41B-B407-404F-A2E1-16C61FAD5F9B}" type="pres">
      <dgm:prSet presAssocID="{2DDB9F27-E2BD-48FE-B74B-3B23D3D464AD}" presName="LevelTwoTextNode" presStyleLbl="node3" presStyleIdx="6" presStyleCnt="8" custScaleX="69958" custScaleY="65971" custLinFactNeighborX="-78225" custLinFactNeighborY="-34768">
        <dgm:presLayoutVars>
          <dgm:chPref val="3"/>
        </dgm:presLayoutVars>
      </dgm:prSet>
      <dgm:spPr/>
    </dgm:pt>
    <dgm:pt modelId="{695D2844-AF9F-4951-819E-B7F76B7B564D}" type="pres">
      <dgm:prSet presAssocID="{2DDB9F27-E2BD-48FE-B74B-3B23D3D464AD}" presName="level3hierChild" presStyleCnt="0"/>
      <dgm:spPr/>
    </dgm:pt>
    <dgm:pt modelId="{D949F86B-4046-4A3E-A5DF-ACFE143A22DB}" type="pres">
      <dgm:prSet presAssocID="{A88DD318-840F-4D4A-9D4E-867F47DF8CF4}" presName="conn2-1" presStyleLbl="parChTrans1D4" presStyleIdx="6" presStyleCnt="8"/>
      <dgm:spPr/>
    </dgm:pt>
    <dgm:pt modelId="{8D933ABB-081D-4982-9363-C48DED523B5C}" type="pres">
      <dgm:prSet presAssocID="{A88DD318-840F-4D4A-9D4E-867F47DF8CF4}" presName="connTx" presStyleLbl="parChTrans1D4" presStyleIdx="6" presStyleCnt="8"/>
      <dgm:spPr/>
    </dgm:pt>
    <dgm:pt modelId="{629C0180-B267-4051-A533-93D3FC09251A}" type="pres">
      <dgm:prSet presAssocID="{EF6A1120-A1D3-43CD-AFEB-1E43D96BA38E}" presName="root2" presStyleCnt="0"/>
      <dgm:spPr/>
    </dgm:pt>
    <dgm:pt modelId="{ECEF486B-9B2F-4D22-B3CA-D86A5D5962D0}" type="pres">
      <dgm:prSet presAssocID="{EF6A1120-A1D3-43CD-AFEB-1E43D96BA38E}" presName="LevelTwoTextNode" presStyleLbl="node4" presStyleIdx="6" presStyleCnt="8" custScaleX="189163" custScaleY="44974" custLinFactNeighborX="-86315" custLinFactNeighborY="-25834">
        <dgm:presLayoutVars>
          <dgm:chPref val="3"/>
        </dgm:presLayoutVars>
      </dgm:prSet>
      <dgm:spPr/>
    </dgm:pt>
    <dgm:pt modelId="{32CCBBEE-67AD-41C0-92D0-404FC4BE1FE6}" type="pres">
      <dgm:prSet presAssocID="{EF6A1120-A1D3-43CD-AFEB-1E43D96BA38E}" presName="level3hierChild" presStyleCnt="0"/>
      <dgm:spPr/>
    </dgm:pt>
    <dgm:pt modelId="{4E545428-3806-41F0-A734-A11CBEA22172}" type="pres">
      <dgm:prSet presAssocID="{6A124D95-02D3-43B0-868C-E97342C7C2E6}" presName="conn2-1" presStyleLbl="parChTrans1D2" presStyleIdx="2" presStyleCnt="3"/>
      <dgm:spPr/>
    </dgm:pt>
    <dgm:pt modelId="{C4FCECF3-2125-4769-9AD8-17180F236F52}" type="pres">
      <dgm:prSet presAssocID="{6A124D95-02D3-43B0-868C-E97342C7C2E6}" presName="connTx" presStyleLbl="parChTrans1D2" presStyleIdx="2" presStyleCnt="3"/>
      <dgm:spPr/>
    </dgm:pt>
    <dgm:pt modelId="{5D0FF49C-BC6A-4F55-9098-D939AFA65AD1}" type="pres">
      <dgm:prSet presAssocID="{DB5F6279-5063-4F2F-A136-A315675F31D1}" presName="root2" presStyleCnt="0"/>
      <dgm:spPr/>
    </dgm:pt>
    <dgm:pt modelId="{A706E27F-A16E-4E42-91DE-CAFA442616C1}" type="pres">
      <dgm:prSet presAssocID="{DB5F6279-5063-4F2F-A136-A315675F31D1}" presName="LevelTwoTextNode" presStyleLbl="node2" presStyleIdx="2" presStyleCnt="3" custScaleX="53047" custScaleY="54319" custLinFactNeighborX="-53717" custLinFactNeighborY="-26834">
        <dgm:presLayoutVars>
          <dgm:chPref val="3"/>
        </dgm:presLayoutVars>
      </dgm:prSet>
      <dgm:spPr/>
    </dgm:pt>
    <dgm:pt modelId="{768AF11C-D9E8-4271-9693-5FF9AA53D2B6}" type="pres">
      <dgm:prSet presAssocID="{DB5F6279-5063-4F2F-A136-A315675F31D1}" presName="level3hierChild" presStyleCnt="0"/>
      <dgm:spPr/>
    </dgm:pt>
    <dgm:pt modelId="{5FC52346-02E3-4B24-8C1D-C22CFB9B190F}" type="pres">
      <dgm:prSet presAssocID="{1FAB6554-75F7-40D0-8A16-BE9EB3CFC053}" presName="conn2-1" presStyleLbl="parChTrans1D3" presStyleIdx="7" presStyleCnt="8"/>
      <dgm:spPr/>
    </dgm:pt>
    <dgm:pt modelId="{2BE7AECA-4386-4E1F-81B6-DFD314FA5EF0}" type="pres">
      <dgm:prSet presAssocID="{1FAB6554-75F7-40D0-8A16-BE9EB3CFC053}" presName="connTx" presStyleLbl="parChTrans1D3" presStyleIdx="7" presStyleCnt="8"/>
      <dgm:spPr/>
    </dgm:pt>
    <dgm:pt modelId="{FFE743F0-F2EB-4B77-BE02-68D4F74C78C8}" type="pres">
      <dgm:prSet presAssocID="{2122059E-EE31-47BB-B2A1-21D7C72F7497}" presName="root2" presStyleCnt="0"/>
      <dgm:spPr/>
    </dgm:pt>
    <dgm:pt modelId="{6510049F-728E-4DEA-B5EB-8348CADB6511}" type="pres">
      <dgm:prSet presAssocID="{2122059E-EE31-47BB-B2A1-21D7C72F7497}" presName="LevelTwoTextNode" presStyleLbl="node3" presStyleIdx="7" presStyleCnt="8" custScaleX="67804" custScaleY="70513" custLinFactNeighborX="-73517" custLinFactNeighborY="-35402">
        <dgm:presLayoutVars>
          <dgm:chPref val="3"/>
        </dgm:presLayoutVars>
      </dgm:prSet>
      <dgm:spPr/>
    </dgm:pt>
    <dgm:pt modelId="{2ACE818E-D43B-4C06-AD98-4645139515C1}" type="pres">
      <dgm:prSet presAssocID="{2122059E-EE31-47BB-B2A1-21D7C72F7497}" presName="level3hierChild" presStyleCnt="0"/>
      <dgm:spPr/>
    </dgm:pt>
    <dgm:pt modelId="{963995C3-4875-4F6C-9195-550F7D9D8EC4}" type="pres">
      <dgm:prSet presAssocID="{3871330D-FB92-465F-85F0-C1759B28E798}" presName="conn2-1" presStyleLbl="parChTrans1D4" presStyleIdx="7" presStyleCnt="8"/>
      <dgm:spPr/>
    </dgm:pt>
    <dgm:pt modelId="{DE1387DE-55D4-47DE-9B4E-F480F4D4D2DA}" type="pres">
      <dgm:prSet presAssocID="{3871330D-FB92-465F-85F0-C1759B28E798}" presName="connTx" presStyleLbl="parChTrans1D4" presStyleIdx="7" presStyleCnt="8"/>
      <dgm:spPr/>
    </dgm:pt>
    <dgm:pt modelId="{5A84852C-BBA4-4105-9142-DCE2250159DF}" type="pres">
      <dgm:prSet presAssocID="{746F3D2A-8683-4E36-9079-7B5E3F82E432}" presName="root2" presStyleCnt="0"/>
      <dgm:spPr/>
    </dgm:pt>
    <dgm:pt modelId="{5CDCDB92-E535-4FCE-A5D0-632F49CE1245}" type="pres">
      <dgm:prSet presAssocID="{746F3D2A-8683-4E36-9079-7B5E3F82E432}" presName="LevelTwoTextNode" presStyleLbl="node4" presStyleIdx="7" presStyleCnt="8" custScaleX="43459" custScaleY="30878" custLinFactNeighborX="-80998" custLinFactNeighborY="-43163">
        <dgm:presLayoutVars>
          <dgm:chPref val="3"/>
        </dgm:presLayoutVars>
      </dgm:prSet>
      <dgm:spPr/>
    </dgm:pt>
    <dgm:pt modelId="{858042D9-39DF-4A1E-B68F-9D577A3FC87A}" type="pres">
      <dgm:prSet presAssocID="{746F3D2A-8683-4E36-9079-7B5E3F82E432}" presName="level3hierChild" presStyleCnt="0"/>
      <dgm:spPr/>
    </dgm:pt>
  </dgm:ptLst>
  <dgm:cxnLst>
    <dgm:cxn modelId="{A17E2901-74E1-47BE-8BD1-38A45A6CEE6C}" type="presOf" srcId="{D508F210-5F19-43D4-A985-690F68BD34FD}" destId="{F1C0B253-5C72-419A-B39C-65CA22C40FDB}" srcOrd="0" destOrd="0" presId="urn:microsoft.com/office/officeart/2005/8/layout/hierarchy2"/>
    <dgm:cxn modelId="{ED2F1103-55B8-4636-ADB7-CDAA2D0D6C56}" type="presOf" srcId="{1DD30267-6264-4A02-9757-5979412DB148}" destId="{EC9FCC6B-E82B-41C5-A26C-A6F663709DDC}" srcOrd="0" destOrd="0" presId="urn:microsoft.com/office/officeart/2005/8/layout/hierarchy2"/>
    <dgm:cxn modelId="{8410DD0B-031F-4A07-B440-D16AAA03A934}" srcId="{68A35F0C-C209-4B53-AFB0-28808AF99A7B}" destId="{88F5E8E2-BD35-4679-8D6C-944DB368367F}" srcOrd="5" destOrd="0" parTransId="{E636247A-EC69-4756-87A0-FEA666C72D7B}" sibTransId="{D07CBB0B-CB93-4CF7-A7AC-D8B140C44CD0}"/>
    <dgm:cxn modelId="{7936D10F-8084-4CC4-8613-824B3FD1874C}" type="presOf" srcId="{E636247A-EC69-4756-87A0-FEA666C72D7B}" destId="{15171E8A-BBDB-4531-A572-97567ACC00B9}" srcOrd="0" destOrd="0" presId="urn:microsoft.com/office/officeart/2005/8/layout/hierarchy2"/>
    <dgm:cxn modelId="{42BB2314-FAC7-4EE6-B003-6FB24698D884}" srcId="{D508F210-5F19-43D4-A985-690F68BD34FD}" destId="{DB5F6279-5063-4F2F-A136-A315675F31D1}" srcOrd="2" destOrd="0" parTransId="{6A124D95-02D3-43B0-868C-E97342C7C2E6}" sibTransId="{33E3AF8C-B478-495C-BB59-674903321950}"/>
    <dgm:cxn modelId="{C1BE3424-050A-461A-9C04-9330F9FE68B4}" type="presOf" srcId="{68A35F0C-C209-4B53-AFB0-28808AF99A7B}" destId="{FF6FA15F-31E1-405A-967C-AD0CAE797268}" srcOrd="0" destOrd="0" presId="urn:microsoft.com/office/officeart/2005/8/layout/hierarchy2"/>
    <dgm:cxn modelId="{31FF1127-34CF-47B4-BEFF-D9ACBA3C8814}" type="presOf" srcId="{69D1C112-71E9-428C-85CD-F29F31AF6458}" destId="{9E734703-0827-4AD5-9C69-A398B5C817BE}" srcOrd="0" destOrd="0" presId="urn:microsoft.com/office/officeart/2005/8/layout/hierarchy2"/>
    <dgm:cxn modelId="{F5B2EC28-7FDF-4BCB-9262-1795CE5419BE}" type="presOf" srcId="{1FAB6554-75F7-40D0-8A16-BE9EB3CFC053}" destId="{5FC52346-02E3-4B24-8C1D-C22CFB9B190F}" srcOrd="0" destOrd="0" presId="urn:microsoft.com/office/officeart/2005/8/layout/hierarchy2"/>
    <dgm:cxn modelId="{0BEBFF2A-1B2C-4997-AD30-4D8A4EF05D98}" srcId="{6A95E1D8-60B9-4B99-AA79-C460ECE22CE1}" destId="{D508F210-5F19-43D4-A985-690F68BD34FD}" srcOrd="0" destOrd="0" parTransId="{5528C7A3-0D6F-43CB-90C5-DFD5A0B29F9C}" sibTransId="{5CB0CCE6-FF99-4353-A41B-B599472343A8}"/>
    <dgm:cxn modelId="{6B0ED930-16CA-4270-80D7-F8D7E840CEB4}" srcId="{2122059E-EE31-47BB-B2A1-21D7C72F7497}" destId="{746F3D2A-8683-4E36-9079-7B5E3F82E432}" srcOrd="0" destOrd="0" parTransId="{3871330D-FB92-465F-85F0-C1759B28E798}" sibTransId="{A49D965F-2119-4A7A-8B71-7C1215C88262}"/>
    <dgm:cxn modelId="{4839DD33-722B-4568-9715-8E30F15A04CD}" type="presOf" srcId="{2122059E-EE31-47BB-B2A1-21D7C72F7497}" destId="{6510049F-728E-4DEA-B5EB-8348CADB6511}" srcOrd="0" destOrd="0" presId="urn:microsoft.com/office/officeart/2005/8/layout/hierarchy2"/>
    <dgm:cxn modelId="{CAFE1636-A088-4011-A804-8B538B5A8A0C}" srcId="{88F5E8E2-BD35-4679-8D6C-944DB368367F}" destId="{E628F032-7C69-41F9-97D9-238D673A0942}" srcOrd="0" destOrd="0" parTransId="{583A5574-BA66-4CA2-81F1-D455C2C2DCD1}" sibTransId="{2B0F93C8-47C0-4FEC-B8A0-43C693A218DB}"/>
    <dgm:cxn modelId="{AF28833E-A6F4-4EBD-A97A-5BB5038B3987}" type="presOf" srcId="{E628F032-7C69-41F9-97D9-238D673A0942}" destId="{E35D68EF-1A6D-495D-97A0-359BB766F987}" srcOrd="0" destOrd="0" presId="urn:microsoft.com/office/officeart/2005/8/layout/hierarchy2"/>
    <dgm:cxn modelId="{42C64D5B-CC08-45BF-9F6D-EA957DE65522}" srcId="{68A35F0C-C209-4B53-AFB0-28808AF99A7B}" destId="{69D1C112-71E9-428C-85CD-F29F31AF6458}" srcOrd="2" destOrd="0" parTransId="{59B6F3CD-1059-428B-A1C8-18800E10DF8D}" sibTransId="{C8978E05-BCF0-4BCD-8FFB-BF1C08F5FD5E}"/>
    <dgm:cxn modelId="{BE6DCB5D-F67A-487D-B0AC-7C2A115DEBBC}" type="presOf" srcId="{D57BDAAB-AB5B-4F2B-BBE9-97A46702FE66}" destId="{BFD8BE3F-2112-478F-B213-0D6EC683AB7B}" srcOrd="1" destOrd="0" presId="urn:microsoft.com/office/officeart/2005/8/layout/hierarchy2"/>
    <dgm:cxn modelId="{2AD7FC5D-1907-49DB-B540-26AAC23B36E1}" type="presOf" srcId="{7F7A889A-109D-44A1-A646-EDBDA996A3C9}" destId="{0CED305F-938F-4947-BFD3-DB2CF6629929}" srcOrd="0" destOrd="0" presId="urn:microsoft.com/office/officeart/2005/8/layout/hierarchy2"/>
    <dgm:cxn modelId="{B0685741-A892-45EA-A00D-362A51405133}" type="presOf" srcId="{C393F94B-65F8-43CB-A9A6-2911BED3377F}" destId="{2FE775A9-91E4-46C7-B10A-8E39B337AB86}" srcOrd="1" destOrd="0" presId="urn:microsoft.com/office/officeart/2005/8/layout/hierarchy2"/>
    <dgm:cxn modelId="{FEAC6742-03B9-4693-B427-8BFDFBF1A36A}" type="presOf" srcId="{45C89776-5D16-4DA1-96A7-EF596147F884}" destId="{E95690A2-4FDC-4135-90D9-575892EE8D4C}" srcOrd="0" destOrd="0" presId="urn:microsoft.com/office/officeart/2005/8/layout/hierarchy2"/>
    <dgm:cxn modelId="{642B7B62-C428-4067-AF23-0FBB1722B459}" type="presOf" srcId="{3871330D-FB92-465F-85F0-C1759B28E798}" destId="{DE1387DE-55D4-47DE-9B4E-F480F4D4D2DA}" srcOrd="1" destOrd="0" presId="urn:microsoft.com/office/officeart/2005/8/layout/hierarchy2"/>
    <dgm:cxn modelId="{5ACE9942-7A85-49D5-85BC-7DD915AC15F3}" srcId="{2DDB9F27-E2BD-48FE-B74B-3B23D3D464AD}" destId="{EF6A1120-A1D3-43CD-AFEB-1E43D96BA38E}" srcOrd="0" destOrd="0" parTransId="{A88DD318-840F-4D4A-9D4E-867F47DF8CF4}" sibTransId="{1B294F6F-AFC3-45A7-84D8-DEF89B9C799A}"/>
    <dgm:cxn modelId="{7D775763-4AB8-43F9-89A4-B232F84D4EDE}" type="presOf" srcId="{D57BDAAB-AB5B-4F2B-BBE9-97A46702FE66}" destId="{4907F4D1-7A09-4707-8200-546156BD96B6}" srcOrd="0" destOrd="0" presId="urn:microsoft.com/office/officeart/2005/8/layout/hierarchy2"/>
    <dgm:cxn modelId="{B2366A44-3BCE-4E48-A33D-AAF83AAE0EDC}" srcId="{68A35F0C-C209-4B53-AFB0-28808AF99A7B}" destId="{6BB4A1C4-1B09-49BB-B96B-29BD5B2658E2}" srcOrd="4" destOrd="0" parTransId="{A86921F3-F669-4B2D-B03F-1B234D15C939}" sibTransId="{E6B13326-E4DE-4B22-A29E-8FD864975E6A}"/>
    <dgm:cxn modelId="{E8E37568-4285-4487-B9EA-03C92E139367}" type="presOf" srcId="{395EE6F7-8325-47AB-AD64-47067CCE0011}" destId="{12F2145B-32F4-47CC-B666-B169900E2826}" srcOrd="0" destOrd="0" presId="urn:microsoft.com/office/officeart/2005/8/layout/hierarchy2"/>
    <dgm:cxn modelId="{B597B84A-3DED-467A-AAA9-34EC253906B9}" srcId="{B0846704-DA20-4AEB-8C3C-19300743BA66}" destId="{45C89776-5D16-4DA1-96A7-EF596147F884}" srcOrd="0" destOrd="0" parTransId="{AD5F08D4-E8C9-40CE-971B-27C2DF054E81}" sibTransId="{136A884F-1DB7-42A9-B6B0-FF34EB46C8DB}"/>
    <dgm:cxn modelId="{CFE3174C-88C2-4F8C-8439-8E29C342C172}" type="presOf" srcId="{B0E097C3-C667-4190-A822-E2C65AAEA9F1}" destId="{E3620348-CBF4-4B1B-8274-98EA488A43F2}" srcOrd="0" destOrd="0" presId="urn:microsoft.com/office/officeart/2005/8/layout/hierarchy2"/>
    <dgm:cxn modelId="{B7EAAB6D-4AD0-42CF-B669-AF51E23C1D9F}" type="presOf" srcId="{DB5F6279-5063-4F2F-A136-A315675F31D1}" destId="{A706E27F-A16E-4E42-91DE-CAFA442616C1}" srcOrd="0" destOrd="0" presId="urn:microsoft.com/office/officeart/2005/8/layout/hierarchy2"/>
    <dgm:cxn modelId="{858C156F-6ED2-46CC-A569-B1E4B2579A67}" type="presOf" srcId="{A86921F3-F669-4B2D-B03F-1B234D15C939}" destId="{8FE95B21-7EB7-420D-B852-B380B2EB7616}" srcOrd="1" destOrd="0" presId="urn:microsoft.com/office/officeart/2005/8/layout/hierarchy2"/>
    <dgm:cxn modelId="{E5E01C71-D894-478E-B1AB-89E923BA5ECE}" type="presOf" srcId="{D80D300F-591C-4C21-AAA1-25C3F6C3CF8D}" destId="{DA0DB322-C936-413D-9A45-9C6496A104E8}" srcOrd="0" destOrd="0" presId="urn:microsoft.com/office/officeart/2005/8/layout/hierarchy2"/>
    <dgm:cxn modelId="{F2741574-226E-456C-AF7C-330EA6799978}" type="presOf" srcId="{DF2D06C7-1587-4E0A-84F7-06829DB9A677}" destId="{B0FF0678-5179-4B51-A154-5721C1EC96DD}" srcOrd="0" destOrd="0" presId="urn:microsoft.com/office/officeart/2005/8/layout/hierarchy2"/>
    <dgm:cxn modelId="{7089D574-523F-4B2B-85EC-00573747BCEE}" type="presOf" srcId="{B49B3E5A-F33F-456B-8BD0-FF95B4C887AB}" destId="{43181BFA-7851-4999-B412-CD632CD22401}" srcOrd="0" destOrd="0" presId="urn:microsoft.com/office/officeart/2005/8/layout/hierarchy2"/>
    <dgm:cxn modelId="{2BE02958-1375-4C69-8F6C-C0BC63FF3030}" type="presOf" srcId="{AD5F08D4-E8C9-40CE-971B-27C2DF054E81}" destId="{541683AB-3D6A-43BC-BAE2-6E9DDA47E407}" srcOrd="0" destOrd="0" presId="urn:microsoft.com/office/officeart/2005/8/layout/hierarchy2"/>
    <dgm:cxn modelId="{8FE0C07C-73E6-423D-9CD2-57AB70623B18}" type="presOf" srcId="{2DDB9F27-E2BD-48FE-B74B-3B23D3D464AD}" destId="{E911F41B-B407-404F-A2E1-16C61FAD5F9B}" srcOrd="0" destOrd="0" presId="urn:microsoft.com/office/officeart/2005/8/layout/hierarchy2"/>
    <dgm:cxn modelId="{88F0497E-6577-4D74-9DAF-D3E854823496}" type="presOf" srcId="{B0846704-DA20-4AEB-8C3C-19300743BA66}" destId="{9EC60AF0-2CC3-490B-8750-22014E1D88D4}" srcOrd="0" destOrd="0" presId="urn:microsoft.com/office/officeart/2005/8/layout/hierarchy2"/>
    <dgm:cxn modelId="{650C7688-A50B-493B-AD6C-3A8A55018D9F}" srcId="{DB5F6279-5063-4F2F-A136-A315675F31D1}" destId="{2122059E-EE31-47BB-B2A1-21D7C72F7497}" srcOrd="0" destOrd="0" parTransId="{1FAB6554-75F7-40D0-8A16-BE9EB3CFC053}" sibTransId="{3304A1FB-46A5-4C8C-9E2F-5DE1C60F229E}"/>
    <dgm:cxn modelId="{9E02608B-C835-4C4E-AB01-95F01C61081A}" srcId="{DF2D06C7-1587-4E0A-84F7-06829DB9A677}" destId="{E6ADF616-5958-4B90-A018-B5C68D6E9083}" srcOrd="0" destOrd="0" parTransId="{30F75C0C-2694-4707-99E7-1BA1AF359B69}" sibTransId="{B9DD7A81-2D1A-409C-938D-DC96527FA134}"/>
    <dgm:cxn modelId="{FB8B538E-B67F-4876-A786-6885D05B9A71}" srcId="{68A35F0C-C209-4B53-AFB0-28808AF99A7B}" destId="{B0846704-DA20-4AEB-8C3C-19300743BA66}" srcOrd="1" destOrd="0" parTransId="{B8751CA5-9493-4F81-890F-63EEF271A44E}" sibTransId="{86A48EB6-9196-4359-BA91-66EEDD4589F5}"/>
    <dgm:cxn modelId="{EEC43590-BC5B-4462-AA4E-C8ECCCE8DEAC}" type="presOf" srcId="{9702EF54-07FA-4EB8-A5CE-2F13502B4668}" destId="{B7857821-AE72-4A4C-9F2D-9A93261CB17B}" srcOrd="0" destOrd="0" presId="urn:microsoft.com/office/officeart/2005/8/layout/hierarchy2"/>
    <dgm:cxn modelId="{ACE0F291-8BDD-43F1-8051-04AF4D3530F2}" type="presOf" srcId="{E636247A-EC69-4756-87A0-FEA666C72D7B}" destId="{8E9FA18D-50F4-4967-ABED-10718A74F1C0}" srcOrd="1" destOrd="0" presId="urn:microsoft.com/office/officeart/2005/8/layout/hierarchy2"/>
    <dgm:cxn modelId="{1D9C5695-43B0-415F-A721-2C1B106AD081}" type="presOf" srcId="{D80D300F-591C-4C21-AAA1-25C3F6C3CF8D}" destId="{FAC0733B-EB5B-4D44-91D7-1D2A2FD0F1D3}" srcOrd="1" destOrd="0" presId="urn:microsoft.com/office/officeart/2005/8/layout/hierarchy2"/>
    <dgm:cxn modelId="{BF0DD697-4769-47BF-9209-2E3DA602E5E7}" srcId="{68A35F0C-C209-4B53-AFB0-28808AF99A7B}" destId="{DF2D06C7-1587-4E0A-84F7-06829DB9A677}" srcOrd="0" destOrd="0" parTransId="{7F7A889A-109D-44A1-A646-EDBDA996A3C9}" sibTransId="{267C116A-98F1-4393-A319-F987FEADA1DC}"/>
    <dgm:cxn modelId="{C3CAD697-69C5-4EB4-8D1A-C206FA80CA11}" srcId="{B0E097C3-C667-4190-A822-E2C65AAEA9F1}" destId="{2DDB9F27-E2BD-48FE-B74B-3B23D3D464AD}" srcOrd="0" destOrd="0" parTransId="{C393F94B-65F8-43CB-A9A6-2911BED3377F}" sibTransId="{D7EEAC2B-2D2D-496E-BD7A-FDDBE26EBC61}"/>
    <dgm:cxn modelId="{8D114799-CED2-493B-B2A1-CCB1AE2217A2}" type="presOf" srcId="{30F75C0C-2694-4707-99E7-1BA1AF359B69}" destId="{DF1402B5-1249-4298-83AB-B6C461491F55}" srcOrd="1" destOrd="0" presId="urn:microsoft.com/office/officeart/2005/8/layout/hierarchy2"/>
    <dgm:cxn modelId="{C976219F-DC2A-44B8-9AFB-102673F11D75}" type="presOf" srcId="{AD5F08D4-E8C9-40CE-971B-27C2DF054E81}" destId="{898AD381-DAD5-4068-A8AA-107B82A21888}" srcOrd="1" destOrd="0" presId="urn:microsoft.com/office/officeart/2005/8/layout/hierarchy2"/>
    <dgm:cxn modelId="{EE84A79F-6520-4334-A610-601AD572566C}" type="presOf" srcId="{583A5574-BA66-4CA2-81F1-D455C2C2DCD1}" destId="{21ED94AE-4929-42F7-AD79-5EB53507A2AE}" srcOrd="1" destOrd="0" presId="urn:microsoft.com/office/officeart/2005/8/layout/hierarchy2"/>
    <dgm:cxn modelId="{42A6DE9F-33CC-4995-A1CC-1F863CFFFC99}" type="presOf" srcId="{B49B3E5A-F33F-456B-8BD0-FF95B4C887AB}" destId="{1EC1FFFD-BAFF-42AA-BC4C-01FF967695F8}" srcOrd="1" destOrd="0" presId="urn:microsoft.com/office/officeart/2005/8/layout/hierarchy2"/>
    <dgm:cxn modelId="{E27162A0-656A-4C4D-BBF6-C3EFB32C77BD}" type="presOf" srcId="{B8751CA5-9493-4F81-890F-63EEF271A44E}" destId="{FA966413-BC94-43E8-BD22-F5D64E1E1B48}" srcOrd="0" destOrd="0" presId="urn:microsoft.com/office/officeart/2005/8/layout/hierarchy2"/>
    <dgm:cxn modelId="{008323A6-37ED-41AF-BB69-C1BF8A0E80A2}" type="presOf" srcId="{59B6F3CD-1059-428B-A1C8-18800E10DF8D}" destId="{123912A5-16C9-488D-A390-989CC4BC1A16}" srcOrd="0" destOrd="0" presId="urn:microsoft.com/office/officeart/2005/8/layout/hierarchy2"/>
    <dgm:cxn modelId="{3BFEF7A7-8596-47F1-AB4D-2E71A1F044E7}" type="presOf" srcId="{EF6A1120-A1D3-43CD-AFEB-1E43D96BA38E}" destId="{ECEF486B-9B2F-4D22-B3CA-D86A5D5962D0}" srcOrd="0" destOrd="0" presId="urn:microsoft.com/office/officeart/2005/8/layout/hierarchy2"/>
    <dgm:cxn modelId="{E8E372AF-2869-4124-9FB5-930C092E715D}" type="presOf" srcId="{59B6F3CD-1059-428B-A1C8-18800E10DF8D}" destId="{5AF48F62-60CE-4DB1-BA6A-EFDDD291903F}" srcOrd="1" destOrd="0" presId="urn:microsoft.com/office/officeart/2005/8/layout/hierarchy2"/>
    <dgm:cxn modelId="{389BB6AF-B70F-481A-BA8D-4E09650D1C53}" type="presOf" srcId="{6A124D95-02D3-43B0-868C-E97342C7C2E6}" destId="{C4FCECF3-2125-4769-9AD8-17180F236F52}" srcOrd="1" destOrd="0" presId="urn:microsoft.com/office/officeart/2005/8/layout/hierarchy2"/>
    <dgm:cxn modelId="{294DD3AF-9CAB-44E4-BAE1-37E16D93FB3F}" type="presOf" srcId="{7F7A889A-109D-44A1-A646-EDBDA996A3C9}" destId="{3801741B-20B4-48F3-B3A1-9B0F1D398848}" srcOrd="1" destOrd="0" presId="urn:microsoft.com/office/officeart/2005/8/layout/hierarchy2"/>
    <dgm:cxn modelId="{5E86DAB5-7DB7-4C25-9E12-4F29CADB568C}" type="presOf" srcId="{E6ADF616-5958-4B90-A018-B5C68D6E9083}" destId="{CA857F20-680F-45D6-838B-47AB7E47E4EF}" srcOrd="0" destOrd="0" presId="urn:microsoft.com/office/officeart/2005/8/layout/hierarchy2"/>
    <dgm:cxn modelId="{72894EB8-100A-45D9-A2C4-32E13FFA9677}" type="presOf" srcId="{30F75C0C-2694-4707-99E7-1BA1AF359B69}" destId="{6F00BFF1-D066-4588-8119-B7340CAD1558}" srcOrd="0" destOrd="0" presId="urn:microsoft.com/office/officeart/2005/8/layout/hierarchy2"/>
    <dgm:cxn modelId="{13DA58B8-F788-4257-9F1F-52FCEBB1FA57}" type="presOf" srcId="{81C6A0DF-FB29-498D-85C5-13B9DA636B67}" destId="{D67DF6FD-D83C-41D3-8C19-9C94644D242A}" srcOrd="1" destOrd="0" presId="urn:microsoft.com/office/officeart/2005/8/layout/hierarchy2"/>
    <dgm:cxn modelId="{A473F6B8-2980-452E-A3B4-C9B1ABF1C157}" srcId="{69D1C112-71E9-428C-85CD-F29F31AF6458}" destId="{395EE6F7-8325-47AB-AD64-47067CCE0011}" srcOrd="0" destOrd="0" parTransId="{81C6A0DF-FB29-498D-85C5-13B9DA636B67}" sibTransId="{64A0C7EC-79F7-4596-9196-9EE0BCBFC8E1}"/>
    <dgm:cxn modelId="{E4936EBA-B87E-4051-8B81-72223B2905D0}" type="presOf" srcId="{B8751CA5-9493-4F81-890F-63EEF271A44E}" destId="{4498C895-27E6-40F1-A26D-E87DD193BAE8}" srcOrd="1" destOrd="0" presId="urn:microsoft.com/office/officeart/2005/8/layout/hierarchy2"/>
    <dgm:cxn modelId="{C158C3BA-6540-4459-B4E4-BE4527E698C8}" type="presOf" srcId="{E93F7751-72A4-4408-9E97-3548E2EE5316}" destId="{4EC5C0FE-4B5E-45FF-B932-135E99F82AED}" srcOrd="0" destOrd="0" presId="urn:microsoft.com/office/officeart/2005/8/layout/hierarchy2"/>
    <dgm:cxn modelId="{CD4514BB-CC23-43E3-BAF5-ED4B96C03D54}" type="presOf" srcId="{746F3D2A-8683-4E36-9079-7B5E3F82E432}" destId="{5CDCDB92-E535-4FCE-A5D0-632F49CE1245}" srcOrd="0" destOrd="0" presId="urn:microsoft.com/office/officeart/2005/8/layout/hierarchy2"/>
    <dgm:cxn modelId="{AD65FFBC-898C-449C-90DB-214305D4DC1D}" type="presOf" srcId="{946BE7E0-E948-49B0-8A87-160C8034B979}" destId="{77F82420-DB33-4BE0-B254-14FE271C5A68}" srcOrd="0" destOrd="0" presId="urn:microsoft.com/office/officeart/2005/8/layout/hierarchy2"/>
    <dgm:cxn modelId="{896DC4C1-BD7C-4A1C-A1FD-D1AE916524C2}" type="presOf" srcId="{A5FECDDF-F824-4605-A4CF-881E0E4429A1}" destId="{7A221848-385A-4074-A046-60A60E81C6CA}" srcOrd="0" destOrd="0" presId="urn:microsoft.com/office/officeart/2005/8/layout/hierarchy2"/>
    <dgm:cxn modelId="{E7BE15C5-EE72-4159-BB83-0AFB568C451A}" srcId="{6BB4A1C4-1B09-49BB-B96B-29BD5B2658E2}" destId="{1DD30267-6264-4A02-9757-5979412DB148}" srcOrd="0" destOrd="0" parTransId="{D80D300F-591C-4C21-AAA1-25C3F6C3CF8D}" sibTransId="{2660CC87-6519-4D6C-A3E9-6F9135A1F8FB}"/>
    <dgm:cxn modelId="{2CDE02CB-AC1F-4DE2-9510-08297206B735}" type="presOf" srcId="{583A5574-BA66-4CA2-81F1-D455C2C2DCD1}" destId="{DEE5468D-FEF3-4D0D-8E4F-6D3B0E7DFAE1}" srcOrd="0" destOrd="0" presId="urn:microsoft.com/office/officeart/2005/8/layout/hierarchy2"/>
    <dgm:cxn modelId="{01B094CD-5B40-4A26-96DE-080F89BD8B35}" type="presOf" srcId="{9702EF54-07FA-4EB8-A5CE-2F13502B4668}" destId="{73F57EDA-0A31-4021-8935-411CF7D8E9B4}" srcOrd="1" destOrd="0" presId="urn:microsoft.com/office/officeart/2005/8/layout/hierarchy2"/>
    <dgm:cxn modelId="{EB9EF9CE-53CD-44EF-8EB4-5819C63A9F18}" type="presOf" srcId="{81C6A0DF-FB29-498D-85C5-13B9DA636B67}" destId="{BEB7490C-957B-4EEC-B30E-54777478B850}" srcOrd="0" destOrd="0" presId="urn:microsoft.com/office/officeart/2005/8/layout/hierarchy2"/>
    <dgm:cxn modelId="{D89334D6-39F0-4814-BF6F-802194529AA8}" srcId="{E93F7751-72A4-4408-9E97-3548E2EE5316}" destId="{A5FECDDF-F824-4605-A4CF-881E0E4429A1}" srcOrd="0" destOrd="0" parTransId="{B49B3E5A-F33F-456B-8BD0-FF95B4C887AB}" sibTransId="{51ABE180-0B2B-4344-A643-4237E177DD8A}"/>
    <dgm:cxn modelId="{EE9BFADC-395F-48B4-B7C1-EBFA6E6EC37F}" srcId="{D508F210-5F19-43D4-A985-690F68BD34FD}" destId="{68A35F0C-C209-4B53-AFB0-28808AF99A7B}" srcOrd="0" destOrd="0" parTransId="{D57BDAAB-AB5B-4F2B-BBE9-97A46702FE66}" sibTransId="{F692E094-DF93-4697-B794-5CA3A884CF1A}"/>
    <dgm:cxn modelId="{4FCE24E0-D789-4EDE-A329-E53694061882}" srcId="{D508F210-5F19-43D4-A985-690F68BD34FD}" destId="{B0E097C3-C667-4190-A822-E2C65AAEA9F1}" srcOrd="1" destOrd="0" parTransId="{946BE7E0-E948-49B0-8A87-160C8034B979}" sibTransId="{C2787F33-8016-45BB-817A-3EFBC44B2B79}"/>
    <dgm:cxn modelId="{117A64E3-04E8-4060-AC1C-8457EDE36796}" srcId="{68A35F0C-C209-4B53-AFB0-28808AF99A7B}" destId="{E93F7751-72A4-4408-9E97-3548E2EE5316}" srcOrd="3" destOrd="0" parTransId="{9702EF54-07FA-4EB8-A5CE-2F13502B4668}" sibTransId="{0EEE6F51-C12B-4CA8-927C-75C17D916136}"/>
    <dgm:cxn modelId="{2AD5FEE5-B069-408C-832A-5870BA20BBFB}" type="presOf" srcId="{3871330D-FB92-465F-85F0-C1759B28E798}" destId="{963995C3-4875-4F6C-9195-550F7D9D8EC4}" srcOrd="0" destOrd="0" presId="urn:microsoft.com/office/officeart/2005/8/layout/hierarchy2"/>
    <dgm:cxn modelId="{CFB2F8E6-2639-4BFC-B419-C3491FA03210}" type="presOf" srcId="{946BE7E0-E948-49B0-8A87-160C8034B979}" destId="{A7881EE7-50F6-4A1C-B04F-3D7511941F03}" srcOrd="1" destOrd="0" presId="urn:microsoft.com/office/officeart/2005/8/layout/hierarchy2"/>
    <dgm:cxn modelId="{077B9DE9-46B3-4B96-A733-0AFD250D9CA2}" type="presOf" srcId="{6A95E1D8-60B9-4B99-AA79-C460ECE22CE1}" destId="{A71B35EB-9D70-46F9-966B-CA3E06BE65DC}" srcOrd="0" destOrd="0" presId="urn:microsoft.com/office/officeart/2005/8/layout/hierarchy2"/>
    <dgm:cxn modelId="{E9855DEA-0FFF-4657-AE83-FE5C48636F81}" type="presOf" srcId="{1FAB6554-75F7-40D0-8A16-BE9EB3CFC053}" destId="{2BE7AECA-4386-4E1F-81B6-DFD314FA5EF0}" srcOrd="1" destOrd="0" presId="urn:microsoft.com/office/officeart/2005/8/layout/hierarchy2"/>
    <dgm:cxn modelId="{7A1587EA-8158-4DEF-B303-E1A613428F16}" type="presOf" srcId="{C393F94B-65F8-43CB-A9A6-2911BED3377F}" destId="{A00D0DC3-4D76-4D1A-A398-DF6EA8178E2A}" srcOrd="0" destOrd="0" presId="urn:microsoft.com/office/officeart/2005/8/layout/hierarchy2"/>
    <dgm:cxn modelId="{D1D5CDEA-A9B7-4FC4-A6DF-18DEF56E9A15}" type="presOf" srcId="{6BB4A1C4-1B09-49BB-B96B-29BD5B2658E2}" destId="{313C968D-2439-4D42-9715-7AF2E06A1332}" srcOrd="0" destOrd="0" presId="urn:microsoft.com/office/officeart/2005/8/layout/hierarchy2"/>
    <dgm:cxn modelId="{EEFDCCEC-1EF7-4D3C-87F7-F8767AC1EDF5}" type="presOf" srcId="{A88DD318-840F-4D4A-9D4E-867F47DF8CF4}" destId="{D949F86B-4046-4A3E-A5DF-ACFE143A22DB}" srcOrd="0" destOrd="0" presId="urn:microsoft.com/office/officeart/2005/8/layout/hierarchy2"/>
    <dgm:cxn modelId="{6D4877F3-EF6A-49ED-80C2-A378FEA64331}" type="presOf" srcId="{A86921F3-F669-4B2D-B03F-1B234D15C939}" destId="{3E9B4108-ECBB-4EDD-9779-434EEA3ED69A}" srcOrd="0" destOrd="0" presId="urn:microsoft.com/office/officeart/2005/8/layout/hierarchy2"/>
    <dgm:cxn modelId="{8A4F68FA-83A3-4927-97E5-0E702D41777E}" type="presOf" srcId="{88F5E8E2-BD35-4679-8D6C-944DB368367F}" destId="{1CC3B8EC-3366-45CF-A4AB-50B0DDF660EB}" srcOrd="0" destOrd="0" presId="urn:microsoft.com/office/officeart/2005/8/layout/hierarchy2"/>
    <dgm:cxn modelId="{D49BFCFA-7ADF-4657-9D26-3ECFC8B8CD89}" type="presOf" srcId="{A88DD318-840F-4D4A-9D4E-867F47DF8CF4}" destId="{8D933ABB-081D-4982-9363-C48DED523B5C}" srcOrd="1" destOrd="0" presId="urn:microsoft.com/office/officeart/2005/8/layout/hierarchy2"/>
    <dgm:cxn modelId="{15EC93FB-C82F-4BB0-A516-B4FD3EDEC791}" type="presOf" srcId="{6A124D95-02D3-43B0-868C-E97342C7C2E6}" destId="{4E545428-3806-41F0-A734-A11CBEA22172}" srcOrd="0" destOrd="0" presId="urn:microsoft.com/office/officeart/2005/8/layout/hierarchy2"/>
    <dgm:cxn modelId="{7E2BF809-5525-4DC1-9A00-D0B1EE017C5A}" type="presParOf" srcId="{A71B35EB-9D70-46F9-966B-CA3E06BE65DC}" destId="{3C12CAD6-C715-4792-8853-4A498B18C93E}" srcOrd="0" destOrd="0" presId="urn:microsoft.com/office/officeart/2005/8/layout/hierarchy2"/>
    <dgm:cxn modelId="{F83E3E98-FD1A-429D-85D8-D432DA9A56F0}" type="presParOf" srcId="{3C12CAD6-C715-4792-8853-4A498B18C93E}" destId="{F1C0B253-5C72-419A-B39C-65CA22C40FDB}" srcOrd="0" destOrd="0" presId="urn:microsoft.com/office/officeart/2005/8/layout/hierarchy2"/>
    <dgm:cxn modelId="{70CEF2D9-1B40-4888-AC5D-47C91013D2E3}" type="presParOf" srcId="{3C12CAD6-C715-4792-8853-4A498B18C93E}" destId="{358C0D58-8BC3-4F67-A5B9-9091676CCDA7}" srcOrd="1" destOrd="0" presId="urn:microsoft.com/office/officeart/2005/8/layout/hierarchy2"/>
    <dgm:cxn modelId="{A2E9A46B-16C2-4F18-A235-35DB1BA0D2AD}" type="presParOf" srcId="{358C0D58-8BC3-4F67-A5B9-9091676CCDA7}" destId="{4907F4D1-7A09-4707-8200-546156BD96B6}" srcOrd="0" destOrd="0" presId="urn:microsoft.com/office/officeart/2005/8/layout/hierarchy2"/>
    <dgm:cxn modelId="{3A528CD4-66D7-49FF-BDF1-D462BD909AE0}" type="presParOf" srcId="{4907F4D1-7A09-4707-8200-546156BD96B6}" destId="{BFD8BE3F-2112-478F-B213-0D6EC683AB7B}" srcOrd="0" destOrd="0" presId="urn:microsoft.com/office/officeart/2005/8/layout/hierarchy2"/>
    <dgm:cxn modelId="{903F85D2-4C0E-48D4-A661-8BB2979D4743}" type="presParOf" srcId="{358C0D58-8BC3-4F67-A5B9-9091676CCDA7}" destId="{04721269-F43C-4D47-B632-6C9A08681DCF}" srcOrd="1" destOrd="0" presId="urn:microsoft.com/office/officeart/2005/8/layout/hierarchy2"/>
    <dgm:cxn modelId="{2BB01D6A-60FC-4DE9-A085-DA271122F2B0}" type="presParOf" srcId="{04721269-F43C-4D47-B632-6C9A08681DCF}" destId="{FF6FA15F-31E1-405A-967C-AD0CAE797268}" srcOrd="0" destOrd="0" presId="urn:microsoft.com/office/officeart/2005/8/layout/hierarchy2"/>
    <dgm:cxn modelId="{418EB0FC-EFE5-43C0-9524-F1BA11687604}" type="presParOf" srcId="{04721269-F43C-4D47-B632-6C9A08681DCF}" destId="{BCB358FB-95CB-4ACF-925E-91451668B8F2}" srcOrd="1" destOrd="0" presId="urn:microsoft.com/office/officeart/2005/8/layout/hierarchy2"/>
    <dgm:cxn modelId="{B0794481-0738-4A67-B719-D66F146539B7}" type="presParOf" srcId="{BCB358FB-95CB-4ACF-925E-91451668B8F2}" destId="{0CED305F-938F-4947-BFD3-DB2CF6629929}" srcOrd="0" destOrd="0" presId="urn:microsoft.com/office/officeart/2005/8/layout/hierarchy2"/>
    <dgm:cxn modelId="{CF0838B0-91E6-4DF4-8A17-08BACA1E4241}" type="presParOf" srcId="{0CED305F-938F-4947-BFD3-DB2CF6629929}" destId="{3801741B-20B4-48F3-B3A1-9B0F1D398848}" srcOrd="0" destOrd="0" presId="urn:microsoft.com/office/officeart/2005/8/layout/hierarchy2"/>
    <dgm:cxn modelId="{1B29849A-2F28-4E61-A71A-A24C573EF175}" type="presParOf" srcId="{BCB358FB-95CB-4ACF-925E-91451668B8F2}" destId="{52F2A3D7-F320-4D2F-B674-182D274E23F4}" srcOrd="1" destOrd="0" presId="urn:microsoft.com/office/officeart/2005/8/layout/hierarchy2"/>
    <dgm:cxn modelId="{28429545-7642-44D9-B60A-1BB5E2A29919}" type="presParOf" srcId="{52F2A3D7-F320-4D2F-B674-182D274E23F4}" destId="{B0FF0678-5179-4B51-A154-5721C1EC96DD}" srcOrd="0" destOrd="0" presId="urn:microsoft.com/office/officeart/2005/8/layout/hierarchy2"/>
    <dgm:cxn modelId="{5F9FD27C-59BE-427B-B1C6-665850C03DC5}" type="presParOf" srcId="{52F2A3D7-F320-4D2F-B674-182D274E23F4}" destId="{D371D162-F87D-4EB4-AC4E-54EC6B06669D}" srcOrd="1" destOrd="0" presId="urn:microsoft.com/office/officeart/2005/8/layout/hierarchy2"/>
    <dgm:cxn modelId="{2EB772BF-8ED3-426B-A1F0-10220A297824}" type="presParOf" srcId="{D371D162-F87D-4EB4-AC4E-54EC6B06669D}" destId="{6F00BFF1-D066-4588-8119-B7340CAD1558}" srcOrd="0" destOrd="0" presId="urn:microsoft.com/office/officeart/2005/8/layout/hierarchy2"/>
    <dgm:cxn modelId="{D23491F2-5379-4F68-AB01-C53523B0984D}" type="presParOf" srcId="{6F00BFF1-D066-4588-8119-B7340CAD1558}" destId="{DF1402B5-1249-4298-83AB-B6C461491F55}" srcOrd="0" destOrd="0" presId="urn:microsoft.com/office/officeart/2005/8/layout/hierarchy2"/>
    <dgm:cxn modelId="{87A45E04-2958-4BFE-A2F8-BCEE2F955252}" type="presParOf" srcId="{D371D162-F87D-4EB4-AC4E-54EC6B06669D}" destId="{BEB3A29F-D899-4278-A4A2-EE177059804D}" srcOrd="1" destOrd="0" presId="urn:microsoft.com/office/officeart/2005/8/layout/hierarchy2"/>
    <dgm:cxn modelId="{E3A9C2DB-514B-4C87-8D66-2BB87E06E993}" type="presParOf" srcId="{BEB3A29F-D899-4278-A4A2-EE177059804D}" destId="{CA857F20-680F-45D6-838B-47AB7E47E4EF}" srcOrd="0" destOrd="0" presId="urn:microsoft.com/office/officeart/2005/8/layout/hierarchy2"/>
    <dgm:cxn modelId="{0325A893-DEDD-4E34-AD29-60F880E0A4A4}" type="presParOf" srcId="{BEB3A29F-D899-4278-A4A2-EE177059804D}" destId="{D3C3603C-9C24-4022-8684-964CE0FDDA2C}" srcOrd="1" destOrd="0" presId="urn:microsoft.com/office/officeart/2005/8/layout/hierarchy2"/>
    <dgm:cxn modelId="{80E74CEF-7595-4553-84DE-9C5283D766EF}" type="presParOf" srcId="{BCB358FB-95CB-4ACF-925E-91451668B8F2}" destId="{FA966413-BC94-43E8-BD22-F5D64E1E1B48}" srcOrd="2" destOrd="0" presId="urn:microsoft.com/office/officeart/2005/8/layout/hierarchy2"/>
    <dgm:cxn modelId="{E6DE19DB-F608-4CBB-B3FD-1D9EF27B25C2}" type="presParOf" srcId="{FA966413-BC94-43E8-BD22-F5D64E1E1B48}" destId="{4498C895-27E6-40F1-A26D-E87DD193BAE8}" srcOrd="0" destOrd="0" presId="urn:microsoft.com/office/officeart/2005/8/layout/hierarchy2"/>
    <dgm:cxn modelId="{8238208A-1611-4B07-A957-4F2DB4B1000A}" type="presParOf" srcId="{BCB358FB-95CB-4ACF-925E-91451668B8F2}" destId="{9E8EC58D-FDDD-4031-BBB1-6D37D78F81A8}" srcOrd="3" destOrd="0" presId="urn:microsoft.com/office/officeart/2005/8/layout/hierarchy2"/>
    <dgm:cxn modelId="{D2A2C629-E5AC-4CDF-8A2A-D69B8188BF18}" type="presParOf" srcId="{9E8EC58D-FDDD-4031-BBB1-6D37D78F81A8}" destId="{9EC60AF0-2CC3-490B-8750-22014E1D88D4}" srcOrd="0" destOrd="0" presId="urn:microsoft.com/office/officeart/2005/8/layout/hierarchy2"/>
    <dgm:cxn modelId="{2A81D826-B8DE-488A-9398-AC67EF019363}" type="presParOf" srcId="{9E8EC58D-FDDD-4031-BBB1-6D37D78F81A8}" destId="{0118B7D0-D7AC-4E6C-B5E3-5662C6D69FB3}" srcOrd="1" destOrd="0" presId="urn:microsoft.com/office/officeart/2005/8/layout/hierarchy2"/>
    <dgm:cxn modelId="{B771891F-1947-4634-8FD2-8CC6BD67FE9B}" type="presParOf" srcId="{0118B7D0-D7AC-4E6C-B5E3-5662C6D69FB3}" destId="{541683AB-3D6A-43BC-BAE2-6E9DDA47E407}" srcOrd="0" destOrd="0" presId="urn:microsoft.com/office/officeart/2005/8/layout/hierarchy2"/>
    <dgm:cxn modelId="{40B36F56-5703-41C8-92C4-C8865EF1AB68}" type="presParOf" srcId="{541683AB-3D6A-43BC-BAE2-6E9DDA47E407}" destId="{898AD381-DAD5-4068-A8AA-107B82A21888}" srcOrd="0" destOrd="0" presId="urn:microsoft.com/office/officeart/2005/8/layout/hierarchy2"/>
    <dgm:cxn modelId="{4A093E5A-EB4C-44AD-AE5A-CF07AB649CE2}" type="presParOf" srcId="{0118B7D0-D7AC-4E6C-B5E3-5662C6D69FB3}" destId="{B14A0148-3612-4399-9CF3-E256CE84515C}" srcOrd="1" destOrd="0" presId="urn:microsoft.com/office/officeart/2005/8/layout/hierarchy2"/>
    <dgm:cxn modelId="{1CD8DB12-FAD9-4234-AC5B-004504D4E2AC}" type="presParOf" srcId="{B14A0148-3612-4399-9CF3-E256CE84515C}" destId="{E95690A2-4FDC-4135-90D9-575892EE8D4C}" srcOrd="0" destOrd="0" presId="urn:microsoft.com/office/officeart/2005/8/layout/hierarchy2"/>
    <dgm:cxn modelId="{EFFF5CAF-0018-4893-9617-B13641B17ED8}" type="presParOf" srcId="{B14A0148-3612-4399-9CF3-E256CE84515C}" destId="{D95B10E8-2880-404B-BC60-21AD18A47ECF}" srcOrd="1" destOrd="0" presId="urn:microsoft.com/office/officeart/2005/8/layout/hierarchy2"/>
    <dgm:cxn modelId="{B3D9BC5E-5C31-44F8-BD02-B4DA3382E701}" type="presParOf" srcId="{BCB358FB-95CB-4ACF-925E-91451668B8F2}" destId="{123912A5-16C9-488D-A390-989CC4BC1A16}" srcOrd="4" destOrd="0" presId="urn:microsoft.com/office/officeart/2005/8/layout/hierarchy2"/>
    <dgm:cxn modelId="{E2B573DC-4030-497A-A4A1-802D7CCC9B82}" type="presParOf" srcId="{123912A5-16C9-488D-A390-989CC4BC1A16}" destId="{5AF48F62-60CE-4DB1-BA6A-EFDDD291903F}" srcOrd="0" destOrd="0" presId="urn:microsoft.com/office/officeart/2005/8/layout/hierarchy2"/>
    <dgm:cxn modelId="{BA75B4A5-7BDC-422E-BA25-D1F7776B7200}" type="presParOf" srcId="{BCB358FB-95CB-4ACF-925E-91451668B8F2}" destId="{2C25C1A9-F748-4B07-A221-686F05D942DB}" srcOrd="5" destOrd="0" presId="urn:microsoft.com/office/officeart/2005/8/layout/hierarchy2"/>
    <dgm:cxn modelId="{32F533F0-90C1-4A64-8EE7-2C975626AEAF}" type="presParOf" srcId="{2C25C1A9-F748-4B07-A221-686F05D942DB}" destId="{9E734703-0827-4AD5-9C69-A398B5C817BE}" srcOrd="0" destOrd="0" presId="urn:microsoft.com/office/officeart/2005/8/layout/hierarchy2"/>
    <dgm:cxn modelId="{530687B4-D9C5-47BD-983C-1D0487F0D2B8}" type="presParOf" srcId="{2C25C1A9-F748-4B07-A221-686F05D942DB}" destId="{61CA0BF0-9AA0-41F4-B89B-50802E835398}" srcOrd="1" destOrd="0" presId="urn:microsoft.com/office/officeart/2005/8/layout/hierarchy2"/>
    <dgm:cxn modelId="{575B28CE-0D39-46AA-81C9-ECA7B1BF3675}" type="presParOf" srcId="{61CA0BF0-9AA0-41F4-B89B-50802E835398}" destId="{BEB7490C-957B-4EEC-B30E-54777478B850}" srcOrd="0" destOrd="0" presId="urn:microsoft.com/office/officeart/2005/8/layout/hierarchy2"/>
    <dgm:cxn modelId="{0B36F621-8BAC-4BBF-BEB9-31CC7E963FD6}" type="presParOf" srcId="{BEB7490C-957B-4EEC-B30E-54777478B850}" destId="{D67DF6FD-D83C-41D3-8C19-9C94644D242A}" srcOrd="0" destOrd="0" presId="urn:microsoft.com/office/officeart/2005/8/layout/hierarchy2"/>
    <dgm:cxn modelId="{95F4F640-DBEF-4EDE-B557-A422BA6EEC99}" type="presParOf" srcId="{61CA0BF0-9AA0-41F4-B89B-50802E835398}" destId="{9D69388D-5444-4685-8525-F8247D51EA14}" srcOrd="1" destOrd="0" presId="urn:microsoft.com/office/officeart/2005/8/layout/hierarchy2"/>
    <dgm:cxn modelId="{3A82169D-48BB-4E07-936B-307D174A5D13}" type="presParOf" srcId="{9D69388D-5444-4685-8525-F8247D51EA14}" destId="{12F2145B-32F4-47CC-B666-B169900E2826}" srcOrd="0" destOrd="0" presId="urn:microsoft.com/office/officeart/2005/8/layout/hierarchy2"/>
    <dgm:cxn modelId="{5F01DFB2-BB71-42D4-A48E-70BA27E32DCC}" type="presParOf" srcId="{9D69388D-5444-4685-8525-F8247D51EA14}" destId="{0F5EF745-91ED-40E8-8850-C52B3E9A6CF6}" srcOrd="1" destOrd="0" presId="urn:microsoft.com/office/officeart/2005/8/layout/hierarchy2"/>
    <dgm:cxn modelId="{3578E1E8-760E-4FF4-8A34-B2F7A78B97C3}" type="presParOf" srcId="{BCB358FB-95CB-4ACF-925E-91451668B8F2}" destId="{B7857821-AE72-4A4C-9F2D-9A93261CB17B}" srcOrd="6" destOrd="0" presId="urn:microsoft.com/office/officeart/2005/8/layout/hierarchy2"/>
    <dgm:cxn modelId="{4DF9B093-2581-4D50-9C79-5585F1C14120}" type="presParOf" srcId="{B7857821-AE72-4A4C-9F2D-9A93261CB17B}" destId="{73F57EDA-0A31-4021-8935-411CF7D8E9B4}" srcOrd="0" destOrd="0" presId="urn:microsoft.com/office/officeart/2005/8/layout/hierarchy2"/>
    <dgm:cxn modelId="{E0A6C0F4-EF7E-4E25-ADF1-B6F1F840F924}" type="presParOf" srcId="{BCB358FB-95CB-4ACF-925E-91451668B8F2}" destId="{8CFC1BE2-E68C-4631-A5E6-12F4F86EE0A1}" srcOrd="7" destOrd="0" presId="urn:microsoft.com/office/officeart/2005/8/layout/hierarchy2"/>
    <dgm:cxn modelId="{1CF8C965-5AD9-40F1-81A9-FE66C575EAEB}" type="presParOf" srcId="{8CFC1BE2-E68C-4631-A5E6-12F4F86EE0A1}" destId="{4EC5C0FE-4B5E-45FF-B932-135E99F82AED}" srcOrd="0" destOrd="0" presId="urn:microsoft.com/office/officeart/2005/8/layout/hierarchy2"/>
    <dgm:cxn modelId="{8150551B-90F2-4AF2-84EF-88C9192A8AC7}" type="presParOf" srcId="{8CFC1BE2-E68C-4631-A5E6-12F4F86EE0A1}" destId="{812BB1FB-945E-4997-8793-284D0AD7AAF2}" srcOrd="1" destOrd="0" presId="urn:microsoft.com/office/officeart/2005/8/layout/hierarchy2"/>
    <dgm:cxn modelId="{C9BF4445-3C5C-4E38-82E4-791EE3CD3C5F}" type="presParOf" srcId="{812BB1FB-945E-4997-8793-284D0AD7AAF2}" destId="{43181BFA-7851-4999-B412-CD632CD22401}" srcOrd="0" destOrd="0" presId="urn:microsoft.com/office/officeart/2005/8/layout/hierarchy2"/>
    <dgm:cxn modelId="{FD9DF731-82F7-4EF3-B4CB-775824145BC5}" type="presParOf" srcId="{43181BFA-7851-4999-B412-CD632CD22401}" destId="{1EC1FFFD-BAFF-42AA-BC4C-01FF967695F8}" srcOrd="0" destOrd="0" presId="urn:microsoft.com/office/officeart/2005/8/layout/hierarchy2"/>
    <dgm:cxn modelId="{60606AE0-4E47-4D85-8EB7-7B5763553686}" type="presParOf" srcId="{812BB1FB-945E-4997-8793-284D0AD7AAF2}" destId="{BFB3630E-F936-4947-9E98-0F48EE7E57D8}" srcOrd="1" destOrd="0" presId="urn:microsoft.com/office/officeart/2005/8/layout/hierarchy2"/>
    <dgm:cxn modelId="{BA0C2D94-D873-43D9-AA48-3AF0B1B8A0DE}" type="presParOf" srcId="{BFB3630E-F936-4947-9E98-0F48EE7E57D8}" destId="{7A221848-385A-4074-A046-60A60E81C6CA}" srcOrd="0" destOrd="0" presId="urn:microsoft.com/office/officeart/2005/8/layout/hierarchy2"/>
    <dgm:cxn modelId="{73E62809-49C8-49B4-A5E2-D2AB0A6B5B09}" type="presParOf" srcId="{BFB3630E-F936-4947-9E98-0F48EE7E57D8}" destId="{F9B8F928-DC74-46FE-B720-E0B51C71203C}" srcOrd="1" destOrd="0" presId="urn:microsoft.com/office/officeart/2005/8/layout/hierarchy2"/>
    <dgm:cxn modelId="{EFA8CEA1-9FEC-4CB6-B157-10DE950BED84}" type="presParOf" srcId="{BCB358FB-95CB-4ACF-925E-91451668B8F2}" destId="{3E9B4108-ECBB-4EDD-9779-434EEA3ED69A}" srcOrd="8" destOrd="0" presId="urn:microsoft.com/office/officeart/2005/8/layout/hierarchy2"/>
    <dgm:cxn modelId="{EDDD42DC-349A-477C-8A47-999B5D5A07A9}" type="presParOf" srcId="{3E9B4108-ECBB-4EDD-9779-434EEA3ED69A}" destId="{8FE95B21-7EB7-420D-B852-B380B2EB7616}" srcOrd="0" destOrd="0" presId="urn:microsoft.com/office/officeart/2005/8/layout/hierarchy2"/>
    <dgm:cxn modelId="{A5DEAFE0-788C-46BE-808A-1B687EB7328A}" type="presParOf" srcId="{BCB358FB-95CB-4ACF-925E-91451668B8F2}" destId="{3266BD14-75F9-4E8A-A3A6-82FB5099EE87}" srcOrd="9" destOrd="0" presId="urn:microsoft.com/office/officeart/2005/8/layout/hierarchy2"/>
    <dgm:cxn modelId="{2D018B43-6F87-470A-B3CF-5A94E1E78CC9}" type="presParOf" srcId="{3266BD14-75F9-4E8A-A3A6-82FB5099EE87}" destId="{313C968D-2439-4D42-9715-7AF2E06A1332}" srcOrd="0" destOrd="0" presId="urn:microsoft.com/office/officeart/2005/8/layout/hierarchy2"/>
    <dgm:cxn modelId="{D34A6F80-2F6E-4A96-8FF7-4C9684E7EE04}" type="presParOf" srcId="{3266BD14-75F9-4E8A-A3A6-82FB5099EE87}" destId="{630A0155-620C-410A-99DD-942106D34329}" srcOrd="1" destOrd="0" presId="urn:microsoft.com/office/officeart/2005/8/layout/hierarchy2"/>
    <dgm:cxn modelId="{EB66D962-1CFD-4D93-8C27-CE15E8A60AC5}" type="presParOf" srcId="{630A0155-620C-410A-99DD-942106D34329}" destId="{DA0DB322-C936-413D-9A45-9C6496A104E8}" srcOrd="0" destOrd="0" presId="urn:microsoft.com/office/officeart/2005/8/layout/hierarchy2"/>
    <dgm:cxn modelId="{EEB60EE1-7748-4EBC-BB53-EFE10DBD8662}" type="presParOf" srcId="{DA0DB322-C936-413D-9A45-9C6496A104E8}" destId="{FAC0733B-EB5B-4D44-91D7-1D2A2FD0F1D3}" srcOrd="0" destOrd="0" presId="urn:microsoft.com/office/officeart/2005/8/layout/hierarchy2"/>
    <dgm:cxn modelId="{E6C3BADE-4AAB-458E-A6CC-44519EE62D34}" type="presParOf" srcId="{630A0155-620C-410A-99DD-942106D34329}" destId="{B23BE538-AC66-4870-B697-95F703E2C41B}" srcOrd="1" destOrd="0" presId="urn:microsoft.com/office/officeart/2005/8/layout/hierarchy2"/>
    <dgm:cxn modelId="{35F180C6-8014-483F-802B-1280C661DB09}" type="presParOf" srcId="{B23BE538-AC66-4870-B697-95F703E2C41B}" destId="{EC9FCC6B-E82B-41C5-A26C-A6F663709DDC}" srcOrd="0" destOrd="0" presId="urn:microsoft.com/office/officeart/2005/8/layout/hierarchy2"/>
    <dgm:cxn modelId="{BA8597C4-BAFF-4166-AE2D-083401980F9E}" type="presParOf" srcId="{B23BE538-AC66-4870-B697-95F703E2C41B}" destId="{32BF250C-0E9C-45E8-B982-AC36553FCCED}" srcOrd="1" destOrd="0" presId="urn:microsoft.com/office/officeart/2005/8/layout/hierarchy2"/>
    <dgm:cxn modelId="{83E09A62-E005-48F5-90F0-2AC5517A63ED}" type="presParOf" srcId="{BCB358FB-95CB-4ACF-925E-91451668B8F2}" destId="{15171E8A-BBDB-4531-A572-97567ACC00B9}" srcOrd="10" destOrd="0" presId="urn:microsoft.com/office/officeart/2005/8/layout/hierarchy2"/>
    <dgm:cxn modelId="{9B05FBBA-7726-4413-BEE2-4C3C74482801}" type="presParOf" srcId="{15171E8A-BBDB-4531-A572-97567ACC00B9}" destId="{8E9FA18D-50F4-4967-ABED-10718A74F1C0}" srcOrd="0" destOrd="0" presId="urn:microsoft.com/office/officeart/2005/8/layout/hierarchy2"/>
    <dgm:cxn modelId="{C11B02E5-8DBE-449A-A96B-544849DA6ABD}" type="presParOf" srcId="{BCB358FB-95CB-4ACF-925E-91451668B8F2}" destId="{E2916DB6-6804-4210-862A-62D5E09C4542}" srcOrd="11" destOrd="0" presId="urn:microsoft.com/office/officeart/2005/8/layout/hierarchy2"/>
    <dgm:cxn modelId="{531E2AEA-E772-4CB7-AADC-BC445DF9FE30}" type="presParOf" srcId="{E2916DB6-6804-4210-862A-62D5E09C4542}" destId="{1CC3B8EC-3366-45CF-A4AB-50B0DDF660EB}" srcOrd="0" destOrd="0" presId="urn:microsoft.com/office/officeart/2005/8/layout/hierarchy2"/>
    <dgm:cxn modelId="{6F61B174-AE6E-481D-AEC8-D7F120A8EF18}" type="presParOf" srcId="{E2916DB6-6804-4210-862A-62D5E09C4542}" destId="{13F8FED3-B609-41DE-8B1C-5987A3F81536}" srcOrd="1" destOrd="0" presId="urn:microsoft.com/office/officeart/2005/8/layout/hierarchy2"/>
    <dgm:cxn modelId="{6BBEA452-9252-4F76-BED1-059D550F10E1}" type="presParOf" srcId="{13F8FED3-B609-41DE-8B1C-5987A3F81536}" destId="{DEE5468D-FEF3-4D0D-8E4F-6D3B0E7DFAE1}" srcOrd="0" destOrd="0" presId="urn:microsoft.com/office/officeart/2005/8/layout/hierarchy2"/>
    <dgm:cxn modelId="{38E26E5A-71F3-402F-B38A-915AB1033120}" type="presParOf" srcId="{DEE5468D-FEF3-4D0D-8E4F-6D3B0E7DFAE1}" destId="{21ED94AE-4929-42F7-AD79-5EB53507A2AE}" srcOrd="0" destOrd="0" presId="urn:microsoft.com/office/officeart/2005/8/layout/hierarchy2"/>
    <dgm:cxn modelId="{6DCAD810-B744-4937-AB72-A2A215771740}" type="presParOf" srcId="{13F8FED3-B609-41DE-8B1C-5987A3F81536}" destId="{38AC71E9-4796-485D-A2AA-AF853D1B3703}" srcOrd="1" destOrd="0" presId="urn:microsoft.com/office/officeart/2005/8/layout/hierarchy2"/>
    <dgm:cxn modelId="{3E4E5E18-EE86-40EA-9147-3D223160D540}" type="presParOf" srcId="{38AC71E9-4796-485D-A2AA-AF853D1B3703}" destId="{E35D68EF-1A6D-495D-97A0-359BB766F987}" srcOrd="0" destOrd="0" presId="urn:microsoft.com/office/officeart/2005/8/layout/hierarchy2"/>
    <dgm:cxn modelId="{A3BC1BAE-B123-4724-88EC-CFA13BBD48B9}" type="presParOf" srcId="{38AC71E9-4796-485D-A2AA-AF853D1B3703}" destId="{DE65F943-C765-4FC0-9609-1545B91C571F}" srcOrd="1" destOrd="0" presId="urn:microsoft.com/office/officeart/2005/8/layout/hierarchy2"/>
    <dgm:cxn modelId="{0F36BFB7-5E34-49A8-98B0-1706C827609B}" type="presParOf" srcId="{358C0D58-8BC3-4F67-A5B9-9091676CCDA7}" destId="{77F82420-DB33-4BE0-B254-14FE271C5A68}" srcOrd="2" destOrd="0" presId="urn:microsoft.com/office/officeart/2005/8/layout/hierarchy2"/>
    <dgm:cxn modelId="{BD6C2BEE-D1F3-43C9-8773-85FB581F2837}" type="presParOf" srcId="{77F82420-DB33-4BE0-B254-14FE271C5A68}" destId="{A7881EE7-50F6-4A1C-B04F-3D7511941F03}" srcOrd="0" destOrd="0" presId="urn:microsoft.com/office/officeart/2005/8/layout/hierarchy2"/>
    <dgm:cxn modelId="{92F0280F-8446-4D23-A462-9C28824D3019}" type="presParOf" srcId="{358C0D58-8BC3-4F67-A5B9-9091676CCDA7}" destId="{2379A223-005E-4664-AF71-17D8C17D74C8}" srcOrd="3" destOrd="0" presId="urn:microsoft.com/office/officeart/2005/8/layout/hierarchy2"/>
    <dgm:cxn modelId="{A82E0BDB-7AD1-4752-9FB2-B3F6CE54F5BE}" type="presParOf" srcId="{2379A223-005E-4664-AF71-17D8C17D74C8}" destId="{E3620348-CBF4-4B1B-8274-98EA488A43F2}" srcOrd="0" destOrd="0" presId="urn:microsoft.com/office/officeart/2005/8/layout/hierarchy2"/>
    <dgm:cxn modelId="{22D27711-3A50-43AF-9F36-A5E42A2B87B4}" type="presParOf" srcId="{2379A223-005E-4664-AF71-17D8C17D74C8}" destId="{947E8CB9-9F04-4C57-B37A-DD6B661F8E0A}" srcOrd="1" destOrd="0" presId="urn:microsoft.com/office/officeart/2005/8/layout/hierarchy2"/>
    <dgm:cxn modelId="{2CC3B1F4-9B06-41CF-850C-2D4B3A6FB7E9}" type="presParOf" srcId="{947E8CB9-9F04-4C57-B37A-DD6B661F8E0A}" destId="{A00D0DC3-4D76-4D1A-A398-DF6EA8178E2A}" srcOrd="0" destOrd="0" presId="urn:microsoft.com/office/officeart/2005/8/layout/hierarchy2"/>
    <dgm:cxn modelId="{483012E9-431F-4692-8AAB-DEBD39A2D887}" type="presParOf" srcId="{A00D0DC3-4D76-4D1A-A398-DF6EA8178E2A}" destId="{2FE775A9-91E4-46C7-B10A-8E39B337AB86}" srcOrd="0" destOrd="0" presId="urn:microsoft.com/office/officeart/2005/8/layout/hierarchy2"/>
    <dgm:cxn modelId="{13E71CE8-3011-4CF6-AD10-BB8AFB038468}" type="presParOf" srcId="{947E8CB9-9F04-4C57-B37A-DD6B661F8E0A}" destId="{ED4B7BB2-AD92-401E-AE13-AA9E660C98F0}" srcOrd="1" destOrd="0" presId="urn:microsoft.com/office/officeart/2005/8/layout/hierarchy2"/>
    <dgm:cxn modelId="{732552DD-1590-4C5B-A072-234FAC00F55F}" type="presParOf" srcId="{ED4B7BB2-AD92-401E-AE13-AA9E660C98F0}" destId="{E911F41B-B407-404F-A2E1-16C61FAD5F9B}" srcOrd="0" destOrd="0" presId="urn:microsoft.com/office/officeart/2005/8/layout/hierarchy2"/>
    <dgm:cxn modelId="{E7FA6447-234A-4069-9A81-A40600E8CC20}" type="presParOf" srcId="{ED4B7BB2-AD92-401E-AE13-AA9E660C98F0}" destId="{695D2844-AF9F-4951-819E-B7F76B7B564D}" srcOrd="1" destOrd="0" presId="urn:microsoft.com/office/officeart/2005/8/layout/hierarchy2"/>
    <dgm:cxn modelId="{5BD01B2A-6366-4FD7-A5CC-156E67B8BAB7}" type="presParOf" srcId="{695D2844-AF9F-4951-819E-B7F76B7B564D}" destId="{D949F86B-4046-4A3E-A5DF-ACFE143A22DB}" srcOrd="0" destOrd="0" presId="urn:microsoft.com/office/officeart/2005/8/layout/hierarchy2"/>
    <dgm:cxn modelId="{D8DC309E-C162-4888-81F2-071BCE7F0163}" type="presParOf" srcId="{D949F86B-4046-4A3E-A5DF-ACFE143A22DB}" destId="{8D933ABB-081D-4982-9363-C48DED523B5C}" srcOrd="0" destOrd="0" presId="urn:microsoft.com/office/officeart/2005/8/layout/hierarchy2"/>
    <dgm:cxn modelId="{1B0A8D48-9EC8-46F0-8C98-A56FC6C4B954}" type="presParOf" srcId="{695D2844-AF9F-4951-819E-B7F76B7B564D}" destId="{629C0180-B267-4051-A533-93D3FC09251A}" srcOrd="1" destOrd="0" presId="urn:microsoft.com/office/officeart/2005/8/layout/hierarchy2"/>
    <dgm:cxn modelId="{D31C371D-05A5-4230-AF84-B355A1568F7F}" type="presParOf" srcId="{629C0180-B267-4051-A533-93D3FC09251A}" destId="{ECEF486B-9B2F-4D22-B3CA-D86A5D5962D0}" srcOrd="0" destOrd="0" presId="urn:microsoft.com/office/officeart/2005/8/layout/hierarchy2"/>
    <dgm:cxn modelId="{BF8540C9-CEB2-40DF-BA2A-46CDDC818FEA}" type="presParOf" srcId="{629C0180-B267-4051-A533-93D3FC09251A}" destId="{32CCBBEE-67AD-41C0-92D0-404FC4BE1FE6}" srcOrd="1" destOrd="0" presId="urn:microsoft.com/office/officeart/2005/8/layout/hierarchy2"/>
    <dgm:cxn modelId="{EB467866-CB6E-4AA6-8B41-A551C31768C4}" type="presParOf" srcId="{358C0D58-8BC3-4F67-A5B9-9091676CCDA7}" destId="{4E545428-3806-41F0-A734-A11CBEA22172}" srcOrd="4" destOrd="0" presId="urn:microsoft.com/office/officeart/2005/8/layout/hierarchy2"/>
    <dgm:cxn modelId="{C70A49DB-DA7C-4D24-923F-6566FE6B6175}" type="presParOf" srcId="{4E545428-3806-41F0-A734-A11CBEA22172}" destId="{C4FCECF3-2125-4769-9AD8-17180F236F52}" srcOrd="0" destOrd="0" presId="urn:microsoft.com/office/officeart/2005/8/layout/hierarchy2"/>
    <dgm:cxn modelId="{69F0F571-410E-4FC2-8C58-FFA2C554A553}" type="presParOf" srcId="{358C0D58-8BC3-4F67-A5B9-9091676CCDA7}" destId="{5D0FF49C-BC6A-4F55-9098-D939AFA65AD1}" srcOrd="5" destOrd="0" presId="urn:microsoft.com/office/officeart/2005/8/layout/hierarchy2"/>
    <dgm:cxn modelId="{5B7DA23D-F278-44CC-BA04-3D09528ECF64}" type="presParOf" srcId="{5D0FF49C-BC6A-4F55-9098-D939AFA65AD1}" destId="{A706E27F-A16E-4E42-91DE-CAFA442616C1}" srcOrd="0" destOrd="0" presId="urn:microsoft.com/office/officeart/2005/8/layout/hierarchy2"/>
    <dgm:cxn modelId="{0525117C-4002-406C-980F-09A042CBBE5C}" type="presParOf" srcId="{5D0FF49C-BC6A-4F55-9098-D939AFA65AD1}" destId="{768AF11C-D9E8-4271-9693-5FF9AA53D2B6}" srcOrd="1" destOrd="0" presId="urn:microsoft.com/office/officeart/2005/8/layout/hierarchy2"/>
    <dgm:cxn modelId="{6D4B8787-41E2-42A8-AFA6-3EEC76DF14A7}" type="presParOf" srcId="{768AF11C-D9E8-4271-9693-5FF9AA53D2B6}" destId="{5FC52346-02E3-4B24-8C1D-C22CFB9B190F}" srcOrd="0" destOrd="0" presId="urn:microsoft.com/office/officeart/2005/8/layout/hierarchy2"/>
    <dgm:cxn modelId="{0129C8AE-715F-499B-A796-74486A976AE0}" type="presParOf" srcId="{5FC52346-02E3-4B24-8C1D-C22CFB9B190F}" destId="{2BE7AECA-4386-4E1F-81B6-DFD314FA5EF0}" srcOrd="0" destOrd="0" presId="urn:microsoft.com/office/officeart/2005/8/layout/hierarchy2"/>
    <dgm:cxn modelId="{89A70556-339F-4FFE-BBBF-0D1C2B9548A0}" type="presParOf" srcId="{768AF11C-D9E8-4271-9693-5FF9AA53D2B6}" destId="{FFE743F0-F2EB-4B77-BE02-68D4F74C78C8}" srcOrd="1" destOrd="0" presId="urn:microsoft.com/office/officeart/2005/8/layout/hierarchy2"/>
    <dgm:cxn modelId="{8520CF00-F9BD-4F65-816A-EFA34997A101}" type="presParOf" srcId="{FFE743F0-F2EB-4B77-BE02-68D4F74C78C8}" destId="{6510049F-728E-4DEA-B5EB-8348CADB6511}" srcOrd="0" destOrd="0" presId="urn:microsoft.com/office/officeart/2005/8/layout/hierarchy2"/>
    <dgm:cxn modelId="{491A73EB-303A-4E94-9C2C-751C8CBC2E14}" type="presParOf" srcId="{FFE743F0-F2EB-4B77-BE02-68D4F74C78C8}" destId="{2ACE818E-D43B-4C06-AD98-4645139515C1}" srcOrd="1" destOrd="0" presId="urn:microsoft.com/office/officeart/2005/8/layout/hierarchy2"/>
    <dgm:cxn modelId="{23A3F33D-C05F-4057-AA78-76D933F1C533}" type="presParOf" srcId="{2ACE818E-D43B-4C06-AD98-4645139515C1}" destId="{963995C3-4875-4F6C-9195-550F7D9D8EC4}" srcOrd="0" destOrd="0" presId="urn:microsoft.com/office/officeart/2005/8/layout/hierarchy2"/>
    <dgm:cxn modelId="{D5598739-5327-45D4-B322-2D82CFD1C8FF}" type="presParOf" srcId="{963995C3-4875-4F6C-9195-550F7D9D8EC4}" destId="{DE1387DE-55D4-47DE-9B4E-F480F4D4D2DA}" srcOrd="0" destOrd="0" presId="urn:microsoft.com/office/officeart/2005/8/layout/hierarchy2"/>
    <dgm:cxn modelId="{A2C198D8-B9F0-4A17-8DE9-C52737745F93}" type="presParOf" srcId="{2ACE818E-D43B-4C06-AD98-4645139515C1}" destId="{5A84852C-BBA4-4105-9142-DCE2250159DF}" srcOrd="1" destOrd="0" presId="urn:microsoft.com/office/officeart/2005/8/layout/hierarchy2"/>
    <dgm:cxn modelId="{672CB8C2-0B20-4ED4-ACE6-87E573EEC62F}" type="presParOf" srcId="{5A84852C-BBA4-4105-9142-DCE2250159DF}" destId="{5CDCDB92-E535-4FCE-A5D0-632F49CE1245}" srcOrd="0" destOrd="0" presId="urn:microsoft.com/office/officeart/2005/8/layout/hierarchy2"/>
    <dgm:cxn modelId="{83B8D953-C3B7-4E56-95BE-E8D6FFCFDFAA}" type="presParOf" srcId="{5A84852C-BBA4-4105-9142-DCE2250159DF}" destId="{858042D9-39DF-4A1E-B68F-9D577A3FC87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0B253-5C72-419A-B39C-65CA22C40FDB}">
      <dsp:nvSpPr>
        <dsp:cNvPr id="0" name=""/>
        <dsp:cNvSpPr/>
      </dsp:nvSpPr>
      <dsp:spPr>
        <a:xfrm>
          <a:off x="0" y="850523"/>
          <a:ext cx="339659" cy="29420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Dataset </a:t>
          </a:r>
        </a:p>
      </dsp:txBody>
      <dsp:txXfrm>
        <a:off x="8617" y="859140"/>
        <a:ext cx="322425" cy="276975"/>
      </dsp:txXfrm>
    </dsp:sp>
    <dsp:sp modelId="{4907F4D1-7A09-4707-8200-546156BD96B6}">
      <dsp:nvSpPr>
        <dsp:cNvPr id="0" name=""/>
        <dsp:cNvSpPr/>
      </dsp:nvSpPr>
      <dsp:spPr>
        <a:xfrm rot="16800668">
          <a:off x="122224" y="720100"/>
          <a:ext cx="526374" cy="36694"/>
        </a:xfrm>
        <a:custGeom>
          <a:avLst/>
          <a:gdLst/>
          <a:ahLst/>
          <a:cxnLst/>
          <a:rect l="0" t="0" r="0" b="0"/>
          <a:pathLst>
            <a:path>
              <a:moveTo>
                <a:pt x="0" y="18347"/>
              </a:moveTo>
              <a:lnTo>
                <a:pt x="526374" y="1834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72252" y="725288"/>
        <a:ext cx="26318" cy="26318"/>
      </dsp:txXfrm>
    </dsp:sp>
    <dsp:sp modelId="{FF6FA15F-31E1-405A-967C-AD0CAE797268}">
      <dsp:nvSpPr>
        <dsp:cNvPr id="0" name=""/>
        <dsp:cNvSpPr/>
      </dsp:nvSpPr>
      <dsp:spPr>
        <a:xfrm>
          <a:off x="431164" y="323805"/>
          <a:ext cx="528873" cy="31092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Combination 1 of 10 indicators</a:t>
          </a:r>
        </a:p>
      </dsp:txBody>
      <dsp:txXfrm>
        <a:off x="440271" y="332912"/>
        <a:ext cx="510659" cy="292708"/>
      </dsp:txXfrm>
    </dsp:sp>
    <dsp:sp modelId="{0CED305F-938F-4947-BFD3-DB2CF6629929}">
      <dsp:nvSpPr>
        <dsp:cNvPr id="0" name=""/>
        <dsp:cNvSpPr/>
      </dsp:nvSpPr>
      <dsp:spPr>
        <a:xfrm rot="17806115">
          <a:off x="842518" y="270012"/>
          <a:ext cx="427643" cy="36694"/>
        </a:xfrm>
        <a:custGeom>
          <a:avLst/>
          <a:gdLst/>
          <a:ahLst/>
          <a:cxnLst/>
          <a:rect l="0" t="0" r="0" b="0"/>
          <a:pathLst>
            <a:path>
              <a:moveTo>
                <a:pt x="0" y="18347"/>
              </a:moveTo>
              <a:lnTo>
                <a:pt x="427643"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45649" y="277669"/>
        <a:ext cx="21382" cy="21382"/>
      </dsp:txXfrm>
    </dsp:sp>
    <dsp:sp modelId="{B0FF0678-5179-4B51-A154-5721C1EC96DD}">
      <dsp:nvSpPr>
        <dsp:cNvPr id="0" name=""/>
        <dsp:cNvSpPr/>
      </dsp:nvSpPr>
      <dsp:spPr>
        <a:xfrm>
          <a:off x="1152643" y="0"/>
          <a:ext cx="595079" cy="19490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Pass/fail</a:t>
          </a:r>
        </a:p>
      </dsp:txBody>
      <dsp:txXfrm>
        <a:off x="1158352" y="5709"/>
        <a:ext cx="583661" cy="183487"/>
      </dsp:txXfrm>
    </dsp:sp>
    <dsp:sp modelId="{6F00BFF1-D066-4588-8119-B7340CAD1558}">
      <dsp:nvSpPr>
        <dsp:cNvPr id="0" name=""/>
        <dsp:cNvSpPr/>
      </dsp:nvSpPr>
      <dsp:spPr>
        <a:xfrm rot="21430603">
          <a:off x="1747510" y="70489"/>
          <a:ext cx="349842" cy="36694"/>
        </a:xfrm>
        <a:custGeom>
          <a:avLst/>
          <a:gdLst/>
          <a:ahLst/>
          <a:cxnLst/>
          <a:rect l="0" t="0" r="0" b="0"/>
          <a:pathLst>
            <a:path>
              <a:moveTo>
                <a:pt x="0" y="18347"/>
              </a:moveTo>
              <a:lnTo>
                <a:pt x="349842"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13685" y="80090"/>
        <a:ext cx="17492" cy="17492"/>
      </dsp:txXfrm>
    </dsp:sp>
    <dsp:sp modelId="{CA857F20-680F-45D6-838B-47AB7E47E4EF}">
      <dsp:nvSpPr>
        <dsp:cNvPr id="0" name=""/>
        <dsp:cNvSpPr/>
      </dsp:nvSpPr>
      <dsp:spPr>
        <a:xfrm>
          <a:off x="2097140" y="0"/>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101839" y="4699"/>
        <a:ext cx="1946705" cy="151044"/>
      </dsp:txXfrm>
    </dsp:sp>
    <dsp:sp modelId="{FA966413-BC94-43E8-BD22-F5D64E1E1B48}">
      <dsp:nvSpPr>
        <dsp:cNvPr id="0" name=""/>
        <dsp:cNvSpPr/>
      </dsp:nvSpPr>
      <dsp:spPr>
        <a:xfrm rot="19334926">
          <a:off x="934791" y="387078"/>
          <a:ext cx="241220" cy="36694"/>
        </a:xfrm>
        <a:custGeom>
          <a:avLst/>
          <a:gdLst/>
          <a:ahLst/>
          <a:cxnLst/>
          <a:rect l="0" t="0" r="0" b="0"/>
          <a:pathLst>
            <a:path>
              <a:moveTo>
                <a:pt x="0" y="18347"/>
              </a:moveTo>
              <a:lnTo>
                <a:pt x="241220"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49370" y="399395"/>
        <a:ext cx="12061" cy="12061"/>
      </dsp:txXfrm>
    </dsp:sp>
    <dsp:sp modelId="{9EC60AF0-2CC3-490B-8750-22014E1D88D4}">
      <dsp:nvSpPr>
        <dsp:cNvPr id="0" name=""/>
        <dsp:cNvSpPr/>
      </dsp:nvSpPr>
      <dsp:spPr>
        <a:xfrm>
          <a:off x="1150765" y="226561"/>
          <a:ext cx="590052" cy="21004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1</a:t>
          </a:r>
        </a:p>
      </dsp:txBody>
      <dsp:txXfrm>
        <a:off x="1156917" y="232713"/>
        <a:ext cx="577748" cy="197741"/>
      </dsp:txXfrm>
    </dsp:sp>
    <dsp:sp modelId="{541683AB-3D6A-43BC-BAE2-6E9DDA47E407}">
      <dsp:nvSpPr>
        <dsp:cNvPr id="0" name=""/>
        <dsp:cNvSpPr/>
      </dsp:nvSpPr>
      <dsp:spPr>
        <a:xfrm rot="38912">
          <a:off x="1740806" y="315194"/>
          <a:ext cx="345835" cy="36694"/>
        </a:xfrm>
        <a:custGeom>
          <a:avLst/>
          <a:gdLst/>
          <a:ahLst/>
          <a:cxnLst/>
          <a:rect l="0" t="0" r="0" b="0"/>
          <a:pathLst>
            <a:path>
              <a:moveTo>
                <a:pt x="0" y="18347"/>
              </a:moveTo>
              <a:lnTo>
                <a:pt x="345835"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05078" y="324895"/>
        <a:ext cx="17291" cy="17291"/>
      </dsp:txXfrm>
    </dsp:sp>
    <dsp:sp modelId="{E95690A2-4FDC-4135-90D9-575892EE8D4C}">
      <dsp:nvSpPr>
        <dsp:cNvPr id="0" name=""/>
        <dsp:cNvSpPr/>
      </dsp:nvSpPr>
      <dsp:spPr>
        <a:xfrm>
          <a:off x="2086631" y="255277"/>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091330" y="259976"/>
        <a:ext cx="1946705" cy="151044"/>
      </dsp:txXfrm>
    </dsp:sp>
    <dsp:sp modelId="{123912A5-16C9-488D-A390-989CC4BC1A16}">
      <dsp:nvSpPr>
        <dsp:cNvPr id="0" name=""/>
        <dsp:cNvSpPr/>
      </dsp:nvSpPr>
      <dsp:spPr>
        <a:xfrm rot="1870789">
          <a:off x="944277" y="517405"/>
          <a:ext cx="218206" cy="36694"/>
        </a:xfrm>
        <a:custGeom>
          <a:avLst/>
          <a:gdLst/>
          <a:ahLst/>
          <a:cxnLst/>
          <a:rect l="0" t="0" r="0" b="0"/>
          <a:pathLst>
            <a:path>
              <a:moveTo>
                <a:pt x="0" y="18347"/>
              </a:moveTo>
              <a:lnTo>
                <a:pt x="218206"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47925" y="530297"/>
        <a:ext cx="10910" cy="10910"/>
      </dsp:txXfrm>
    </dsp:sp>
    <dsp:sp modelId="{9E734703-0827-4AD5-9C69-A398B5C817BE}">
      <dsp:nvSpPr>
        <dsp:cNvPr id="0" name=""/>
        <dsp:cNvSpPr/>
      </dsp:nvSpPr>
      <dsp:spPr>
        <a:xfrm>
          <a:off x="1146723" y="471293"/>
          <a:ext cx="605619" cy="24188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2</a:t>
          </a:r>
        </a:p>
      </dsp:txBody>
      <dsp:txXfrm>
        <a:off x="1153808" y="478378"/>
        <a:ext cx="591449" cy="227719"/>
      </dsp:txXfrm>
    </dsp:sp>
    <dsp:sp modelId="{BEB7490C-957B-4EEC-B30E-54777478B850}">
      <dsp:nvSpPr>
        <dsp:cNvPr id="0" name=""/>
        <dsp:cNvSpPr/>
      </dsp:nvSpPr>
      <dsp:spPr>
        <a:xfrm rot="21561247">
          <a:off x="1752331" y="571888"/>
          <a:ext cx="355360" cy="36694"/>
        </a:xfrm>
        <a:custGeom>
          <a:avLst/>
          <a:gdLst/>
          <a:ahLst/>
          <a:cxnLst/>
          <a:rect l="0" t="0" r="0" b="0"/>
          <a:pathLst>
            <a:path>
              <a:moveTo>
                <a:pt x="0" y="18347"/>
              </a:moveTo>
              <a:lnTo>
                <a:pt x="355360"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21127" y="581351"/>
        <a:ext cx="17768" cy="17768"/>
      </dsp:txXfrm>
    </dsp:sp>
    <dsp:sp modelId="{12F2145B-32F4-47CC-B666-B169900E2826}">
      <dsp:nvSpPr>
        <dsp:cNvPr id="0" name=""/>
        <dsp:cNvSpPr/>
      </dsp:nvSpPr>
      <dsp:spPr>
        <a:xfrm>
          <a:off x="2107680" y="508011"/>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112379" y="512710"/>
        <a:ext cx="1946705" cy="151044"/>
      </dsp:txXfrm>
    </dsp:sp>
    <dsp:sp modelId="{B7857821-AE72-4A4C-9F2D-9A93261CB17B}">
      <dsp:nvSpPr>
        <dsp:cNvPr id="0" name=""/>
        <dsp:cNvSpPr/>
      </dsp:nvSpPr>
      <dsp:spPr>
        <a:xfrm rot="3748334">
          <a:off x="846892" y="647480"/>
          <a:ext cx="420755" cy="36694"/>
        </a:xfrm>
        <a:custGeom>
          <a:avLst/>
          <a:gdLst/>
          <a:ahLst/>
          <a:cxnLst/>
          <a:rect l="0" t="0" r="0" b="0"/>
          <a:pathLst>
            <a:path>
              <a:moveTo>
                <a:pt x="0" y="18347"/>
              </a:moveTo>
              <a:lnTo>
                <a:pt x="420755"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46751" y="655308"/>
        <a:ext cx="21037" cy="21037"/>
      </dsp:txXfrm>
    </dsp:sp>
    <dsp:sp modelId="{4EC5C0FE-4B5E-45FF-B932-135E99F82AED}">
      <dsp:nvSpPr>
        <dsp:cNvPr id="0" name=""/>
        <dsp:cNvSpPr/>
      </dsp:nvSpPr>
      <dsp:spPr>
        <a:xfrm>
          <a:off x="1154501" y="740264"/>
          <a:ext cx="584336" cy="22424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3</a:t>
          </a:r>
        </a:p>
      </dsp:txBody>
      <dsp:txXfrm>
        <a:off x="1161069" y="746832"/>
        <a:ext cx="571200" cy="211110"/>
      </dsp:txXfrm>
    </dsp:sp>
    <dsp:sp modelId="{43181BFA-7851-4999-B412-CD632CD22401}">
      <dsp:nvSpPr>
        <dsp:cNvPr id="0" name=""/>
        <dsp:cNvSpPr/>
      </dsp:nvSpPr>
      <dsp:spPr>
        <a:xfrm rot="65828">
          <a:off x="1738806" y="837368"/>
          <a:ext cx="347623" cy="36694"/>
        </a:xfrm>
        <a:custGeom>
          <a:avLst/>
          <a:gdLst/>
          <a:ahLst/>
          <a:cxnLst/>
          <a:rect l="0" t="0" r="0" b="0"/>
          <a:pathLst>
            <a:path>
              <a:moveTo>
                <a:pt x="0" y="18347"/>
              </a:moveTo>
              <a:lnTo>
                <a:pt x="347623"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03927" y="847025"/>
        <a:ext cx="17381" cy="17381"/>
      </dsp:txXfrm>
    </dsp:sp>
    <dsp:sp modelId="{7A221848-385A-4074-A046-60A60E81C6CA}">
      <dsp:nvSpPr>
        <dsp:cNvPr id="0" name=""/>
        <dsp:cNvSpPr/>
      </dsp:nvSpPr>
      <dsp:spPr>
        <a:xfrm>
          <a:off x="2086397" y="778822"/>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091096" y="783521"/>
        <a:ext cx="1946705" cy="151044"/>
      </dsp:txXfrm>
    </dsp:sp>
    <dsp:sp modelId="{3E9B4108-ECBB-4EDD-9779-434EEA3ED69A}">
      <dsp:nvSpPr>
        <dsp:cNvPr id="0" name=""/>
        <dsp:cNvSpPr/>
      </dsp:nvSpPr>
      <dsp:spPr>
        <a:xfrm rot="4410671">
          <a:off x="722959" y="778341"/>
          <a:ext cx="662070" cy="36694"/>
        </a:xfrm>
        <a:custGeom>
          <a:avLst/>
          <a:gdLst/>
          <a:ahLst/>
          <a:cxnLst/>
          <a:rect l="0" t="0" r="0" b="0"/>
          <a:pathLst>
            <a:path>
              <a:moveTo>
                <a:pt x="0" y="18347"/>
              </a:moveTo>
              <a:lnTo>
                <a:pt x="662070"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37443" y="780137"/>
        <a:ext cx="33103" cy="33103"/>
      </dsp:txXfrm>
    </dsp:sp>
    <dsp:sp modelId="{313C968D-2439-4D42-9715-7AF2E06A1332}">
      <dsp:nvSpPr>
        <dsp:cNvPr id="0" name=""/>
        <dsp:cNvSpPr/>
      </dsp:nvSpPr>
      <dsp:spPr>
        <a:xfrm>
          <a:off x="1147952" y="1015434"/>
          <a:ext cx="603639" cy="19735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4</a:t>
          </a:r>
        </a:p>
      </dsp:txBody>
      <dsp:txXfrm>
        <a:off x="1153732" y="1021214"/>
        <a:ext cx="592079" cy="185792"/>
      </dsp:txXfrm>
    </dsp:sp>
    <dsp:sp modelId="{DA0DB322-C936-413D-9A45-9C6496A104E8}">
      <dsp:nvSpPr>
        <dsp:cNvPr id="0" name=""/>
        <dsp:cNvSpPr/>
      </dsp:nvSpPr>
      <dsp:spPr>
        <a:xfrm rot="96434">
          <a:off x="1751522" y="1100731"/>
          <a:ext cx="354248" cy="36694"/>
        </a:xfrm>
        <a:custGeom>
          <a:avLst/>
          <a:gdLst/>
          <a:ahLst/>
          <a:cxnLst/>
          <a:rect l="0" t="0" r="0" b="0"/>
          <a:pathLst>
            <a:path>
              <a:moveTo>
                <a:pt x="0" y="18347"/>
              </a:moveTo>
              <a:lnTo>
                <a:pt x="354248"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19789" y="1110222"/>
        <a:ext cx="17712" cy="17712"/>
      </dsp:txXfrm>
    </dsp:sp>
    <dsp:sp modelId="{EC9FCC6B-E82B-41C5-A26C-A6F663709DDC}">
      <dsp:nvSpPr>
        <dsp:cNvPr id="0" name=""/>
        <dsp:cNvSpPr/>
      </dsp:nvSpPr>
      <dsp:spPr>
        <a:xfrm>
          <a:off x="2105700" y="1043825"/>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110399" y="1048524"/>
        <a:ext cx="1946705" cy="151044"/>
      </dsp:txXfrm>
    </dsp:sp>
    <dsp:sp modelId="{15171E8A-BBDB-4531-A572-97567ACC00B9}">
      <dsp:nvSpPr>
        <dsp:cNvPr id="0" name=""/>
        <dsp:cNvSpPr/>
      </dsp:nvSpPr>
      <dsp:spPr>
        <a:xfrm rot="4646297">
          <a:off x="609751" y="897849"/>
          <a:ext cx="895290" cy="36694"/>
        </a:xfrm>
        <a:custGeom>
          <a:avLst/>
          <a:gdLst/>
          <a:ahLst/>
          <a:cxnLst/>
          <a:rect l="0" t="0" r="0" b="0"/>
          <a:pathLst>
            <a:path>
              <a:moveTo>
                <a:pt x="0" y="18347"/>
              </a:moveTo>
              <a:lnTo>
                <a:pt x="895290"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35014" y="893814"/>
        <a:ext cx="44764" cy="44764"/>
      </dsp:txXfrm>
    </dsp:sp>
    <dsp:sp modelId="{1CC3B8EC-3366-45CF-A4AB-50B0DDF660EB}">
      <dsp:nvSpPr>
        <dsp:cNvPr id="0" name=""/>
        <dsp:cNvSpPr/>
      </dsp:nvSpPr>
      <dsp:spPr>
        <a:xfrm>
          <a:off x="1154755" y="1255318"/>
          <a:ext cx="593556" cy="19561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Metrics option 5</a:t>
          </a:r>
        </a:p>
      </dsp:txBody>
      <dsp:txXfrm>
        <a:off x="1160484" y="1261047"/>
        <a:ext cx="582098" cy="184158"/>
      </dsp:txXfrm>
    </dsp:sp>
    <dsp:sp modelId="{DEE5468D-FEF3-4D0D-8E4F-6D3B0E7DFAE1}">
      <dsp:nvSpPr>
        <dsp:cNvPr id="0" name=""/>
        <dsp:cNvSpPr/>
      </dsp:nvSpPr>
      <dsp:spPr>
        <a:xfrm rot="135509">
          <a:off x="1748162" y="1342379"/>
          <a:ext cx="385734" cy="36694"/>
        </a:xfrm>
        <a:custGeom>
          <a:avLst/>
          <a:gdLst/>
          <a:ahLst/>
          <a:cxnLst/>
          <a:rect l="0" t="0" r="0" b="0"/>
          <a:pathLst>
            <a:path>
              <a:moveTo>
                <a:pt x="0" y="18347"/>
              </a:moveTo>
              <a:lnTo>
                <a:pt x="385734"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31385" y="1351083"/>
        <a:ext cx="19286" cy="19286"/>
      </dsp:txXfrm>
    </dsp:sp>
    <dsp:sp modelId="{E35D68EF-1A6D-495D-97A0-359BB766F987}">
      <dsp:nvSpPr>
        <dsp:cNvPr id="0" name=""/>
        <dsp:cNvSpPr/>
      </dsp:nvSpPr>
      <dsp:spPr>
        <a:xfrm>
          <a:off x="2133746" y="1288106"/>
          <a:ext cx="1956103" cy="160442"/>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a:t>
          </a:r>
        </a:p>
      </dsp:txBody>
      <dsp:txXfrm>
        <a:off x="2138445" y="1292805"/>
        <a:ext cx="1946705" cy="151044"/>
      </dsp:txXfrm>
    </dsp:sp>
    <dsp:sp modelId="{77F82420-DB33-4BE0-B254-14FE271C5A68}">
      <dsp:nvSpPr>
        <dsp:cNvPr id="0" name=""/>
        <dsp:cNvSpPr/>
      </dsp:nvSpPr>
      <dsp:spPr>
        <a:xfrm rot="5188475">
          <a:off x="46634" y="1290913"/>
          <a:ext cx="624447" cy="36694"/>
        </a:xfrm>
        <a:custGeom>
          <a:avLst/>
          <a:gdLst/>
          <a:ahLst/>
          <a:cxnLst/>
          <a:rect l="0" t="0" r="0" b="0"/>
          <a:pathLst>
            <a:path>
              <a:moveTo>
                <a:pt x="0" y="18347"/>
              </a:moveTo>
              <a:lnTo>
                <a:pt x="624447" y="1834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43247" y="1293649"/>
        <a:ext cx="31222" cy="31222"/>
      </dsp:txXfrm>
    </dsp:sp>
    <dsp:sp modelId="{E3620348-CBF4-4B1B-8274-98EA488A43F2}">
      <dsp:nvSpPr>
        <dsp:cNvPr id="0" name=""/>
        <dsp:cNvSpPr/>
      </dsp:nvSpPr>
      <dsp:spPr>
        <a:xfrm>
          <a:off x="378057" y="1495542"/>
          <a:ext cx="581523" cy="250703"/>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Combination 2 of 10 indicators</a:t>
          </a:r>
        </a:p>
      </dsp:txBody>
      <dsp:txXfrm>
        <a:off x="385400" y="1502885"/>
        <a:ext cx="566837" cy="236017"/>
      </dsp:txXfrm>
    </dsp:sp>
    <dsp:sp modelId="{A00D0DC3-4D76-4D1A-A398-DF6EA8178E2A}">
      <dsp:nvSpPr>
        <dsp:cNvPr id="0" name=""/>
        <dsp:cNvSpPr/>
      </dsp:nvSpPr>
      <dsp:spPr>
        <a:xfrm rot="1902720">
          <a:off x="946619" y="1648179"/>
          <a:ext cx="173625" cy="36694"/>
        </a:xfrm>
        <a:custGeom>
          <a:avLst/>
          <a:gdLst/>
          <a:ahLst/>
          <a:cxnLst/>
          <a:rect l="0" t="0" r="0" b="0"/>
          <a:pathLst>
            <a:path>
              <a:moveTo>
                <a:pt x="0" y="18347"/>
              </a:moveTo>
              <a:lnTo>
                <a:pt x="173625"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29092" y="1662186"/>
        <a:ext cx="8681" cy="8681"/>
      </dsp:txXfrm>
    </dsp:sp>
    <dsp:sp modelId="{E911F41B-B407-404F-A2E1-16C61FAD5F9B}">
      <dsp:nvSpPr>
        <dsp:cNvPr id="0" name=""/>
        <dsp:cNvSpPr/>
      </dsp:nvSpPr>
      <dsp:spPr>
        <a:xfrm>
          <a:off x="1107284" y="1544688"/>
          <a:ext cx="710370" cy="334942"/>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Iterate through the pass/fail and the 1-5 metrics options</a:t>
          </a:r>
        </a:p>
      </dsp:txBody>
      <dsp:txXfrm>
        <a:off x="1117094" y="1554498"/>
        <a:ext cx="690750" cy="315322"/>
      </dsp:txXfrm>
    </dsp:sp>
    <dsp:sp modelId="{D949F86B-4046-4A3E-A5DF-ACFE143A22DB}">
      <dsp:nvSpPr>
        <dsp:cNvPr id="0" name=""/>
        <dsp:cNvSpPr/>
      </dsp:nvSpPr>
      <dsp:spPr>
        <a:xfrm rot="478134">
          <a:off x="1816075" y="1716492"/>
          <a:ext cx="327181" cy="36694"/>
        </a:xfrm>
        <a:custGeom>
          <a:avLst/>
          <a:gdLst/>
          <a:ahLst/>
          <a:cxnLst/>
          <a:rect l="0" t="0" r="0" b="0"/>
          <a:pathLst>
            <a:path>
              <a:moveTo>
                <a:pt x="0" y="18347"/>
              </a:moveTo>
              <a:lnTo>
                <a:pt x="327181"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71486" y="1726660"/>
        <a:ext cx="16359" cy="16359"/>
      </dsp:txXfrm>
    </dsp:sp>
    <dsp:sp modelId="{ECEF486B-9B2F-4D22-B3CA-D86A5D5962D0}">
      <dsp:nvSpPr>
        <dsp:cNvPr id="0" name=""/>
        <dsp:cNvSpPr/>
      </dsp:nvSpPr>
      <dsp:spPr>
        <a:xfrm>
          <a:off x="2141677" y="1643349"/>
          <a:ext cx="1920807" cy="228338"/>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Report number of IDPs achieving a durable solution for each metrics option</a:t>
          </a:r>
        </a:p>
      </dsp:txBody>
      <dsp:txXfrm>
        <a:off x="2148365" y="1650037"/>
        <a:ext cx="1907431" cy="214962"/>
      </dsp:txXfrm>
    </dsp:sp>
    <dsp:sp modelId="{4E545428-3806-41F0-A734-A11CBEA22172}">
      <dsp:nvSpPr>
        <dsp:cNvPr id="0" name=""/>
        <dsp:cNvSpPr/>
      </dsp:nvSpPr>
      <dsp:spPr>
        <a:xfrm rot="5315953">
          <a:off x="-234842" y="1568002"/>
          <a:ext cx="1177796" cy="36694"/>
        </a:xfrm>
        <a:custGeom>
          <a:avLst/>
          <a:gdLst/>
          <a:ahLst/>
          <a:cxnLst/>
          <a:rect l="0" t="0" r="0" b="0"/>
          <a:pathLst>
            <a:path>
              <a:moveTo>
                <a:pt x="0" y="18347"/>
              </a:moveTo>
              <a:lnTo>
                <a:pt x="1177796" y="1834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24610" y="1556904"/>
        <a:ext cx="58889" cy="58889"/>
      </dsp:txXfrm>
    </dsp:sp>
    <dsp:sp modelId="{A706E27F-A16E-4E42-91DE-CAFA442616C1}">
      <dsp:nvSpPr>
        <dsp:cNvPr id="0" name=""/>
        <dsp:cNvSpPr/>
      </dsp:nvSpPr>
      <dsp:spPr>
        <a:xfrm>
          <a:off x="368451" y="2037179"/>
          <a:ext cx="538652" cy="275784"/>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Combination ... of 10 indicators</a:t>
          </a:r>
        </a:p>
      </dsp:txBody>
      <dsp:txXfrm>
        <a:off x="376528" y="2045256"/>
        <a:ext cx="522498" cy="259630"/>
      </dsp:txXfrm>
    </dsp:sp>
    <dsp:sp modelId="{5FC52346-02E3-4B24-8C1D-C22CFB9B190F}">
      <dsp:nvSpPr>
        <dsp:cNvPr id="0" name=""/>
        <dsp:cNvSpPr/>
      </dsp:nvSpPr>
      <dsp:spPr>
        <a:xfrm rot="20881570">
          <a:off x="904822" y="2134974"/>
          <a:ext cx="209677" cy="36694"/>
        </a:xfrm>
        <a:custGeom>
          <a:avLst/>
          <a:gdLst/>
          <a:ahLst/>
          <a:cxnLst/>
          <a:rect l="0" t="0" r="0" b="0"/>
          <a:pathLst>
            <a:path>
              <a:moveTo>
                <a:pt x="0" y="18347"/>
              </a:moveTo>
              <a:lnTo>
                <a:pt x="209677"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04419" y="2148079"/>
        <a:ext cx="10483" cy="10483"/>
      </dsp:txXfrm>
    </dsp:sp>
    <dsp:sp modelId="{6510049F-728E-4DEA-B5EB-8348CADB6511}">
      <dsp:nvSpPr>
        <dsp:cNvPr id="0" name=""/>
        <dsp:cNvSpPr/>
      </dsp:nvSpPr>
      <dsp:spPr>
        <a:xfrm>
          <a:off x="1112219" y="1952569"/>
          <a:ext cx="688498" cy="358003"/>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Iterate through the pass/fail and the 1-5 metrics options</a:t>
          </a:r>
        </a:p>
      </dsp:txBody>
      <dsp:txXfrm>
        <a:off x="1122705" y="1963055"/>
        <a:ext cx="667526" cy="337031"/>
      </dsp:txXfrm>
    </dsp:sp>
    <dsp:sp modelId="{963995C3-4875-4F6C-9195-550F7D9D8EC4}">
      <dsp:nvSpPr>
        <dsp:cNvPr id="0" name=""/>
        <dsp:cNvSpPr/>
      </dsp:nvSpPr>
      <dsp:spPr>
        <a:xfrm rot="21191704">
          <a:off x="1799546" y="2093522"/>
          <a:ext cx="332548" cy="36694"/>
        </a:xfrm>
        <a:custGeom>
          <a:avLst/>
          <a:gdLst/>
          <a:ahLst/>
          <a:cxnLst/>
          <a:rect l="0" t="0" r="0" b="0"/>
          <a:pathLst>
            <a:path>
              <a:moveTo>
                <a:pt x="0" y="18347"/>
              </a:moveTo>
              <a:lnTo>
                <a:pt x="332548" y="183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57507" y="2103555"/>
        <a:ext cx="16627" cy="16627"/>
      </dsp:txXfrm>
    </dsp:sp>
    <dsp:sp modelId="{5CDCDB92-E535-4FCE-A5D0-632F49CE1245}">
      <dsp:nvSpPr>
        <dsp:cNvPr id="0" name=""/>
        <dsp:cNvSpPr/>
      </dsp:nvSpPr>
      <dsp:spPr>
        <a:xfrm>
          <a:off x="2130923" y="2013781"/>
          <a:ext cx="441293" cy="156771"/>
        </a:xfrm>
        <a:prstGeom prst="roundRect">
          <a:avLst>
            <a:gd name="adj" fmla="val 10000"/>
          </a:avLst>
        </a:prstGeom>
        <a:solidFill>
          <a:schemeClr val="bg1">
            <a:lumMod val="9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t>
          </a:r>
        </a:p>
      </dsp:txBody>
      <dsp:txXfrm>
        <a:off x="2135515" y="2018373"/>
        <a:ext cx="432109" cy="1475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JDC">
      <a:dk1>
        <a:sysClr val="windowText" lastClr="000000"/>
      </a:dk1>
      <a:lt1>
        <a:sysClr val="window" lastClr="FFFFFF"/>
      </a:lt1>
      <a:dk2>
        <a:srgbClr val="002F59"/>
      </a:dk2>
      <a:lt2>
        <a:srgbClr val="E7E6E6"/>
      </a:lt2>
      <a:accent1>
        <a:srgbClr val="0072BC"/>
      </a:accent1>
      <a:accent2>
        <a:srgbClr val="00AEEF"/>
      </a:accent2>
      <a:accent3>
        <a:srgbClr val="009CA7"/>
      </a:accent3>
      <a:accent4>
        <a:srgbClr val="006068"/>
      </a:accent4>
      <a:accent5>
        <a:srgbClr val="00AB51"/>
      </a:accent5>
      <a:accent6>
        <a:srgbClr val="006450"/>
      </a:accent6>
      <a:hlink>
        <a:srgbClr val="005481"/>
      </a:hlink>
      <a:folHlink>
        <a:srgbClr val="0064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1B0D01CB454469DDDFF9FD7F546FB" ma:contentTypeVersion="12" ma:contentTypeDescription="Create a new document." ma:contentTypeScope="" ma:versionID="887d034cba44a0e81228838edf3b2d37">
  <xsd:schema xmlns:xsd="http://www.w3.org/2001/XMLSchema" xmlns:xs="http://www.w3.org/2001/XMLSchema" xmlns:p="http://schemas.microsoft.com/office/2006/metadata/properties" xmlns:ns2="5c600c1d-caa9-43b7-a835-dfec431f7c68" xmlns:ns3="46b6293d-6606-40d5-89a0-dc3ce5a46b9a" targetNamespace="http://schemas.microsoft.com/office/2006/metadata/properties" ma:root="true" ma:fieldsID="021acf0d2341ac62811f6314ae5718de" ns2:_="" ns3:_="">
    <xsd:import namespace="5c600c1d-caa9-43b7-a835-dfec431f7c68"/>
    <xsd:import namespace="46b6293d-6606-40d5-89a0-dc3ce5a46b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00c1d-caa9-43b7-a835-dfec431f7c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6293d-6606-40d5-89a0-dc3ce5a46b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59A67-834D-43AE-A275-06AB20061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00c1d-caa9-43b7-a835-dfec431f7c68"/>
    <ds:schemaRef ds:uri="46b6293d-6606-40d5-89a0-dc3ce5a46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8D75CE-3D0F-4719-8A2F-625D3ECF5EB2}">
  <ds:schemaRefs>
    <ds:schemaRef ds:uri="http://schemas.microsoft.com/sharepoint/v3/contenttype/forms"/>
  </ds:schemaRefs>
</ds:datastoreItem>
</file>

<file path=customXml/itemProps3.xml><?xml version="1.0" encoding="utf-8"?>
<ds:datastoreItem xmlns:ds="http://schemas.openxmlformats.org/officeDocument/2006/customXml" ds:itemID="{CA94F45E-BF59-40A2-883D-FB82CABE93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44C612-EE90-4B0C-B7F7-C1548BCF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JDC-Doc-template-v2.dotx</Template>
  <TotalTime>0</TotalTime>
  <Pages>34</Pages>
  <Words>15309</Words>
  <Characters>87263</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102368</CharactersWithSpaces>
  <SharedDoc>false</SharedDoc>
  <HLinks>
    <vt:vector size="126" baseType="variant">
      <vt:variant>
        <vt:i4>1114165</vt:i4>
      </vt:variant>
      <vt:variant>
        <vt:i4>110</vt:i4>
      </vt:variant>
      <vt:variant>
        <vt:i4>0</vt:i4>
      </vt:variant>
      <vt:variant>
        <vt:i4>5</vt:i4>
      </vt:variant>
      <vt:variant>
        <vt:lpwstr/>
      </vt:variant>
      <vt:variant>
        <vt:lpwstr>_Toc63001025</vt:lpwstr>
      </vt:variant>
      <vt:variant>
        <vt:i4>1048629</vt:i4>
      </vt:variant>
      <vt:variant>
        <vt:i4>104</vt:i4>
      </vt:variant>
      <vt:variant>
        <vt:i4>0</vt:i4>
      </vt:variant>
      <vt:variant>
        <vt:i4>5</vt:i4>
      </vt:variant>
      <vt:variant>
        <vt:lpwstr/>
      </vt:variant>
      <vt:variant>
        <vt:lpwstr>_Toc63001024</vt:lpwstr>
      </vt:variant>
      <vt:variant>
        <vt:i4>1507381</vt:i4>
      </vt:variant>
      <vt:variant>
        <vt:i4>98</vt:i4>
      </vt:variant>
      <vt:variant>
        <vt:i4>0</vt:i4>
      </vt:variant>
      <vt:variant>
        <vt:i4>5</vt:i4>
      </vt:variant>
      <vt:variant>
        <vt:lpwstr/>
      </vt:variant>
      <vt:variant>
        <vt:lpwstr>_Toc63001023</vt:lpwstr>
      </vt:variant>
      <vt:variant>
        <vt:i4>1441845</vt:i4>
      </vt:variant>
      <vt:variant>
        <vt:i4>92</vt:i4>
      </vt:variant>
      <vt:variant>
        <vt:i4>0</vt:i4>
      </vt:variant>
      <vt:variant>
        <vt:i4>5</vt:i4>
      </vt:variant>
      <vt:variant>
        <vt:lpwstr/>
      </vt:variant>
      <vt:variant>
        <vt:lpwstr>_Toc63001022</vt:lpwstr>
      </vt:variant>
      <vt:variant>
        <vt:i4>1376309</vt:i4>
      </vt:variant>
      <vt:variant>
        <vt:i4>86</vt:i4>
      </vt:variant>
      <vt:variant>
        <vt:i4>0</vt:i4>
      </vt:variant>
      <vt:variant>
        <vt:i4>5</vt:i4>
      </vt:variant>
      <vt:variant>
        <vt:lpwstr/>
      </vt:variant>
      <vt:variant>
        <vt:lpwstr>_Toc63001021</vt:lpwstr>
      </vt:variant>
      <vt:variant>
        <vt:i4>1310773</vt:i4>
      </vt:variant>
      <vt:variant>
        <vt:i4>80</vt:i4>
      </vt:variant>
      <vt:variant>
        <vt:i4>0</vt:i4>
      </vt:variant>
      <vt:variant>
        <vt:i4>5</vt:i4>
      </vt:variant>
      <vt:variant>
        <vt:lpwstr/>
      </vt:variant>
      <vt:variant>
        <vt:lpwstr>_Toc63001020</vt:lpwstr>
      </vt:variant>
      <vt:variant>
        <vt:i4>1900598</vt:i4>
      </vt:variant>
      <vt:variant>
        <vt:i4>74</vt:i4>
      </vt:variant>
      <vt:variant>
        <vt:i4>0</vt:i4>
      </vt:variant>
      <vt:variant>
        <vt:i4>5</vt:i4>
      </vt:variant>
      <vt:variant>
        <vt:lpwstr/>
      </vt:variant>
      <vt:variant>
        <vt:lpwstr>_Toc63001019</vt:lpwstr>
      </vt:variant>
      <vt:variant>
        <vt:i4>1835062</vt:i4>
      </vt:variant>
      <vt:variant>
        <vt:i4>68</vt:i4>
      </vt:variant>
      <vt:variant>
        <vt:i4>0</vt:i4>
      </vt:variant>
      <vt:variant>
        <vt:i4>5</vt:i4>
      </vt:variant>
      <vt:variant>
        <vt:lpwstr/>
      </vt:variant>
      <vt:variant>
        <vt:lpwstr>_Toc63001018</vt:lpwstr>
      </vt:variant>
      <vt:variant>
        <vt:i4>1245238</vt:i4>
      </vt:variant>
      <vt:variant>
        <vt:i4>62</vt:i4>
      </vt:variant>
      <vt:variant>
        <vt:i4>0</vt:i4>
      </vt:variant>
      <vt:variant>
        <vt:i4>5</vt:i4>
      </vt:variant>
      <vt:variant>
        <vt:lpwstr/>
      </vt:variant>
      <vt:variant>
        <vt:lpwstr>_Toc63001017</vt:lpwstr>
      </vt:variant>
      <vt:variant>
        <vt:i4>1179702</vt:i4>
      </vt:variant>
      <vt:variant>
        <vt:i4>56</vt:i4>
      </vt:variant>
      <vt:variant>
        <vt:i4>0</vt:i4>
      </vt:variant>
      <vt:variant>
        <vt:i4>5</vt:i4>
      </vt:variant>
      <vt:variant>
        <vt:lpwstr/>
      </vt:variant>
      <vt:variant>
        <vt:lpwstr>_Toc63001016</vt:lpwstr>
      </vt:variant>
      <vt:variant>
        <vt:i4>1114166</vt:i4>
      </vt:variant>
      <vt:variant>
        <vt:i4>50</vt:i4>
      </vt:variant>
      <vt:variant>
        <vt:i4>0</vt:i4>
      </vt:variant>
      <vt:variant>
        <vt:i4>5</vt:i4>
      </vt:variant>
      <vt:variant>
        <vt:lpwstr/>
      </vt:variant>
      <vt:variant>
        <vt:lpwstr>_Toc63001015</vt:lpwstr>
      </vt:variant>
      <vt:variant>
        <vt:i4>1048630</vt:i4>
      </vt:variant>
      <vt:variant>
        <vt:i4>44</vt:i4>
      </vt:variant>
      <vt:variant>
        <vt:i4>0</vt:i4>
      </vt:variant>
      <vt:variant>
        <vt:i4>5</vt:i4>
      </vt:variant>
      <vt:variant>
        <vt:lpwstr/>
      </vt:variant>
      <vt:variant>
        <vt:lpwstr>_Toc63001014</vt:lpwstr>
      </vt:variant>
      <vt:variant>
        <vt:i4>1507382</vt:i4>
      </vt:variant>
      <vt:variant>
        <vt:i4>38</vt:i4>
      </vt:variant>
      <vt:variant>
        <vt:i4>0</vt:i4>
      </vt:variant>
      <vt:variant>
        <vt:i4>5</vt:i4>
      </vt:variant>
      <vt:variant>
        <vt:lpwstr/>
      </vt:variant>
      <vt:variant>
        <vt:lpwstr>_Toc63001013</vt:lpwstr>
      </vt:variant>
      <vt:variant>
        <vt:i4>1441846</vt:i4>
      </vt:variant>
      <vt:variant>
        <vt:i4>32</vt:i4>
      </vt:variant>
      <vt:variant>
        <vt:i4>0</vt:i4>
      </vt:variant>
      <vt:variant>
        <vt:i4>5</vt:i4>
      </vt:variant>
      <vt:variant>
        <vt:lpwstr/>
      </vt:variant>
      <vt:variant>
        <vt:lpwstr>_Toc63001012</vt:lpwstr>
      </vt:variant>
      <vt:variant>
        <vt:i4>1376310</vt:i4>
      </vt:variant>
      <vt:variant>
        <vt:i4>26</vt:i4>
      </vt:variant>
      <vt:variant>
        <vt:i4>0</vt:i4>
      </vt:variant>
      <vt:variant>
        <vt:i4>5</vt:i4>
      </vt:variant>
      <vt:variant>
        <vt:lpwstr/>
      </vt:variant>
      <vt:variant>
        <vt:lpwstr>_Toc63001011</vt:lpwstr>
      </vt:variant>
      <vt:variant>
        <vt:i4>1310774</vt:i4>
      </vt:variant>
      <vt:variant>
        <vt:i4>20</vt:i4>
      </vt:variant>
      <vt:variant>
        <vt:i4>0</vt:i4>
      </vt:variant>
      <vt:variant>
        <vt:i4>5</vt:i4>
      </vt:variant>
      <vt:variant>
        <vt:lpwstr/>
      </vt:variant>
      <vt:variant>
        <vt:lpwstr>_Toc63001010</vt:lpwstr>
      </vt:variant>
      <vt:variant>
        <vt:i4>1900599</vt:i4>
      </vt:variant>
      <vt:variant>
        <vt:i4>14</vt:i4>
      </vt:variant>
      <vt:variant>
        <vt:i4>0</vt:i4>
      </vt:variant>
      <vt:variant>
        <vt:i4>5</vt:i4>
      </vt:variant>
      <vt:variant>
        <vt:lpwstr/>
      </vt:variant>
      <vt:variant>
        <vt:lpwstr>_Toc63001009</vt:lpwstr>
      </vt:variant>
      <vt:variant>
        <vt:i4>1835063</vt:i4>
      </vt:variant>
      <vt:variant>
        <vt:i4>8</vt:i4>
      </vt:variant>
      <vt:variant>
        <vt:i4>0</vt:i4>
      </vt:variant>
      <vt:variant>
        <vt:i4>5</vt:i4>
      </vt:variant>
      <vt:variant>
        <vt:lpwstr/>
      </vt:variant>
      <vt:variant>
        <vt:lpwstr>_Toc63001008</vt:lpwstr>
      </vt:variant>
      <vt:variant>
        <vt:i4>1245239</vt:i4>
      </vt:variant>
      <vt:variant>
        <vt:i4>2</vt:i4>
      </vt:variant>
      <vt:variant>
        <vt:i4>0</vt:i4>
      </vt:variant>
      <vt:variant>
        <vt:i4>5</vt:i4>
      </vt:variant>
      <vt:variant>
        <vt:lpwstr/>
      </vt:variant>
      <vt:variant>
        <vt:lpwstr>_Toc63001007</vt:lpwstr>
      </vt:variant>
      <vt:variant>
        <vt:i4>7209001</vt:i4>
      </vt:variant>
      <vt:variant>
        <vt:i4>3</vt:i4>
      </vt:variant>
      <vt:variant>
        <vt:i4>0</vt:i4>
      </vt:variant>
      <vt:variant>
        <vt:i4>5</vt:i4>
      </vt:variant>
      <vt:variant>
        <vt:lpwstr>https://microdata.worldbank.org/index.php/catalog/3410</vt:lpwstr>
      </vt:variant>
      <vt:variant>
        <vt:lpwstr/>
      </vt:variant>
      <vt:variant>
        <vt:i4>7929916</vt:i4>
      </vt:variant>
      <vt:variant>
        <vt:i4>0</vt:i4>
      </vt:variant>
      <vt:variant>
        <vt:i4>0</vt:i4>
      </vt:variant>
      <vt:variant>
        <vt:i4>5</vt:i4>
      </vt:variant>
      <vt:variant>
        <vt:lpwstr>https://reliefweb.int/report/somalia/internal-displacement-profiling-hargeisa-december-2015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dc:creator>
  <cp:keywords/>
  <dc:description/>
  <cp:lastModifiedBy>Sigrid Weber</cp:lastModifiedBy>
  <cp:revision>2</cp:revision>
  <dcterms:created xsi:type="dcterms:W3CDTF">2021-02-18T09:53:00Z</dcterms:created>
  <dcterms:modified xsi:type="dcterms:W3CDTF">2021-02-18T09:53:00Z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0x0101000DE1B0D01CB454469DDDFF9FD7F546FB</vt:lpwstr>
  </property>
</Properties>
</file>