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Evaluation Brief</w:t>
      </w:r>
    </w:p>
    <w:p>
      <w:r>
        <w:rPr>
          <w:rFonts w:ascii="Arial" w:hAnsi="Arial"/>
          <w:sz w:val="24"/>
        </w:rPr>
        <w:t>Here is an executive summary based on the structure you provided:</w:t>
      </w:r>
    </w:p>
    <w:p>
      <w:r>
        <w:rPr>
          <w:rFonts w:ascii="Arial" w:hAnsi="Arial"/>
          <w:sz w:val="24"/>
        </w:rPr>
      </w:r>
    </w:p>
    <w:p>
      <w:r>
        <w:rPr>
          <w:rFonts w:ascii="Arial" w:hAnsi="Arial"/>
          <w:sz w:val="24"/>
        </w:rPr>
      </w:r>
    </w:p>
    <w:p>
      <w:pPr>
        <w:pStyle w:val="Heading2"/>
      </w:pPr>
      <w:r>
        <w:t>What Have We Learned?</w:t>
      </w:r>
    </w:p>
    <w:p>
      <w:r>
        <w:rPr>
          <w:rFonts w:ascii="Arial" w:hAnsi="Arial"/>
          <w:sz w:val="24"/>
        </w:rPr>
      </w:r>
    </w:p>
    <w:p>
      <w:r>
        <w:rPr>
          <w:rFonts w:ascii="Arial" w:hAnsi="Arial"/>
          <w:sz w:val="24"/>
        </w:rPr>
        <w:t>The evaluation focuses on the challenges faced by UNHCR regarding forced displacement, with several key issues identified. These include:</w:t>
      </w:r>
    </w:p>
    <w:p>
      <w:r>
        <w:rPr>
          <w:rFonts w:ascii="Arial" w:hAnsi="Arial"/>
          <w:sz w:val="24"/>
        </w:rPr>
      </w:r>
    </w:p>
    <w:p>
      <w:r>
        <w:rPr>
          <w:rFonts w:ascii="Arial" w:hAnsi="Arial"/>
          <w:sz w:val="24"/>
        </w:rPr>
        <w:t xml:space="preserve">- </w:t>
      </w:r>
      <w:r>
        <w:rPr>
          <w:rFonts w:ascii="Arial" w:hAnsi="Arial"/>
          <w:b/>
          <w:sz w:val="24"/>
        </w:rPr>
        <w:t>Access to Services:</w:t>
      </w:r>
      <w:r>
        <w:rPr>
          <w:rFonts w:ascii="Arial" w:hAnsi="Arial"/>
          <w:sz w:val="24"/>
        </w:rPr>
        <w:t xml:space="preserve"> Limited access to education, healthcare, and legal aid for displaced populations, due to language barriers, cultural differences, and resource constraints. For example, some children remain unenrolled in school, leading to a lost generation without vital educational opportunities.</w:t>
      </w:r>
    </w:p>
    <w:p>
      <w:r>
        <w:rPr>
          <w:rFonts w:ascii="Arial" w:hAnsi="Arial"/>
          <w:sz w:val="24"/>
        </w:rPr>
      </w:r>
    </w:p>
    <w:p>
      <w:r>
        <w:rPr>
          <w:rFonts w:ascii="Arial" w:hAnsi="Arial"/>
          <w:b/>
          <w:sz w:val="24"/>
        </w:rPr>
        <w:t>Protection Risks:</w:t>
      </w:r>
      <w:r>
        <w:rPr>
          <w:rFonts w:ascii="Arial" w:hAnsi="Arial"/>
          <w:sz w:val="24"/>
        </w:rPr>
        <w:t xml:space="preserve"> Concerns related to the safety and dignity of vulnerable groups, such as women and girls, who face heightened risks of gender-based violence and exploitation. The lack of dedicated resources and specialized staff to address these issues is a significant concern.</w:t>
      </w:r>
    </w:p>
    <w:p>
      <w:r>
        <w:rPr>
          <w:rFonts w:ascii="Arial" w:hAnsi="Arial"/>
          <w:sz w:val="24"/>
        </w:rPr>
      </w:r>
    </w:p>
    <w:p>
      <w:r>
        <w:rPr>
          <w:rFonts w:ascii="Arial" w:hAnsi="Arial"/>
          <w:b/>
          <w:sz w:val="24"/>
        </w:rPr>
        <w:t>Food Security:</w:t>
      </w:r>
      <w:r>
        <w:rPr>
          <w:rFonts w:ascii="Arial" w:hAnsi="Arial"/>
          <w:sz w:val="24"/>
        </w:rPr>
        <w:t xml:space="preserve"> Inadequate access to nutritious food, exacerbated by limited livelihood opportunities and dependency on aid. This leads to chronic malnutrition and health issues among the displaced population.</w:t>
      </w:r>
    </w:p>
    <w:p>
      <w:r>
        <w:rPr>
          <w:rFonts w:ascii="Arial" w:hAnsi="Arial"/>
          <w:sz w:val="24"/>
        </w:rPr>
      </w:r>
    </w:p>
    <w:p>
      <w:r>
        <w:rPr>
          <w:rFonts w:ascii="Arial" w:hAnsi="Arial"/>
          <w:b/>
          <w:sz w:val="24"/>
        </w:rPr>
        <w:t>Shelter and Living Conditions:</w:t>
      </w:r>
      <w:r>
        <w:rPr>
          <w:rFonts w:ascii="Arial" w:hAnsi="Arial"/>
          <w:sz w:val="24"/>
        </w:rPr>
        <w:t xml:space="preserve"> Overcrowding in refugee camps, inadequate shelter, and poor sanitation facilities create unhealthy and unsafe conditions. This contributes to the spread of diseases and impacts the overall well-being of residents.</w:t>
      </w:r>
    </w:p>
    <w:p>
      <w:r>
        <w:rPr>
          <w:rFonts w:ascii="Arial" w:hAnsi="Arial"/>
          <w:sz w:val="24"/>
        </w:rPr>
      </w:r>
    </w:p>
    <w:p>
      <w:r>
        <w:rPr>
          <w:rFonts w:ascii="Arial" w:hAnsi="Arial"/>
          <w:b/>
          <w:sz w:val="24"/>
        </w:rPr>
        <w:t>Integration and Social Cohesion:</w:t>
      </w:r>
      <w:r>
        <w:rPr>
          <w:rFonts w:ascii="Arial" w:hAnsi="Arial"/>
          <w:sz w:val="24"/>
        </w:rPr>
        <w:t xml:space="preserve"> Challenges in integrating displaced populations into host communities, leading to social tensions and cultural clashes. Language barriers and a lack of integration programs hinder successful long-term settlement.</w:t>
      </w:r>
    </w:p>
    <w:p>
      <w:r>
        <w:rPr>
          <w:rFonts w:ascii="Arial" w:hAnsi="Arial"/>
          <w:sz w:val="24"/>
        </w:rPr>
      </w:r>
    </w:p>
    <w:p>
      <w:pPr>
        <w:pStyle w:val="Heading2"/>
      </w:pPr>
      <w:r>
        <w:t>How Did We Get There?</w:t>
      </w:r>
    </w:p>
    <w:p>
      <w:r>
        <w:rPr>
          <w:rFonts w:ascii="Arial" w:hAnsi="Arial"/>
          <w:sz w:val="24"/>
        </w:rPr>
      </w:r>
    </w:p>
    <w:p>
      <w:r>
        <w:rPr>
          <w:rFonts w:ascii="Arial" w:hAnsi="Arial"/>
          <w:sz w:val="24"/>
        </w:rPr>
        <w:t>These challenges can be attributed to common root causes, including resource constraints, inadequate infrastructure, and gaps in staffing and expertise. Limited access to services and protection arises from a combination of these factors, creating significant hurdles for a vulnerable population already experiencing trauma and upheaval.</w:t>
      </w:r>
    </w:p>
    <w:p>
      <w:r>
        <w:rPr>
          <w:rFonts w:ascii="Arial" w:hAnsi="Arial"/>
          <w:sz w:val="24"/>
        </w:rPr>
      </w:r>
    </w:p>
    <w:p>
      <w:pPr>
        <w:pStyle w:val="Heading2"/>
      </w:pPr>
      <w:r>
        <w:t>What Is Working Well?</w:t>
      </w:r>
    </w:p>
    <w:p>
      <w:r>
        <w:rPr>
          <w:rFonts w:ascii="Arial" w:hAnsi="Arial"/>
          <w:sz w:val="24"/>
        </w:rPr>
      </w:r>
    </w:p>
    <w:p>
      <w:r>
        <w:rPr>
          <w:rFonts w:ascii="Arial" w:hAnsi="Arial"/>
          <w:sz w:val="24"/>
        </w:rPr>
        <w:t>Despite the difficulties, some notable successes and effective practices have been observed:</w:t>
      </w:r>
    </w:p>
    <w:p>
      <w:r>
        <w:rPr>
          <w:rFonts w:ascii="Arial" w:hAnsi="Arial"/>
          <w:sz w:val="24"/>
        </w:rPr>
      </w:r>
    </w:p>
    <w:p>
      <w:r>
        <w:rPr>
          <w:rFonts w:ascii="Arial" w:hAnsi="Arial"/>
          <w:b/>
          <w:sz w:val="24"/>
        </w:rPr>
        <w:t>Community Empowerment:</w:t>
      </w:r>
      <w:r>
        <w:rPr>
          <w:rFonts w:ascii="Arial" w:hAnsi="Arial"/>
          <w:sz w:val="24"/>
        </w:rPr>
        <w:t xml:space="preserve"> Successful community-based initiatives promote participation and empowerment. These initiatives foster a sense of ownership and encourage sustainable solutions, such as local leadership training and women's empowerment programs.</w:t>
      </w:r>
    </w:p>
    <w:p>
      <w:r>
        <w:rPr>
          <w:rFonts w:ascii="Arial" w:hAnsi="Arial"/>
          <w:sz w:val="24"/>
        </w:rPr>
      </w:r>
    </w:p>
    <w:p>
      <w:r>
        <w:rPr>
          <w:rFonts w:ascii="Arial" w:hAnsi="Arial"/>
          <w:b/>
          <w:sz w:val="24"/>
        </w:rPr>
        <w:t>Partnerships:</w:t>
      </w:r>
      <w:r>
        <w:rPr>
          <w:rFonts w:ascii="Arial" w:hAnsi="Arial"/>
          <w:sz w:val="24"/>
        </w:rPr>
        <w:t xml:space="preserve"> Effective partnerships with local organizations and communities have been established, leveraging their knowledge and resources. This collaborative approach has enhanced project implementation and improved access to services.</w:t>
      </w:r>
    </w:p>
    <w:p>
      <w:r>
        <w:rPr>
          <w:rFonts w:ascii="Arial" w:hAnsi="Arial"/>
          <w:sz w:val="24"/>
        </w:rPr>
      </w:r>
    </w:p>
    <w:p>
      <w:r>
        <w:rPr>
          <w:rFonts w:ascii="Arial" w:hAnsi="Arial"/>
          <w:b/>
          <w:sz w:val="24"/>
        </w:rPr>
        <w:t>Innovative Solutions:</w:t>
      </w:r>
      <w:r>
        <w:rPr>
          <w:rFonts w:ascii="Arial" w:hAnsi="Arial"/>
          <w:sz w:val="24"/>
        </w:rPr>
        <w:t xml:space="preserve"> Adaptable and innovative projects, such as solar energy initiatives, have succeeded in improving living conditions and reducing reliance on aid. These initiatives foster self-reliance and enhance the overall resilience of the displaced population.</w:t>
      </w:r>
    </w:p>
    <w:p>
      <w:r>
        <w:rPr>
          <w:rFonts w:ascii="Arial" w:hAnsi="Arial"/>
          <w:sz w:val="24"/>
        </w:rPr>
      </w:r>
    </w:p>
    <w:p>
      <w:pPr>
        <w:pStyle w:val="Heading2"/>
      </w:pPr>
      <w:r>
        <w:t>Now What to Do?</w:t>
      </w:r>
    </w:p>
    <w:p>
      <w:r>
        <w:rPr>
          <w:rFonts w:ascii="Arial" w:hAnsi="Arial"/>
          <w:sz w:val="24"/>
        </w:rPr>
      </w:r>
    </w:p>
    <w:p>
      <w:r>
        <w:rPr>
          <w:rFonts w:ascii="Arial" w:hAnsi="Arial"/>
          <w:sz w:val="24"/>
        </w:rPr>
        <w:t>Several recommendations are proposed for consideration:</w:t>
      </w:r>
    </w:p>
    <w:p>
      <w:r>
        <w:rPr>
          <w:rFonts w:ascii="Arial" w:hAnsi="Arial"/>
          <w:sz w:val="24"/>
        </w:rPr>
      </w:r>
    </w:p>
    <w:p>
      <w:pPr>
        <w:pStyle w:val="Heading3"/>
      </w:pPr>
      <w:r>
        <w:t>Operational Level:</w:t>
      </w:r>
    </w:p>
    <w:p>
      <w:r>
        <w:rPr>
          <w:rFonts w:ascii="Arial" w:hAnsi="Arial"/>
          <w:sz w:val="24"/>
        </w:rPr>
      </w:r>
    </w:p>
    <w:p>
      <w:r>
        <w:rPr>
          <w:rFonts w:ascii="Arial" w:hAnsi="Arial"/>
          <w:sz w:val="24"/>
        </w:rPr>
        <w:t>- Increase community engagement and participation in project planning and implementation. Discontinue top-down approaches that do not involve the displaced populations in decision-making processes.</w:t>
      </w:r>
    </w:p>
    <w:p>
      <w:r>
        <w:rPr>
          <w:rFonts w:ascii="Arial" w:hAnsi="Arial"/>
          <w:sz w:val="24"/>
        </w:rPr>
        <w:t xml:space="preserve">  </w:t>
      </w:r>
    </w:p>
    <w:p>
      <w:r>
        <w:rPr>
          <w:rFonts w:ascii="Arial" w:hAnsi="Arial"/>
          <w:sz w:val="24"/>
        </w:rPr>
        <w:t>- Expand access to language and cultural mediation services to improve communication and service delivery, especially in education and protection programs.</w:t>
      </w:r>
    </w:p>
    <w:p>
      <w:r>
        <w:rPr>
          <w:rFonts w:ascii="Arial" w:hAnsi="Arial"/>
          <w:sz w:val="24"/>
        </w:rPr>
      </w:r>
    </w:p>
    <w:p>
      <w:r>
        <w:rPr>
          <w:rFonts w:ascii="Arial" w:hAnsi="Arial"/>
          <w:sz w:val="24"/>
        </w:rPr>
        <w:t>- Prioritize interventions to improve food security, with a focus on sustainable solutions like vocational training and local agriculture initiatives.</w:t>
      </w:r>
    </w:p>
    <w:p>
      <w:r>
        <w:rPr>
          <w:rFonts w:ascii="Arial" w:hAnsi="Arial"/>
          <w:sz w:val="24"/>
        </w:rPr>
      </w:r>
    </w:p>
    <w:p>
      <w:r>
        <w:rPr>
          <w:rFonts w:ascii="Arial" w:hAnsi="Arial"/>
          <w:sz w:val="24"/>
        </w:rPr>
        <w:t>- Enhance sanitation facilities and infrastructure in refugee settlements, ensuring regular maintenance and access to clean water.</w:t>
      </w:r>
    </w:p>
    <w:p>
      <w:r>
        <w:rPr>
          <w:rFonts w:ascii="Arial" w:hAnsi="Arial"/>
          <w:sz w:val="24"/>
        </w:rPr>
      </w:r>
    </w:p>
    <w:p>
      <w:pPr>
        <w:pStyle w:val="Heading3"/>
      </w:pPr>
      <w:r>
        <w:t>Organizational Level:</w:t>
      </w:r>
    </w:p>
    <w:p>
      <w:r>
        <w:rPr>
          <w:rFonts w:ascii="Arial" w:hAnsi="Arial"/>
          <w:sz w:val="24"/>
        </w:rPr>
      </w:r>
    </w:p>
    <w:p>
      <w:r>
        <w:rPr>
          <w:rFonts w:ascii="Arial" w:hAnsi="Arial"/>
          <w:sz w:val="24"/>
        </w:rPr>
        <w:t>- Increase staffing resources, particularly for specialized roles such as social workers, gender experts, and protection officers. These roles are crucial in addressing specific and vulnerable needs.</w:t>
      </w:r>
    </w:p>
    <w:p>
      <w:r>
        <w:rPr>
          <w:rFonts w:ascii="Arial" w:hAnsi="Arial"/>
          <w:sz w:val="24"/>
        </w:rPr>
      </w:r>
    </w:p>
    <w:p>
      <w:r>
        <w:rPr>
          <w:rFonts w:ascii="Arial" w:hAnsi="Arial"/>
          <w:sz w:val="24"/>
        </w:rPr>
        <w:t xml:space="preserve">- Invest in comprehensive staff training, including cultural sensitivity and trauma awareness, to ensure effective and safe operations. </w:t>
      </w:r>
    </w:p>
    <w:p>
      <w:r>
        <w:rPr>
          <w:rFonts w:ascii="Arial" w:hAnsi="Arial"/>
          <w:sz w:val="24"/>
        </w:rPr>
      </w:r>
    </w:p>
    <w:p>
      <w:r>
        <w:rPr>
          <w:rFonts w:ascii="Arial" w:hAnsi="Arial"/>
          <w:sz w:val="24"/>
        </w:rPr>
        <w:t>- Establish clear guidelines and criteria for partnering with local organizations to ensure consistency and transparency in these relationships.</w:t>
      </w:r>
    </w:p>
    <w:p>
      <w:r>
        <w:rPr>
          <w:rFonts w:ascii="Arial" w:hAnsi="Arial"/>
          <w:sz w:val="24"/>
        </w:rPr>
      </w:r>
    </w:p>
    <w:p>
      <w:pPr>
        <w:pStyle w:val="Heading3"/>
      </w:pPr>
      <w:r>
        <w:t>Strategic Level:</w:t>
      </w:r>
    </w:p>
    <w:p>
      <w:r>
        <w:rPr>
          <w:rFonts w:ascii="Arial" w:hAnsi="Arial"/>
          <w:sz w:val="24"/>
        </w:rPr>
      </w:r>
    </w:p>
    <w:p>
      <w:r>
        <w:rPr>
          <w:rFonts w:ascii="Arial" w:hAnsi="Arial"/>
          <w:sz w:val="24"/>
        </w:rPr>
        <w:t>- Advocate for policy changes that support long-term solutions, including advocacy for legal reforms to facilitate integration and access to citizenship.</w:t>
      </w:r>
    </w:p>
    <w:p>
      <w:r>
        <w:rPr>
          <w:rFonts w:ascii="Arial" w:hAnsi="Arial"/>
          <w:sz w:val="24"/>
        </w:rPr>
      </w:r>
    </w:p>
    <w:p>
      <w:r>
        <w:rPr>
          <w:rFonts w:ascii="Arial" w:hAnsi="Arial"/>
          <w:sz w:val="24"/>
        </w:rPr>
        <w:t xml:space="preserve">- Promote sustainable development initiatives that align with global goals, ensuring a more comprehensive approach to relief efforts. </w:t>
      </w:r>
    </w:p>
    <w:p>
      <w:r>
        <w:rPr>
          <w:rFonts w:ascii="Arial" w:hAnsi="Arial"/>
          <w:sz w:val="24"/>
        </w:rPr>
      </w:r>
    </w:p>
    <w:p>
      <w:pPr>
        <w:pStyle w:val="Heading2"/>
      </w:pPr>
      <w:r>
        <w:t>Conclusion</w:t>
      </w:r>
    </w:p>
    <w:p>
      <w:r>
        <w:rPr>
          <w:rFonts w:ascii="Arial" w:hAnsi="Arial"/>
          <w:sz w:val="24"/>
        </w:rPr>
      </w:r>
    </w:p>
    <w:p>
      <w:r>
        <w:rPr>
          <w:rFonts w:ascii="Arial" w:hAnsi="Arial"/>
          <w:sz w:val="24"/>
        </w:rPr>
        <w:t>In conclusion, addressing the complex needs of forced displacement requires a multifaceted approach, focusing on community engagement, resource allocation, and innovative solutions. Learning from these challenges is vital to improve the effectiveness of future operations and alleviate the suffering of vulnerable populations.</w:t>
      </w:r>
    </w:p>
    <w:p>
      <w:r>
        <w:rPr>
          <w:rFonts w:ascii="Arial" w:hAnsi="Arial"/>
          <w:sz w:val="24"/>
        </w:rPr>
      </w:r>
    </w:p>
    <w:p>
      <w:r>
        <w:rPr>
          <w:rFonts w:ascii="Arial" w:hAnsi="Arial"/>
          <w:sz w:val="24"/>
        </w:rPr>
      </w:r>
    </w:p>
    <w:p>
      <w:r>
        <w:rPr>
          <w:rFonts w:ascii="Arial" w:hAnsi="Arial"/>
          <w:sz w:val="24"/>
        </w:rPr>
        <w:t>Is there anything else I can help you with? Perhaps another report summary or some other writing task related to this context?</w:t>
      </w:r>
    </w:p>
    <w:p>
      <w:r>
        <w:br w:type="page"/>
      </w:r>
    </w:p>
    <w:p>
      <w:pPr>
        <w:pStyle w:val="Heading2"/>
      </w:pPr>
      <w:r>
        <w:t>DISCLAIMER:</w:t>
      </w:r>
    </w:p>
    <w:p>
      <w:r>
        <w:rPr>
          <w:i/>
        </w:rPr>
        <w:t>This document contains material generated by artificial intelligence technology. While efforts have been made to ensure accuracy, please be aware that AI-generated content may not always fully represent the intent or expertise of human-authored material and may contain errors or inaccuracies. An AI model might generate content that sounds plausible but that is either factually incorrect or unrelated to the given context. These unexpected outcomes, also called AI hallucinations, can stem from biases, underperforming information retrieval, lack of real-world understanding, or limitations in training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