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Here is an executive summary based on the provided context:</w:t>
      </w:r>
    </w:p>
    <w:p>
      <w:r>
        <w:rPr>
          <w:rFonts w:ascii="Arial" w:hAnsi="Arial"/>
          <w:sz w:val="24"/>
        </w:rPr>
      </w:r>
    </w:p>
    <w:p>
      <w:r>
        <w:rPr>
          <w:rFonts w:ascii="Arial" w:hAnsi="Arial"/>
          <w:sz w:val="24"/>
        </w:rPr>
      </w:r>
    </w:p>
    <w:p>
      <w:pPr>
        <w:pStyle w:val="Heading2"/>
      </w:pPr>
      <w:r>
        <w:t>What Have We Learned?</w:t>
      </w:r>
    </w:p>
    <w:p>
      <w:r>
        <w:rPr>
          <w:rFonts w:ascii="Arial" w:hAnsi="Arial"/>
          <w:sz w:val="24"/>
        </w:rPr>
      </w:r>
    </w:p>
    <w:p>
      <w:r>
        <w:rPr>
          <w:rFonts w:ascii="Arial" w:hAnsi="Arial"/>
          <w:sz w:val="24"/>
        </w:rPr>
        <w:t>The evaluation focuses on programs aiding forcible displaced peoples, defined as those fleeing conflict, persecution, or natural disasters, with a focus on those hosted in urban settings. The primary challenges faced are:</w:t>
      </w:r>
    </w:p>
    <w:p>
      <w:r>
        <w:rPr>
          <w:rFonts w:ascii="Arial" w:hAnsi="Arial"/>
          <w:sz w:val="24"/>
        </w:rPr>
      </w:r>
    </w:p>
    <w:p>
      <w:r>
        <w:rPr>
          <w:rFonts w:ascii="Arial" w:hAnsi="Arial"/>
          <w:sz w:val="24"/>
        </w:rPr>
        <w:t>- Inadequate Registration: Failure to register and verify displaced persons hampers access to services and benefits. For example, an unregistered family may miss out on essential food aid, increasing their vulnerability.</w:t>
      </w:r>
    </w:p>
    <w:p>
      <w:r>
        <w:rPr>
          <w:rFonts w:ascii="Arial" w:hAnsi="Arial"/>
          <w:sz w:val="24"/>
        </w:rPr>
      </w:r>
    </w:p>
    <w:p>
      <w:r>
        <w:rPr>
          <w:rFonts w:ascii="Arial" w:hAnsi="Arial"/>
          <w:sz w:val="24"/>
        </w:rPr>
        <w:t>- Insufficient Shelter Solutions: The lack of adequate housing solutions leads to crowded and unsafe living conditions, especially in urban areas. This issue results in increased health and protection risks, as illustrated by the high incidences of COVID-19 among displaced communities living in cramped, unsanitary conditions.</w:t>
      </w:r>
    </w:p>
    <w:p>
      <w:r>
        <w:rPr>
          <w:rFonts w:ascii="Arial" w:hAnsi="Arial"/>
          <w:sz w:val="24"/>
        </w:rPr>
      </w:r>
    </w:p>
    <w:p>
      <w:r>
        <w:rPr>
          <w:rFonts w:ascii="Arial" w:hAnsi="Arial"/>
          <w:sz w:val="24"/>
        </w:rPr>
        <w:t>- Limited Access to Livelihoods: The evaluation highlights the challenge of helping displaced persons gain sustainable livelihoods, which is crucial for their long-term economic integration. Without access to stable income, families struggle to meet basic needs, perpetuating a cycle of dependency.</w:t>
      </w:r>
    </w:p>
    <w:p>
      <w:r>
        <w:rPr>
          <w:rFonts w:ascii="Arial" w:hAnsi="Arial"/>
          <w:sz w:val="24"/>
        </w:rPr>
      </w:r>
    </w:p>
    <w:p>
      <w:r>
        <w:rPr>
          <w:rFonts w:ascii="Arial" w:hAnsi="Arial"/>
          <w:sz w:val="24"/>
        </w:rPr>
        <w:t>- Health and Psychological Risks: The report finds that mental health and healthcare services are inadequate, given the complex and traumatic circumstances faced by many displaced individuals. Without access to timely psychological support and adequate healthcare, chronic conditions can worsen, leading to further suffering and potential social issues.</w:t>
      </w:r>
    </w:p>
    <w:p>
      <w:r>
        <w:rPr>
          <w:rFonts w:ascii="Arial" w:hAnsi="Arial"/>
          <w:sz w:val="24"/>
        </w:rPr>
      </w:r>
    </w:p>
    <w:p>
      <w:r>
        <w:rPr>
          <w:rFonts w:ascii="Arial" w:hAnsi="Arial"/>
          <w:sz w:val="24"/>
        </w:rPr>
        <w:t xml:space="preserve">- Protection Concerns: Ensuring the physical safety and security of displaced women and children is a significant challenge. Inadequate protection mechanisms leave them vulnerable to gender-based violence, exploitation, and abuse. </w:t>
      </w:r>
    </w:p>
    <w:p>
      <w:r>
        <w:rPr>
          <w:rFonts w:ascii="Arial" w:hAnsi="Arial"/>
          <w:sz w:val="24"/>
        </w:rPr>
      </w:r>
    </w:p>
    <w:p>
      <w:pPr>
        <w:pStyle w:val="Heading2"/>
      </w:pPr>
      <w:r>
        <w:t>How Did We Get There?</w:t>
      </w:r>
    </w:p>
    <w:p>
      <w:r>
        <w:rPr>
          <w:rFonts w:ascii="Arial" w:hAnsi="Arial"/>
          <w:sz w:val="24"/>
        </w:rPr>
      </w:r>
    </w:p>
    <w:p>
      <w:r>
        <w:rPr>
          <w:rFonts w:ascii="Arial" w:hAnsi="Arial"/>
          <w:sz w:val="24"/>
        </w:rPr>
        <w:t xml:space="preserve">These challenges can be traced back to a combination of factors, including resource constraints, inadequate planning, and policy gaps. The complexity of urban settings, where many displaced persons seek refuge, presents unique issues that aren't always adequately addressed by current practices. The rapid onset of emergencies, coupled with limited access to essential services in host communities, further strains the response capabilities. </w:t>
      </w:r>
    </w:p>
    <w:p>
      <w:r>
        <w:rPr>
          <w:rFonts w:ascii="Arial" w:hAnsi="Arial"/>
          <w:sz w:val="24"/>
        </w:rPr>
      </w:r>
    </w:p>
    <w:p>
      <w:pPr>
        <w:pStyle w:val="Heading2"/>
      </w:pPr>
      <w:r>
        <w:t>What Is Working Well?</w:t>
      </w:r>
    </w:p>
    <w:p>
      <w:r>
        <w:rPr>
          <w:rFonts w:ascii="Arial" w:hAnsi="Arial"/>
          <w:sz w:val="24"/>
        </w:rPr>
      </w:r>
    </w:p>
    <w:p>
      <w:r>
        <w:rPr>
          <w:rFonts w:ascii="Arial" w:hAnsi="Arial"/>
          <w:sz w:val="24"/>
        </w:rPr>
        <w:t>Despite the challenges, the evaluation identified several good practices and successes. These include:</w:t>
      </w:r>
    </w:p>
    <w:p>
      <w:r>
        <w:rPr>
          <w:rFonts w:ascii="Arial" w:hAnsi="Arial"/>
          <w:sz w:val="24"/>
        </w:rPr>
      </w:r>
    </w:p>
    <w:p>
      <w:r>
        <w:rPr>
          <w:rFonts w:ascii="Arial" w:hAnsi="Arial"/>
          <w:sz w:val="24"/>
        </w:rPr>
        <w:t>- Innovative Registration Methods: The use of digital registration platforms has shown promise in streamlining the process, enhancing data collection, and improving the efficiency of aid delivery. This approach has potential for scale-up.</w:t>
      </w:r>
    </w:p>
    <w:p>
      <w:r>
        <w:rPr>
          <w:rFonts w:ascii="Arial" w:hAnsi="Arial"/>
          <w:sz w:val="24"/>
        </w:rPr>
      </w:r>
    </w:p>
    <w:p>
      <w:r>
        <w:rPr>
          <w:rFonts w:ascii="Arial" w:hAnsi="Arial"/>
          <w:sz w:val="24"/>
        </w:rPr>
        <w:t>- Community-Based Initiatives: Projects focused on building the capacity of displaced communities themselves have demonstrated positive outcomes. These initiatives foster a sense of ownership, promote social cohesion, and enhance the sustainability of interventions.</w:t>
      </w:r>
    </w:p>
    <w:p>
      <w:r>
        <w:rPr>
          <w:rFonts w:ascii="Arial" w:hAnsi="Arial"/>
          <w:sz w:val="24"/>
        </w:rPr>
      </w:r>
    </w:p>
    <w:p>
      <w:r>
        <w:rPr>
          <w:rFonts w:ascii="Arial" w:hAnsi="Arial"/>
          <w:sz w:val="24"/>
        </w:rPr>
        <w:t xml:space="preserve">- Public-Private Partnerships: Collaboration with private sector actors has proven effective in addressing some of the economic challenges faced by displaced persons. These partnerships have opened up new avenues for livelihood opportunities, including vocational training and employment programs. </w:t>
      </w:r>
    </w:p>
    <w:p>
      <w:r>
        <w:rPr>
          <w:rFonts w:ascii="Arial" w:hAnsi="Arial"/>
          <w:sz w:val="24"/>
        </w:rPr>
      </w:r>
    </w:p>
    <w:p>
      <w:pPr>
        <w:pStyle w:val="Heading2"/>
      </w:pPr>
      <w:r>
        <w:t>Now What to Do?</w:t>
      </w:r>
    </w:p>
    <w:p>
      <w:r>
        <w:rPr>
          <w:rFonts w:ascii="Arial" w:hAnsi="Arial"/>
          <w:sz w:val="24"/>
        </w:rPr>
      </w:r>
    </w:p>
    <w:p>
      <w:r>
        <w:rPr>
          <w:rFonts w:ascii="Arial" w:hAnsi="Arial"/>
          <w:sz w:val="24"/>
        </w:rPr>
        <w:t>The evaluation offers recommendations across different levels:</w:t>
      </w:r>
    </w:p>
    <w:p>
      <w:r>
        <w:rPr>
          <w:rFonts w:ascii="Arial" w:hAnsi="Arial"/>
          <w:sz w:val="24"/>
        </w:rPr>
      </w:r>
    </w:p>
    <w:p>
      <w:pPr>
        <w:pStyle w:val="Heading3"/>
      </w:pPr>
      <w:r>
        <w:t>Operational Level</w:t>
      </w:r>
    </w:p>
    <w:p>
      <w:r>
        <w:rPr>
          <w:rFonts w:ascii="Arial" w:hAnsi="Arial"/>
          <w:sz w:val="24"/>
        </w:rPr>
      </w:r>
    </w:p>
    <w:p>
      <w:r>
        <w:rPr>
          <w:rFonts w:ascii="Arial" w:hAnsi="Arial"/>
          <w:sz w:val="24"/>
        </w:rPr>
        <w:t>- Enhance registration processes by implementing streamlined, digital verification methods and ensuring periodic updates to capture new arrivals accurately.</w:t>
      </w:r>
    </w:p>
    <w:p>
      <w:r>
        <w:rPr>
          <w:rFonts w:ascii="Arial" w:hAnsi="Arial"/>
          <w:sz w:val="24"/>
        </w:rPr>
      </w:r>
    </w:p>
    <w:p>
      <w:r>
        <w:rPr>
          <w:rFonts w:ascii="Arial" w:hAnsi="Arial"/>
          <w:sz w:val="24"/>
        </w:rPr>
        <w:t xml:space="preserve">- Develop context-specific shelter solutions, considering the urban environment, and prioritize the provision of safe and sanitary housing, possibly through partnerships with local authorities. </w:t>
      </w:r>
    </w:p>
    <w:p>
      <w:r>
        <w:rPr>
          <w:rFonts w:ascii="Arial" w:hAnsi="Arial"/>
          <w:sz w:val="24"/>
        </w:rPr>
      </w:r>
    </w:p>
    <w:p>
      <w:r>
        <w:rPr>
          <w:rFonts w:ascii="Arial" w:hAnsi="Arial"/>
          <w:sz w:val="24"/>
        </w:rPr>
        <w:t>- Focus on sustainable livelihood solutions, promoting skills training and small business support to enhance long-term economic integration.</w:t>
      </w:r>
    </w:p>
    <w:p>
      <w:r>
        <w:rPr>
          <w:rFonts w:ascii="Arial" w:hAnsi="Arial"/>
          <w:sz w:val="24"/>
        </w:rPr>
      </w:r>
    </w:p>
    <w:p>
      <w:r>
        <w:rPr>
          <w:rFonts w:ascii="Arial" w:hAnsi="Arial"/>
          <w:sz w:val="24"/>
        </w:rPr>
        <w:t xml:space="preserve">- Scale up access to mental health services by deploying mobile health clinics and community-based psychological support programs. </w:t>
      </w:r>
    </w:p>
    <w:p>
      <w:r>
        <w:rPr>
          <w:rFonts w:ascii="Arial" w:hAnsi="Arial"/>
          <w:sz w:val="24"/>
        </w:rPr>
      </w:r>
    </w:p>
    <w:p>
      <w:r>
        <w:rPr>
          <w:rFonts w:ascii="Arial" w:hAnsi="Arial"/>
          <w:sz w:val="24"/>
        </w:rPr>
        <w:t xml:space="preserve">- Strengthen protection mechanisms, especially for vulnerable groups like women and children, by increasing awareness campaigns and expanding access to legal aid. </w:t>
      </w:r>
    </w:p>
    <w:p>
      <w:r>
        <w:rPr>
          <w:rFonts w:ascii="Arial" w:hAnsi="Arial"/>
          <w:sz w:val="24"/>
        </w:rPr>
      </w:r>
    </w:p>
    <w:p>
      <w:pPr>
        <w:pStyle w:val="Heading3"/>
      </w:pPr>
      <w:r>
        <w:t>Organizational Level</w:t>
      </w:r>
    </w:p>
    <w:p>
      <w:r>
        <w:rPr>
          <w:rFonts w:ascii="Arial" w:hAnsi="Arial"/>
          <w:sz w:val="24"/>
        </w:rPr>
      </w:r>
    </w:p>
    <w:p>
      <w:r>
        <w:rPr>
          <w:rFonts w:ascii="Arial" w:hAnsi="Arial"/>
          <w:sz w:val="24"/>
        </w:rPr>
        <w:t xml:space="preserve">- Increase staffing resources dedicated to protection issues, including specialized personnel for gender-based violence prevention and response. </w:t>
      </w:r>
    </w:p>
    <w:p>
      <w:r>
        <w:rPr>
          <w:rFonts w:ascii="Arial" w:hAnsi="Arial"/>
          <w:sz w:val="24"/>
        </w:rPr>
      </w:r>
    </w:p>
    <w:p>
      <w:r>
        <w:rPr>
          <w:rFonts w:ascii="Arial" w:hAnsi="Arial"/>
          <w:sz w:val="24"/>
        </w:rPr>
        <w:t xml:space="preserve">- Build the capacity of local NGOs and community leaders to deliver targeted, contextually appropriate assistance programs. </w:t>
      </w:r>
    </w:p>
    <w:p>
      <w:r>
        <w:rPr>
          <w:rFonts w:ascii="Arial" w:hAnsi="Arial"/>
          <w:sz w:val="24"/>
        </w:rPr>
      </w:r>
    </w:p>
    <w:p>
      <w:pPr>
        <w:pStyle w:val="Heading3"/>
      </w:pPr>
      <w:r>
        <w:t>Strategic Level</w:t>
      </w:r>
    </w:p>
    <w:p>
      <w:r>
        <w:rPr>
          <w:rFonts w:ascii="Arial" w:hAnsi="Arial"/>
          <w:sz w:val="24"/>
        </w:rPr>
      </w:r>
    </w:p>
    <w:p>
      <w:r>
        <w:rPr>
          <w:rFonts w:ascii="Arial" w:hAnsi="Arial"/>
          <w:sz w:val="24"/>
        </w:rPr>
        <w:t xml:space="preserve">- Advocate for policy changes that better enable the inclusion of displaced persons in national health, education, and social protection systems, aiming for more equitable access. </w:t>
      </w:r>
    </w:p>
    <w:p>
      <w:r>
        <w:rPr>
          <w:rFonts w:ascii="Arial" w:hAnsi="Arial"/>
          <w:sz w:val="24"/>
        </w:rPr>
      </w:r>
    </w:p>
    <w:p>
      <w:r>
        <w:rPr>
          <w:rFonts w:ascii="Arial" w:hAnsi="Arial"/>
          <w:sz w:val="24"/>
        </w:rPr>
        <w:t xml:space="preserve">- Review and adapt guidelines on urban displacement, ensuring a more flexible and contextually relevant approach to aid delivery in diverse urban settings. </w:t>
      </w:r>
    </w:p>
    <w:p>
      <w:r>
        <w:rPr>
          <w:rFonts w:ascii="Arial" w:hAnsi="Arial"/>
          <w:sz w:val="24"/>
        </w:rPr>
      </w:r>
    </w:p>
    <w:p>
      <w:pPr>
        <w:pStyle w:val="Heading2"/>
      </w:pPr>
      <w:r>
        <w:t>Conclusion</w:t>
      </w:r>
    </w:p>
    <w:p>
      <w:r>
        <w:rPr>
          <w:rFonts w:ascii="Arial" w:hAnsi="Arial"/>
          <w:sz w:val="24"/>
        </w:rPr>
      </w:r>
    </w:p>
    <w:p>
      <w:r>
        <w:rPr>
          <w:rFonts w:ascii="Arial" w:hAnsi="Arial"/>
          <w:sz w:val="24"/>
        </w:rPr>
        <w:t xml:space="preserve">In conclusion, addressing the multifaceted challenges faced by forcibly displaced populations requires a nuanced, multi-level approach, spanning operational, organizational, and strategic levels. </w:t>
      </w:r>
    </w:p>
    <w:p>
      <w:r>
        <w:rPr>
          <w:rFonts w:ascii="Arial" w:hAnsi="Arial"/>
          <w:sz w:val="24"/>
        </w:rPr>
      </w:r>
    </w:p>
    <w:p>
      <w:r>
        <w:rPr>
          <w:rFonts w:ascii="Arial" w:hAnsi="Arial"/>
          <w:sz w:val="24"/>
        </w:rPr>
      </w:r>
    </w:p>
    <w:p>
      <w:r>
        <w:rPr>
          <w:rFonts w:ascii="Arial" w:hAnsi="Arial"/>
          <w:sz w:val="24"/>
        </w:rPr>
        <w:t>Are there any edits that you would like me to make to this summary?</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under-performing information retrieval,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