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数据处理协议（模板）</w:t>
      </w:r>
    </w:p>
    <w:p>
      <w:r>
        <w:t>协议编号：DPA-2026-TEMPLATE</w:t>
      </w:r>
    </w:p>
    <w:p>
      <w:r>
        <w:t>本协议为《标准服务合同》的附属协议，与主合同具有同等法律效力。</w:t>
      </w:r>
    </w:p>
    <w:p>
      <w:pPr>
        <w:pStyle w:val="Heading1"/>
      </w:pPr>
      <w:r>
        <w:t>第一条 定义与解释</w:t>
      </w:r>
    </w:p>
    <w:p>
      <w:r>
        <w:t>个人信息是指以电子或者其他方式记录的与已识别或者可识别的自然人有关的各种信息，不包括匿名化处理后的信息。</w:t>
      </w:r>
    </w:p>
    <w:p>
      <w:r>
        <w:t>处理包括个人信息的收集、存储、使用、加工、传输、提供、公开、删除等。</w:t>
      </w:r>
    </w:p>
    <w:p>
      <w:r>
        <w:t>数据主体是指个人信息所识别或可识别的自然人。</w:t>
      </w:r>
    </w:p>
    <w:p>
      <w:pPr>
        <w:pStyle w:val="Heading1"/>
      </w:pPr>
      <w:r>
        <w:t>第二条 个人信息处理的范围与目的</w:t>
      </w:r>
    </w:p>
    <w:p>
      <w:r>
        <w:t>乙方仅得在主合同约定的服务范围内处理甲方提供的个人信息。</w:t>
      </w:r>
    </w:p>
    <w:p>
      <w:r>
        <w:t>处理目的限于为客户提供系统运维与技术支持所必需，不得用于任何其他目的。</w:t>
      </w:r>
    </w:p>
    <w:p>
      <w:r>
        <w:t>乙方不得将个人信息用于自动化决策或用户画像，除非获得甲方单独书面授权。</w:t>
      </w:r>
    </w:p>
    <w:p>
      <w:pPr>
        <w:pStyle w:val="Heading1"/>
      </w:pPr>
      <w:r>
        <w:t>第三条 处理者的义务</w:t>
      </w:r>
    </w:p>
    <w:p>
      <w:r>
        <w:t>乙方应当按照法律法规与技术标准采取加密、去标识化等安全措施保障个人信息安全。</w:t>
      </w:r>
    </w:p>
    <w:p>
      <w:r>
        <w:t>发生个人信息泄露事件的，乙方应当在知道或者应当知道后二十四小时内通知甲方。</w:t>
      </w:r>
    </w:p>
    <w:p>
      <w:r>
        <w:t>未经甲方书面同意，乙方不得委托第三方处理个人信息。</w:t>
      </w:r>
    </w:p>
    <w:p>
      <w:pPr>
        <w:pStyle w:val="Heading1"/>
      </w:pPr>
      <w:r>
        <w:t>第四条 委托方的义务</w:t>
      </w:r>
    </w:p>
    <w:p>
      <w:r>
        <w:t>甲方应当保证其向乙方提供的个人信息来源合法，已取得必要的同意或具备其他合法性基础。</w:t>
      </w:r>
    </w:p>
    <w:p>
      <w:r>
        <w:t>甲方应当向乙方明确处理目的、期限、方式与个人信息种类，并提供必要的指引。</w:t>
      </w:r>
    </w:p>
    <w:p>
      <w:pPr>
        <w:pStyle w:val="Heading1"/>
      </w:pPr>
      <w:r>
        <w:t>第五条 安全措施</w:t>
      </w:r>
    </w:p>
    <w:p>
      <w:r>
        <w:t>乙方应当建立数据分类分级管理制度，对敏感个人信息实施重点保护。</w:t>
      </w:r>
    </w:p>
    <w:p>
      <w:r>
        <w:t>乙方应当每半年对数据处理活动进行一次合规审计，并向甲方提交审计摘要。</w:t>
      </w:r>
    </w:p>
    <w:p>
      <w:r>
        <w:t>乙方数据处理人员应当签署保密承诺并通过个人信息保护培训。</w:t>
      </w:r>
    </w:p>
    <w:p>
      <w:pPr>
        <w:pStyle w:val="Heading1"/>
      </w:pPr>
      <w:r>
        <w:t>第六条 数据主体权利</w:t>
      </w:r>
    </w:p>
    <w:p>
      <w:r>
        <w:t>数据主体行使查阅、复制、更正、删除等权利的，乙方应当在收到甲方转达请求后十五个工作日内配合处理。</w:t>
      </w:r>
    </w:p>
    <w:p>
      <w:r>
        <w:t>乙方不得以任何理由拒绝或拖延配合数据主体的合法请求。</w:t>
      </w:r>
    </w:p>
    <w:p>
      <w:pPr>
        <w:pStyle w:val="Heading1"/>
      </w:pPr>
      <w:r>
        <w:t>第七条 跨境提供</w:t>
      </w:r>
    </w:p>
    <w:p>
      <w:r>
        <w:t>确需向境外提供个人信息的，乙方应当事先取得甲方书面同意，并依法通过安全评估或签署标准合同。</w:t>
      </w:r>
    </w:p>
    <w:p>
      <w:r>
        <w:t>跨境传输应当采取加密通道，并留存传输记录不少于三年。</w:t>
      </w:r>
    </w:p>
    <w:p>
      <w:pPr>
        <w:pStyle w:val="Heading1"/>
      </w:pPr>
      <w:r>
        <w:t>第八条 审计与检查</w:t>
      </w:r>
    </w:p>
    <w:p>
      <w:r>
        <w:t>甲方有权自行或委托第三方对乙方的数据处理活动进行年度检查。</w:t>
      </w:r>
    </w:p>
    <w:p>
      <w:r>
        <w:t>乙方应当如实提供审计所需的记录、日志与说明材料。</w:t>
      </w:r>
    </w:p>
    <w:p>
      <w:pPr>
        <w:pStyle w:val="Heading1"/>
      </w:pPr>
      <w:r>
        <w:t>第九条 违约与赔偿</w:t>
      </w:r>
    </w:p>
    <w:p>
      <w:r>
        <w:t>乙方违反本协议处理个人信息的，应当承担由此给甲方造成的全部损失。</w:t>
      </w:r>
    </w:p>
    <w:p>
      <w:r>
        <w:t>因乙方违规导致行政处罚的，罚款与相关费用由乙方承担。</w:t>
      </w:r>
    </w:p>
    <w:p>
      <w:pPr>
        <w:pStyle w:val="Heading1"/>
      </w:pPr>
      <w:r>
        <w:t>第十条 协议终止与数据处理</w:t>
      </w:r>
    </w:p>
    <w:p>
      <w:r>
        <w:t>协议终止后，乙方应当在三十日内删除或匿名化全部个人信息，并向甲方书面确认。</w:t>
      </w:r>
    </w:p>
    <w:p>
      <w:r>
        <w:t>法律法规要求留存的日志信息，乙方应当继续按本协议标准保护。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