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400" w:val="left" w:leader="none"/>
        </w:tabs>
        <w:spacing w:line="240" w:lineRule="auto" w:before="123" w:after="0"/>
        <w:ind w:left="400" w:right="0" w:hanging="300"/>
        <w:jc w:val="left"/>
        <w:rPr>
          <w:color w:val="231F20"/>
          <w:sz w:val="24"/>
        </w:rPr>
      </w:pPr>
      <w:r>
        <w:rPr>
          <w:color w:val="231F20"/>
          <w:sz w:val="24"/>
        </w:rPr>
        <w:t>This</w:t>
      </w:r>
      <w:r>
        <w:rPr>
          <w:color w:val="231F20"/>
          <w:spacing w:val="-3"/>
          <w:sz w:val="24"/>
        </w:rPr>
        <w:t> </w:t>
      </w:r>
      <w:r>
        <w:rPr>
          <w:color w:val="231F20"/>
          <w:sz w:val="24"/>
        </w:rPr>
        <w:t>Non-Disclosure</w:t>
      </w:r>
      <w:r>
        <w:rPr>
          <w:color w:val="231F20"/>
          <w:spacing w:val="-2"/>
          <w:sz w:val="24"/>
        </w:rPr>
        <w:t> </w:t>
      </w:r>
      <w:r>
        <w:rPr>
          <w:color w:val="231F20"/>
          <w:sz w:val="24"/>
        </w:rPr>
        <w:t>Agreement</w:t>
      </w:r>
      <w:r>
        <w:rPr>
          <w:color w:val="231F20"/>
          <w:spacing w:val="-1"/>
          <w:sz w:val="24"/>
        </w:rPr>
        <w:t> </w:t>
      </w:r>
      <w:r>
        <w:rPr>
          <w:color w:val="231F20"/>
          <w:sz w:val="24"/>
        </w:rPr>
        <w:t>is</w:t>
      </w:r>
      <w:r>
        <w:rPr>
          <w:color w:val="231F20"/>
          <w:spacing w:val="-3"/>
          <w:sz w:val="24"/>
        </w:rPr>
        <w:t> </w:t>
      </w:r>
      <w:r>
        <w:rPr>
          <w:color w:val="231F20"/>
          <w:sz w:val="24"/>
        </w:rPr>
        <w:t>entered</w:t>
      </w:r>
      <w:r>
        <w:rPr>
          <w:color w:val="231F20"/>
          <w:spacing w:val="-1"/>
          <w:sz w:val="24"/>
        </w:rPr>
        <w:t> </w:t>
      </w:r>
      <w:r>
        <w:rPr>
          <w:color w:val="231F20"/>
          <w:sz w:val="24"/>
        </w:rPr>
        <w:t>into</w:t>
      </w:r>
      <w:r>
        <w:rPr>
          <w:color w:val="231F20"/>
          <w:spacing w:val="-2"/>
          <w:sz w:val="24"/>
        </w:rPr>
        <w:t> </w:t>
      </w:r>
      <w:r>
        <w:rPr>
          <w:color w:val="231F20"/>
          <w:sz w:val="24"/>
        </w:rPr>
        <w:t>by</w:t>
      </w:r>
      <w:r>
        <w:rPr>
          <w:color w:val="231F20"/>
          <w:spacing w:val="-2"/>
          <w:sz w:val="24"/>
        </w:rPr>
        <w:t> </w:t>
      </w:r>
      <w:r>
        <w:rPr>
          <w:color w:val="231F20"/>
          <w:sz w:val="24"/>
        </w:rPr>
        <w:t>the</w:t>
      </w:r>
      <w:r>
        <w:rPr>
          <w:color w:val="231F20"/>
          <w:spacing w:val="-1"/>
          <w:sz w:val="24"/>
        </w:rPr>
        <w:t> </w:t>
      </w:r>
      <w:r>
        <w:rPr>
          <w:color w:val="231F20"/>
          <w:sz w:val="24"/>
        </w:rPr>
        <w:t>United</w:t>
      </w:r>
      <w:r>
        <w:rPr>
          <w:color w:val="231F20"/>
          <w:spacing w:val="-2"/>
          <w:sz w:val="24"/>
        </w:rPr>
        <w:t> </w:t>
      </w:r>
      <w:r>
        <w:rPr>
          <w:color w:val="231F20"/>
          <w:sz w:val="24"/>
        </w:rPr>
        <w:t>States</w:t>
      </w:r>
      <w:r>
        <w:rPr>
          <w:color w:val="231F20"/>
          <w:spacing w:val="-2"/>
          <w:sz w:val="24"/>
        </w:rPr>
        <w:t> </w:t>
      </w:r>
      <w:r>
        <w:rPr>
          <w:color w:val="231F20"/>
          <w:sz w:val="24"/>
        </w:rPr>
        <w:t>Department</w:t>
      </w:r>
      <w:r>
        <w:rPr>
          <w:color w:val="231F20"/>
          <w:spacing w:val="-2"/>
          <w:sz w:val="24"/>
        </w:rPr>
        <w:t> </w:t>
      </w:r>
      <w:r>
        <w:rPr>
          <w:color w:val="231F20"/>
          <w:sz w:val="24"/>
        </w:rPr>
        <w:t>of</w:t>
      </w:r>
      <w:r>
        <w:rPr>
          <w:color w:val="231F20"/>
          <w:spacing w:val="-1"/>
          <w:sz w:val="24"/>
        </w:rPr>
        <w:t> </w:t>
      </w:r>
      <w:r>
        <w:rPr>
          <w:color w:val="231F20"/>
          <w:sz w:val="24"/>
        </w:rPr>
        <w:t>Veterans</w:t>
      </w:r>
      <w:r>
        <w:rPr>
          <w:color w:val="231F20"/>
          <w:spacing w:val="-3"/>
          <w:sz w:val="24"/>
        </w:rPr>
        <w:t> </w:t>
      </w:r>
      <w:r>
        <w:rPr>
          <w:color w:val="231F20"/>
          <w:sz w:val="24"/>
        </w:rPr>
        <w:t>Affairs</w:t>
      </w:r>
      <w:r>
        <w:rPr>
          <w:color w:val="231F20"/>
          <w:spacing w:val="-2"/>
          <w:sz w:val="24"/>
        </w:rPr>
        <w:t> </w:t>
      </w:r>
      <w:r>
        <w:rPr>
          <w:color w:val="231F20"/>
          <w:spacing w:val="-4"/>
          <w:sz w:val="24"/>
        </w:rPr>
        <w:t>(VA)</w:t>
      </w:r>
    </w:p>
    <w:p>
      <w:pPr>
        <w:pStyle w:val="BodyText"/>
        <w:spacing w:before="48"/>
      </w:pPr>
    </w:p>
    <w:p>
      <w:pPr>
        <w:pStyle w:val="BodyText"/>
        <w:tabs>
          <w:tab w:pos="4586" w:val="left" w:leader="none"/>
          <w:tab w:pos="8906" w:val="left" w:leader="none"/>
          <w:tab w:pos="11066" w:val="left" w:leader="none"/>
        </w:tabs>
        <w:ind w:left="100"/>
      </w:pPr>
      <w:r>
        <w:rPr>
          <w:color w:val="231F20"/>
        </w:rPr>
        <w:t>and </w:t>
      </w:r>
      <w:r>
        <w:rPr>
          <w:color w:val="231F20"/>
          <w:u w:val="single" w:color="221E1F"/>
        </w:rPr>
        <w:tab/>
      </w:r>
      <w:r>
        <w:rPr>
          <w:color w:val="231F20"/>
          <w:u w:val="none"/>
        </w:rPr>
        <w:t>, </w:t>
      </w:r>
      <w:r>
        <w:rPr>
          <w:color w:val="231F20"/>
          <w:u w:val="single" w:color="221E1F"/>
        </w:rPr>
        <w:tab/>
      </w:r>
      <w:r>
        <w:rPr>
          <w:color w:val="231F20"/>
          <w:u w:val="none"/>
        </w:rPr>
        <w:t> on </w:t>
      </w:r>
      <w:r>
        <w:rPr>
          <w:color w:val="231F20"/>
          <w:u w:val="single" w:color="221E1F"/>
        </w:rPr>
        <w:tab/>
      </w:r>
      <w:r>
        <w:rPr>
          <w:color w:val="231F20"/>
          <w:spacing w:val="-10"/>
          <w:u w:val="none"/>
        </w:rPr>
        <w:t>.</w:t>
      </w:r>
    </w:p>
    <w:p>
      <w:pPr>
        <w:tabs>
          <w:tab w:pos="5742" w:val="left" w:leader="none"/>
          <w:tab w:pos="9716" w:val="left" w:leader="none"/>
        </w:tabs>
        <w:spacing w:before="15"/>
        <w:ind w:left="1846" w:right="0" w:firstLine="0"/>
        <w:jc w:val="left"/>
        <w:rPr>
          <w:i/>
          <w:sz w:val="16"/>
        </w:rPr>
      </w:pPr>
      <w:r>
        <w:rPr>
          <w:i/>
          <w:color w:val="231F20"/>
          <w:sz w:val="16"/>
        </w:rPr>
        <w:t>(Name of </w:t>
      </w:r>
      <w:r>
        <w:rPr>
          <w:i/>
          <w:color w:val="231F20"/>
          <w:spacing w:val="-2"/>
          <w:sz w:val="16"/>
        </w:rPr>
        <w:t>Contractor)</w:t>
      </w:r>
      <w:r>
        <w:rPr>
          <w:i/>
          <w:color w:val="231F20"/>
          <w:sz w:val="16"/>
        </w:rPr>
        <w:tab/>
        <w:t>(Name of Contracting </w:t>
      </w:r>
      <w:r>
        <w:rPr>
          <w:i/>
          <w:color w:val="231F20"/>
          <w:spacing w:val="-2"/>
          <w:sz w:val="16"/>
        </w:rPr>
        <w:t>Company)</w:t>
      </w:r>
      <w:r>
        <w:rPr>
          <w:i/>
          <w:color w:val="231F20"/>
          <w:sz w:val="16"/>
        </w:rPr>
        <w:tab/>
      </w:r>
      <w:r>
        <w:rPr>
          <w:i/>
          <w:color w:val="231F20"/>
          <w:spacing w:val="-2"/>
          <w:sz w:val="16"/>
        </w:rPr>
        <w:t>(mm/dd/yyyy)</w:t>
      </w:r>
    </w:p>
    <w:p>
      <w:pPr>
        <w:pStyle w:val="BodyText"/>
        <w:tabs>
          <w:tab w:pos="11011" w:val="left" w:leader="none"/>
        </w:tabs>
        <w:spacing w:before="125"/>
        <w:ind w:left="100"/>
      </w:pPr>
      <w:r>
        <w:rPr>
          <w:color w:val="231F20"/>
        </w:rPr>
        <w:t>VA and the contractor have entered into a contract,</w:t>
      </w:r>
      <w:r>
        <w:rPr>
          <w:color w:val="231F20"/>
          <w:spacing w:val="75"/>
        </w:rPr>
        <w:t> </w:t>
      </w:r>
      <w:r>
        <w:rPr>
          <w:color w:val="231F20"/>
          <w:u w:val="single" w:color="221E1F"/>
        </w:rPr>
        <w:tab/>
      </w:r>
    </w:p>
    <w:p>
      <w:pPr>
        <w:spacing w:before="0"/>
        <w:ind w:left="6704" w:right="0" w:firstLine="0"/>
        <w:jc w:val="left"/>
        <w:rPr>
          <w:i/>
          <w:sz w:val="16"/>
        </w:rPr>
      </w:pPr>
      <w:r>
        <w:rPr>
          <w:i/>
          <w:color w:val="231F20"/>
          <w:sz w:val="16"/>
        </w:rPr>
        <w:t>(Enter identifying information on </w:t>
      </w:r>
      <w:r>
        <w:rPr>
          <w:i/>
          <w:color w:val="231F20"/>
          <w:spacing w:val="-2"/>
          <w:sz w:val="16"/>
        </w:rPr>
        <w:t>contract)</w:t>
      </w:r>
    </w:p>
    <w:p>
      <w:pPr>
        <w:pStyle w:val="BodyText"/>
        <w:spacing w:before="157"/>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292315</wp:posOffset>
                </wp:positionH>
                <wp:positionV relativeFrom="paragraph">
                  <wp:posOffset>261422</wp:posOffset>
                </wp:positionV>
                <wp:extent cx="69342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934200" cy="1270"/>
                        </a:xfrm>
                        <a:custGeom>
                          <a:avLst/>
                          <a:gdLst/>
                          <a:ahLst/>
                          <a:cxnLst/>
                          <a:rect l="l" t="t" r="r" b="b"/>
                          <a:pathLst>
                            <a:path w="6934200" h="0">
                              <a:moveTo>
                                <a:pt x="0" y="0"/>
                              </a:moveTo>
                              <a:lnTo>
                                <a:pt x="69342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23.017pt;margin-top:20.584421pt;width:546pt;height:.1pt;mso-position-horizontal-relative:page;mso-position-vertical-relative:paragraph;z-index:-15728128;mso-wrap-distance-left:0;mso-wrap-distance-right:0" id="docshape5" coordorigin="460,412" coordsize="10920,0" path="m460,412l11380,412e" filled="false" stroked="true" strokeweight=".48pt" strokecolor="#221e1f">
                <v:path arrowok="t"/>
                <v:stroke dashstyle="solid"/>
                <w10:wrap type="topAndBottom"/>
              </v:shape>
            </w:pict>
          </mc:Fallback>
        </mc:AlternateContent>
      </w:r>
    </w:p>
    <w:p>
      <w:pPr>
        <w:pStyle w:val="BodyText"/>
        <w:spacing w:before="48"/>
        <w:rPr>
          <w:i/>
        </w:rPr>
      </w:pPr>
    </w:p>
    <w:p>
      <w:pPr>
        <w:pStyle w:val="BodyText"/>
        <w:tabs>
          <w:tab w:pos="10972" w:val="left" w:leader="none"/>
        </w:tabs>
        <w:ind w:left="100"/>
      </w:pPr>
      <w:r>
        <w:rPr>
          <w:color w:val="231F20"/>
        </w:rPr>
        <w:t>under which the contractor will </w:t>
      </w:r>
      <w:r>
        <w:rPr>
          <w:color w:val="231F20"/>
          <w:u w:val="single" w:color="221E1F"/>
        </w:rPr>
        <w:tab/>
      </w:r>
    </w:p>
    <w:p>
      <w:pPr>
        <w:spacing w:before="12"/>
        <w:ind w:left="5656" w:right="0" w:firstLine="0"/>
        <w:jc w:val="left"/>
        <w:rPr>
          <w:i/>
          <w:sz w:val="16"/>
        </w:rPr>
      </w:pPr>
      <w:r>
        <w:rPr>
          <w:i/>
          <w:color w:val="231F20"/>
          <w:sz w:val="16"/>
        </w:rPr>
        <w:t>(Enter task that the contractor will </w:t>
      </w:r>
      <w:r>
        <w:rPr>
          <w:i/>
          <w:color w:val="231F20"/>
          <w:spacing w:val="-2"/>
          <w:sz w:val="16"/>
        </w:rPr>
        <w:t>perform)</w:t>
      </w:r>
    </w:p>
    <w:p>
      <w:pPr>
        <w:pStyle w:val="BodyText"/>
        <w:spacing w:before="145"/>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292315</wp:posOffset>
                </wp:positionH>
                <wp:positionV relativeFrom="paragraph">
                  <wp:posOffset>253531</wp:posOffset>
                </wp:positionV>
                <wp:extent cx="69342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934200" cy="1270"/>
                        </a:xfrm>
                        <a:custGeom>
                          <a:avLst/>
                          <a:gdLst/>
                          <a:ahLst/>
                          <a:cxnLst/>
                          <a:rect l="l" t="t" r="r" b="b"/>
                          <a:pathLst>
                            <a:path w="6934200" h="0">
                              <a:moveTo>
                                <a:pt x="0" y="0"/>
                              </a:moveTo>
                              <a:lnTo>
                                <a:pt x="69342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23.017pt;margin-top:19.963125pt;width:546pt;height:.1pt;mso-position-horizontal-relative:page;mso-position-vertical-relative:paragraph;z-index:-15727616;mso-wrap-distance-left:0;mso-wrap-distance-right:0" id="docshape6" coordorigin="460,399" coordsize="10920,0" path="m460,399l11380,399e" filled="false" stroked="true" strokeweight=".48pt" strokecolor="#221e1f">
                <v:path arrowok="t"/>
                <v:stroke dashstyle="solid"/>
                <w10:wrap type="topAndBottom"/>
              </v:shape>
            </w:pict>
          </mc:Fallback>
        </mc:AlternateContent>
      </w:r>
    </w:p>
    <w:p>
      <w:pPr>
        <w:pStyle w:val="BodyText"/>
        <w:rPr>
          <w:i/>
          <w:sz w:val="20"/>
        </w:rPr>
      </w:pPr>
    </w:p>
    <w:p>
      <w:pPr>
        <w:pStyle w:val="BodyText"/>
        <w:spacing w:before="111"/>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292315</wp:posOffset>
                </wp:positionH>
                <wp:positionV relativeFrom="paragraph">
                  <wp:posOffset>231914</wp:posOffset>
                </wp:positionV>
                <wp:extent cx="69342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934200" cy="1270"/>
                        </a:xfrm>
                        <a:custGeom>
                          <a:avLst/>
                          <a:gdLst/>
                          <a:ahLst/>
                          <a:cxnLst/>
                          <a:rect l="l" t="t" r="r" b="b"/>
                          <a:pathLst>
                            <a:path w="6934200" h="0">
                              <a:moveTo>
                                <a:pt x="0" y="0"/>
                              </a:moveTo>
                              <a:lnTo>
                                <a:pt x="69342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23.017pt;margin-top:18.260977pt;width:546pt;height:.1pt;mso-position-horizontal-relative:page;mso-position-vertical-relative:paragraph;z-index:-15727104;mso-wrap-distance-left:0;mso-wrap-distance-right:0" id="docshape7" coordorigin="460,365" coordsize="10920,0" path="m460,365l11380,365e" filled="false" stroked="true" strokeweight=".48pt" strokecolor="#221e1f">
                <v:path arrowok="t"/>
                <v:stroke dashstyle="solid"/>
                <w10:wrap type="topAndBottom"/>
              </v:shape>
            </w:pict>
          </mc:Fallback>
        </mc:AlternateContent>
      </w:r>
    </w:p>
    <w:p>
      <w:pPr>
        <w:pStyle w:val="BodyText"/>
        <w:spacing w:before="48"/>
        <w:rPr>
          <w:i/>
        </w:rPr>
      </w:pPr>
    </w:p>
    <w:p>
      <w:pPr>
        <w:tabs>
          <w:tab w:pos="10900" w:val="left" w:leader="none"/>
        </w:tabs>
        <w:spacing w:before="0"/>
        <w:ind w:left="100" w:right="0" w:firstLine="0"/>
        <w:jc w:val="left"/>
        <w:rPr>
          <w:sz w:val="24"/>
        </w:rPr>
      </w:pPr>
      <w:r>
        <w:rPr>
          <w:color w:val="231F20"/>
          <w:sz w:val="24"/>
          <w:u w:val="single" w:color="221E1F"/>
        </w:rPr>
        <w:tab/>
      </w:r>
      <w:r>
        <w:rPr>
          <w:color w:val="231F20"/>
          <w:spacing w:val="-10"/>
          <w:sz w:val="24"/>
          <w:u w:val="none"/>
        </w:rPr>
        <w:t>.</w:t>
      </w:r>
    </w:p>
    <w:p>
      <w:pPr>
        <w:pStyle w:val="ListParagraph"/>
        <w:numPr>
          <w:ilvl w:val="0"/>
          <w:numId w:val="1"/>
        </w:numPr>
        <w:tabs>
          <w:tab w:pos="100" w:val="left" w:leader="none"/>
          <w:tab w:pos="427" w:val="left" w:leader="none"/>
        </w:tabs>
        <w:spacing w:line="242" w:lineRule="auto" w:before="204" w:after="0"/>
        <w:ind w:left="100" w:right="385" w:hanging="1"/>
        <w:jc w:val="both"/>
        <w:rPr>
          <w:color w:val="231F20"/>
          <w:sz w:val="24"/>
        </w:rPr>
      </w:pPr>
      <w:r>
        <w:rPr>
          <w:color w:val="231F20"/>
          <w:sz w:val="24"/>
        </w:rPr>
        <w:t>In order to perform this contract, the contractor will need access to VA data, software, and computer systems</w:t>
      </w:r>
      <w:r>
        <w:rPr>
          <w:color w:val="231F20"/>
          <w:spacing w:val="40"/>
          <w:sz w:val="24"/>
        </w:rPr>
        <w:t> </w:t>
      </w:r>
      <w:r>
        <w:rPr>
          <w:color w:val="231F20"/>
          <w:sz w:val="24"/>
        </w:rPr>
        <w:t>either at a VA location, at the contractor's place of business, or both, in accordance with the contract.</w:t>
      </w:r>
    </w:p>
    <w:p>
      <w:pPr>
        <w:pStyle w:val="BodyText"/>
        <w:spacing w:before="7"/>
      </w:pPr>
    </w:p>
    <w:p>
      <w:pPr>
        <w:pStyle w:val="ListParagraph"/>
        <w:numPr>
          <w:ilvl w:val="0"/>
          <w:numId w:val="1"/>
        </w:numPr>
        <w:tabs>
          <w:tab w:pos="400" w:val="left" w:leader="none"/>
        </w:tabs>
        <w:spacing w:line="240" w:lineRule="auto" w:before="0" w:after="0"/>
        <w:ind w:left="400" w:right="0" w:hanging="300"/>
        <w:jc w:val="both"/>
        <w:rPr>
          <w:color w:val="231F20"/>
          <w:sz w:val="24"/>
        </w:rPr>
      </w:pPr>
      <w:r>
        <w:rPr>
          <w:color w:val="231F20"/>
          <w:sz w:val="24"/>
        </w:rPr>
        <w:t>By</w:t>
      </w:r>
      <w:r>
        <w:rPr>
          <w:color w:val="231F20"/>
          <w:spacing w:val="-5"/>
          <w:sz w:val="24"/>
        </w:rPr>
        <w:t> </w:t>
      </w:r>
      <w:r>
        <w:rPr>
          <w:color w:val="231F20"/>
          <w:sz w:val="24"/>
        </w:rPr>
        <w:t>signing</w:t>
      </w:r>
      <w:r>
        <w:rPr>
          <w:color w:val="231F20"/>
          <w:spacing w:val="-2"/>
          <w:sz w:val="24"/>
        </w:rPr>
        <w:t> </w:t>
      </w:r>
      <w:r>
        <w:rPr>
          <w:color w:val="231F20"/>
          <w:sz w:val="24"/>
        </w:rPr>
        <w:t>this</w:t>
      </w:r>
      <w:r>
        <w:rPr>
          <w:color w:val="231F20"/>
          <w:spacing w:val="-4"/>
          <w:sz w:val="24"/>
        </w:rPr>
        <w:t> </w:t>
      </w:r>
      <w:r>
        <w:rPr>
          <w:color w:val="231F20"/>
          <w:sz w:val="24"/>
        </w:rPr>
        <w:t>agreement,</w:t>
      </w:r>
      <w:r>
        <w:rPr>
          <w:color w:val="231F20"/>
          <w:spacing w:val="-2"/>
          <w:sz w:val="24"/>
        </w:rPr>
        <w:t> </w:t>
      </w:r>
      <w:r>
        <w:rPr>
          <w:color w:val="231F20"/>
          <w:sz w:val="24"/>
        </w:rPr>
        <w:t>the</w:t>
      </w:r>
      <w:r>
        <w:rPr>
          <w:color w:val="231F20"/>
          <w:spacing w:val="-3"/>
          <w:sz w:val="24"/>
        </w:rPr>
        <w:t> </w:t>
      </w:r>
      <w:r>
        <w:rPr>
          <w:color w:val="231F20"/>
          <w:sz w:val="24"/>
        </w:rPr>
        <w:t>contractor</w:t>
      </w:r>
      <w:r>
        <w:rPr>
          <w:color w:val="231F20"/>
          <w:spacing w:val="-2"/>
          <w:sz w:val="24"/>
        </w:rPr>
        <w:t> </w:t>
      </w:r>
      <w:r>
        <w:rPr>
          <w:color w:val="231F20"/>
          <w:sz w:val="24"/>
        </w:rPr>
        <w:t>acknowledges</w:t>
      </w:r>
      <w:r>
        <w:rPr>
          <w:color w:val="231F20"/>
          <w:spacing w:val="-3"/>
          <w:sz w:val="24"/>
        </w:rPr>
        <w:t> </w:t>
      </w:r>
      <w:r>
        <w:rPr>
          <w:color w:val="231F20"/>
          <w:sz w:val="24"/>
        </w:rPr>
        <w:t>and</w:t>
      </w:r>
      <w:r>
        <w:rPr>
          <w:color w:val="231F20"/>
          <w:spacing w:val="-3"/>
          <w:sz w:val="24"/>
        </w:rPr>
        <w:t> </w:t>
      </w:r>
      <w:r>
        <w:rPr>
          <w:color w:val="231F20"/>
          <w:sz w:val="24"/>
        </w:rPr>
        <w:t>understands</w:t>
      </w:r>
      <w:r>
        <w:rPr>
          <w:color w:val="231F20"/>
          <w:spacing w:val="-3"/>
          <w:sz w:val="24"/>
        </w:rPr>
        <w:t> </w:t>
      </w:r>
      <w:r>
        <w:rPr>
          <w:color w:val="231F20"/>
          <w:sz w:val="24"/>
        </w:rPr>
        <w:t>the</w:t>
      </w:r>
      <w:r>
        <w:rPr>
          <w:color w:val="231F20"/>
          <w:spacing w:val="-2"/>
          <w:sz w:val="24"/>
        </w:rPr>
        <w:t> following:</w:t>
      </w:r>
    </w:p>
    <w:p>
      <w:pPr>
        <w:pStyle w:val="BodyText"/>
        <w:spacing w:before="8"/>
      </w:pPr>
    </w:p>
    <w:p>
      <w:pPr>
        <w:pStyle w:val="ListParagraph"/>
        <w:numPr>
          <w:ilvl w:val="1"/>
          <w:numId w:val="1"/>
        </w:numPr>
        <w:tabs>
          <w:tab w:pos="423" w:val="left" w:leader="none"/>
        </w:tabs>
        <w:spacing w:line="242" w:lineRule="auto" w:before="0" w:after="0"/>
        <w:ind w:left="99" w:right="384" w:firstLine="0"/>
        <w:jc w:val="both"/>
        <w:rPr>
          <w:sz w:val="24"/>
        </w:rPr>
      </w:pPr>
      <w:r>
        <w:rPr>
          <w:color w:val="231F20"/>
          <w:sz w:val="24"/>
        </w:rPr>
        <w:t>The contractor and any subcontractor(s) shall presume that the VA computer systems and storage media that the contractor or subcontractor access have sensitive information and applications, the modification or</w:t>
      </w:r>
      <w:r>
        <w:rPr>
          <w:color w:val="231F20"/>
          <w:spacing w:val="40"/>
          <w:sz w:val="24"/>
        </w:rPr>
        <w:t> </w:t>
      </w:r>
      <w:r>
        <w:rPr>
          <w:color w:val="231F20"/>
          <w:sz w:val="24"/>
        </w:rPr>
        <w:t>disclosure of which could cause significant harm or embarrassment to VA beneficiaries and employees and to VA's ability to perform its mission.</w:t>
      </w:r>
      <w:r>
        <w:rPr>
          <w:color w:val="231F20"/>
          <w:spacing w:val="40"/>
          <w:sz w:val="24"/>
        </w:rPr>
        <w:t> </w:t>
      </w:r>
      <w:r>
        <w:rPr>
          <w:color w:val="231F20"/>
          <w:sz w:val="24"/>
        </w:rPr>
        <w:t>If the security requirements for accessing, handling, and storing VA data and systems are specified in the contract, the contractor will comply with the contractual security requirements.</w:t>
      </w:r>
      <w:r>
        <w:rPr>
          <w:color w:val="231F20"/>
          <w:spacing w:val="80"/>
          <w:sz w:val="24"/>
        </w:rPr>
        <w:t> </w:t>
      </w:r>
      <w:r>
        <w:rPr>
          <w:color w:val="231F20"/>
          <w:sz w:val="24"/>
        </w:rPr>
        <w:t>If the contract does not contain the requirements, the contractor will handle the VA property with the same degree of care, but no less than a reasonable degree of care, to prevent the unauthorized access, use, dissemination, publication, or destruction that the contractor uses to protect its own sensitive information and systems.</w:t>
      </w:r>
    </w:p>
    <w:p>
      <w:pPr>
        <w:pStyle w:val="BodyText"/>
        <w:spacing w:before="15"/>
      </w:pPr>
    </w:p>
    <w:p>
      <w:pPr>
        <w:pStyle w:val="ListParagraph"/>
        <w:numPr>
          <w:ilvl w:val="1"/>
          <w:numId w:val="1"/>
        </w:numPr>
        <w:tabs>
          <w:tab w:pos="100" w:val="left" w:leader="none"/>
          <w:tab w:pos="404" w:val="left" w:leader="none"/>
        </w:tabs>
        <w:spacing w:line="242" w:lineRule="auto" w:before="0" w:after="0"/>
        <w:ind w:left="100" w:right="384" w:hanging="1"/>
        <w:jc w:val="both"/>
        <w:rPr>
          <w:sz w:val="24"/>
        </w:rPr>
      </w:pPr>
      <w:r>
        <w:rPr>
          <w:color w:val="231F20"/>
          <w:sz w:val="24"/>
        </w:rPr>
        <w:t>Any VA information, software, applications, computer systems, and hardware accessed by the contractor in the performance of the contract remain the sole property of VA.</w:t>
      </w:r>
    </w:p>
    <w:p>
      <w:pPr>
        <w:pStyle w:val="BodyText"/>
        <w:spacing w:before="7"/>
      </w:pPr>
    </w:p>
    <w:p>
      <w:pPr>
        <w:pStyle w:val="ListParagraph"/>
        <w:numPr>
          <w:ilvl w:val="1"/>
          <w:numId w:val="1"/>
        </w:numPr>
        <w:tabs>
          <w:tab w:pos="425" w:val="left" w:leader="none"/>
        </w:tabs>
        <w:spacing w:line="242" w:lineRule="auto" w:before="0" w:after="0"/>
        <w:ind w:left="100" w:right="384" w:firstLine="0"/>
        <w:jc w:val="both"/>
        <w:rPr>
          <w:sz w:val="24"/>
        </w:rPr>
      </w:pPr>
      <w:r>
        <w:rPr>
          <w:color w:val="231F20"/>
          <w:sz w:val="24"/>
        </w:rPr>
        <w:t>To the extent that any software or applications on the VA systems are protected by copyright, the contractor agrees that it will not copy or disclose them without first obtaining VA's prior written authorization, which will be provided only where authorized under applicable copyright law.</w:t>
      </w:r>
    </w:p>
    <w:p>
      <w:pPr>
        <w:pStyle w:val="BodyText"/>
        <w:spacing w:before="8"/>
      </w:pPr>
    </w:p>
    <w:p>
      <w:pPr>
        <w:pStyle w:val="ListParagraph"/>
        <w:numPr>
          <w:ilvl w:val="1"/>
          <w:numId w:val="1"/>
        </w:numPr>
        <w:tabs>
          <w:tab w:pos="444" w:val="left" w:leader="none"/>
        </w:tabs>
        <w:spacing w:line="242" w:lineRule="auto" w:before="0" w:after="0"/>
        <w:ind w:left="100" w:right="384" w:firstLine="0"/>
        <w:jc w:val="both"/>
        <w:rPr>
          <w:sz w:val="24"/>
        </w:rPr>
      </w:pPr>
      <w:r>
        <w:rPr>
          <w:color w:val="231F20"/>
          <w:sz w:val="24"/>
        </w:rPr>
        <w:t>The contractor, the contractor's employees, and any subcontractor and subcontractor's employees will access the VA information, software, applications, computer systems, and hardware which VA provides, or provides access to, only to the extent necessary, and only for the purpose of performing the contract.</w:t>
      </w:r>
      <w:r>
        <w:rPr>
          <w:color w:val="231F20"/>
          <w:spacing w:val="40"/>
          <w:sz w:val="24"/>
        </w:rPr>
        <w:t> </w:t>
      </w:r>
      <w:r>
        <w:rPr>
          <w:color w:val="231F20"/>
          <w:sz w:val="24"/>
        </w:rPr>
        <w:t>The contractor will take reasonable steps to ensure that it will allow only those contractor and subcontractor employees who need to see the VA materials in order to perform the contract to do so.</w:t>
      </w:r>
      <w:r>
        <w:rPr>
          <w:color w:val="231F20"/>
          <w:spacing w:val="40"/>
          <w:sz w:val="24"/>
        </w:rPr>
        <w:t> </w:t>
      </w:r>
      <w:r>
        <w:rPr>
          <w:color w:val="231F20"/>
          <w:sz w:val="24"/>
        </w:rPr>
        <w:t>However, this agreement also applies to any other VA systems or data to which the contractor may have access to or be disclosed to the contractor.</w:t>
      </w:r>
    </w:p>
    <w:p>
      <w:pPr>
        <w:pStyle w:val="ListParagraph"/>
        <w:spacing w:after="0" w:line="242" w:lineRule="auto"/>
        <w:jc w:val="both"/>
        <w:rPr>
          <w:sz w:val="24"/>
        </w:rPr>
        <w:sectPr>
          <w:headerReference w:type="default" r:id="rId5"/>
          <w:footerReference w:type="default" r:id="rId6"/>
          <w:type w:val="continuous"/>
          <w:pgSz w:w="12240" w:h="15840"/>
          <w:pgMar w:header="480" w:footer="691" w:top="1540" w:bottom="880" w:left="360" w:right="360"/>
          <w:pgNumType w:start="1"/>
        </w:sectPr>
      </w:pPr>
    </w:p>
    <w:p>
      <w:pPr>
        <w:pStyle w:val="ListParagraph"/>
        <w:numPr>
          <w:ilvl w:val="1"/>
          <w:numId w:val="1"/>
        </w:numPr>
        <w:tabs>
          <w:tab w:pos="396" w:val="left" w:leader="none"/>
        </w:tabs>
        <w:spacing w:line="242" w:lineRule="auto" w:before="112" w:after="0"/>
        <w:ind w:left="88" w:right="396" w:firstLine="0"/>
        <w:jc w:val="both"/>
        <w:rPr>
          <w:sz w:val="24"/>
        </w:rPr>
      </w:pPr>
      <w:r>
        <w:rPr>
          <w:color w:val="231F20"/>
          <w:sz w:val="24"/>
        </w:rPr>
        <w:t>The contractor will not authorize anyone else to access, disclose, modify, or destroy the information, software or applications on the VA systems provided or accessed under this contract without VA's prior written </w:t>
      </w:r>
      <w:r>
        <w:rPr>
          <w:color w:val="231F20"/>
          <w:spacing w:val="-2"/>
          <w:sz w:val="24"/>
        </w:rPr>
        <w:t>authorization.</w:t>
      </w:r>
    </w:p>
    <w:p>
      <w:pPr>
        <w:pStyle w:val="BodyText"/>
        <w:spacing w:before="8"/>
      </w:pPr>
    </w:p>
    <w:p>
      <w:pPr>
        <w:pStyle w:val="ListParagraph"/>
        <w:numPr>
          <w:ilvl w:val="1"/>
          <w:numId w:val="1"/>
        </w:numPr>
        <w:tabs>
          <w:tab w:pos="413" w:val="left" w:leader="none"/>
        </w:tabs>
        <w:spacing w:line="242" w:lineRule="auto" w:before="0" w:after="0"/>
        <w:ind w:left="87" w:right="398" w:firstLine="0"/>
        <w:jc w:val="both"/>
        <w:rPr>
          <w:sz w:val="24"/>
        </w:rPr>
      </w:pPr>
      <w:r>
        <w:rPr>
          <w:color w:val="231F20"/>
          <w:sz w:val="24"/>
        </w:rPr>
        <w:t>The contractor and its employees shall not make any copies of any VA information, including software or applications that are not copyrighted, except as necessary to restore VA computer systems or data storage devices to an operating state.</w:t>
      </w:r>
      <w:r>
        <w:rPr>
          <w:color w:val="231F20"/>
          <w:spacing w:val="40"/>
          <w:sz w:val="24"/>
        </w:rPr>
        <w:t> </w:t>
      </w:r>
      <w:r>
        <w:rPr>
          <w:color w:val="231F20"/>
          <w:sz w:val="24"/>
        </w:rPr>
        <w:t>Any copies made by the contractor or subcontractor shall be identified as VA property and handled as sensitive information under this non-disclosure agreement.</w:t>
      </w:r>
    </w:p>
    <w:p>
      <w:pPr>
        <w:pStyle w:val="BodyText"/>
        <w:spacing w:before="9"/>
      </w:pPr>
    </w:p>
    <w:p>
      <w:pPr>
        <w:pStyle w:val="ListParagraph"/>
        <w:numPr>
          <w:ilvl w:val="1"/>
          <w:numId w:val="1"/>
        </w:numPr>
        <w:tabs>
          <w:tab w:pos="423" w:val="left" w:leader="none"/>
        </w:tabs>
        <w:spacing w:line="242" w:lineRule="auto" w:before="0" w:after="0"/>
        <w:ind w:left="87" w:right="396" w:firstLine="0"/>
        <w:jc w:val="both"/>
        <w:rPr>
          <w:sz w:val="24"/>
        </w:rPr>
      </w:pPr>
      <w:r>
        <w:rPr>
          <w:color w:val="231F20"/>
          <w:sz w:val="24"/>
        </w:rPr>
        <w:t>Any information that the contractor and its employees learns about VA data and VA computer systems shall not be recorded except to the extent necessary to perform the contract, and such information, whether recorded or not, shall be handled as sensitive information under this agreement.</w:t>
      </w:r>
      <w:r>
        <w:rPr>
          <w:color w:val="231F20"/>
          <w:spacing w:val="40"/>
          <w:sz w:val="24"/>
        </w:rPr>
        <w:t> </w:t>
      </w:r>
      <w:r>
        <w:rPr>
          <w:color w:val="231F20"/>
          <w:sz w:val="24"/>
        </w:rPr>
        <w:t>The contractor may not use or disclose it except as the contractor is permitted to use or disclose VA sensitive information under the contract and this nondisclosure agreement.</w:t>
      </w:r>
    </w:p>
    <w:p>
      <w:pPr>
        <w:pStyle w:val="BodyText"/>
        <w:spacing w:before="11"/>
      </w:pPr>
    </w:p>
    <w:p>
      <w:pPr>
        <w:pStyle w:val="ListParagraph"/>
        <w:numPr>
          <w:ilvl w:val="1"/>
          <w:numId w:val="1"/>
        </w:numPr>
        <w:tabs>
          <w:tab w:pos="395" w:val="left" w:leader="none"/>
        </w:tabs>
        <w:spacing w:line="242" w:lineRule="auto" w:before="0" w:after="0"/>
        <w:ind w:left="87" w:right="394" w:firstLine="0"/>
        <w:jc w:val="both"/>
        <w:rPr>
          <w:sz w:val="24"/>
        </w:rPr>
      </w:pPr>
      <w:r>
        <w:rPr>
          <w:color w:val="231F20"/>
          <w:sz w:val="24"/>
        </w:rPr>
        <w:t>The contractor may disclose VA sensitive information to persons other than in the performance of this contract as authorized by the contract and this agreement in only two situations:</w:t>
      </w:r>
      <w:r>
        <w:rPr>
          <w:color w:val="231F20"/>
          <w:spacing w:val="40"/>
          <w:sz w:val="24"/>
        </w:rPr>
        <w:t> </w:t>
      </w:r>
      <w:r>
        <w:rPr>
          <w:color w:val="231F20"/>
          <w:sz w:val="24"/>
        </w:rPr>
        <w:t>(1) pursuant to an order of a court of competent jurisdiction; or (2) with VA's prior written authorization.</w:t>
      </w:r>
      <w:r>
        <w:rPr>
          <w:color w:val="231F20"/>
          <w:spacing w:val="40"/>
          <w:sz w:val="24"/>
        </w:rPr>
        <w:t> </w:t>
      </w:r>
      <w:r>
        <w:rPr>
          <w:color w:val="231F20"/>
          <w:sz w:val="24"/>
        </w:rPr>
        <w:t>Prior to any disclosure pursuant to a court order, the contractor shall promptly notify VA of the court order and provide VA with a copy by fax or e-mail, whichever is faster, and notify by telephone the VA individual designated in advance to receive such notices.</w:t>
      </w:r>
      <w:r>
        <w:rPr>
          <w:color w:val="231F20"/>
          <w:spacing w:val="80"/>
          <w:sz w:val="24"/>
        </w:rPr>
        <w:t> </w:t>
      </w:r>
      <w:r>
        <w:rPr>
          <w:color w:val="231F20"/>
          <w:sz w:val="24"/>
        </w:rPr>
        <w:t>If the contractor cannot notify VA before being compelled to produce the information under court order, the contractor will notify VA of the disclosure</w:t>
      </w:r>
      <w:r>
        <w:rPr>
          <w:color w:val="231F20"/>
          <w:spacing w:val="40"/>
          <w:sz w:val="24"/>
        </w:rPr>
        <w:t> </w:t>
      </w:r>
      <w:r>
        <w:rPr>
          <w:color w:val="231F20"/>
          <w:sz w:val="24"/>
        </w:rPr>
        <w:t>as soon as practical.</w:t>
      </w:r>
      <w:r>
        <w:rPr>
          <w:color w:val="231F20"/>
          <w:spacing w:val="40"/>
          <w:sz w:val="24"/>
        </w:rPr>
        <w:t> </w:t>
      </w:r>
      <w:r>
        <w:rPr>
          <w:color w:val="231F20"/>
          <w:sz w:val="24"/>
        </w:rPr>
        <w:t>The notice under this provision will include the following information to the extent that the contractor knows it, if it does not show on the face of the court order: the records disclosed pursuant to the order, to whom, where, and when, for what purpose, and any other information that the contractor reasonably believes is relevant to the disclosure.</w:t>
      </w:r>
    </w:p>
    <w:p>
      <w:pPr>
        <w:pStyle w:val="BodyText"/>
        <w:spacing w:before="17"/>
      </w:pPr>
    </w:p>
    <w:p>
      <w:pPr>
        <w:pStyle w:val="ListParagraph"/>
        <w:numPr>
          <w:ilvl w:val="1"/>
          <w:numId w:val="1"/>
        </w:numPr>
        <w:tabs>
          <w:tab w:pos="361" w:val="left" w:leader="none"/>
        </w:tabs>
        <w:spacing w:line="242" w:lineRule="auto" w:before="1" w:after="0"/>
        <w:ind w:left="87" w:right="396" w:firstLine="1"/>
        <w:jc w:val="both"/>
        <w:rPr>
          <w:sz w:val="24"/>
        </w:rPr>
      </w:pPr>
      <w:r>
        <w:rPr>
          <w:color w:val="231F20"/>
          <w:sz w:val="24"/>
        </w:rPr>
        <w:t>The contractor will refer all requests or demands for production of , or access to, VA data and systems to VA for response.</w:t>
      </w:r>
      <w:r>
        <w:rPr>
          <w:color w:val="231F20"/>
          <w:spacing w:val="80"/>
          <w:sz w:val="24"/>
        </w:rPr>
        <w:t> </w:t>
      </w:r>
      <w:r>
        <w:rPr>
          <w:color w:val="231F20"/>
          <w:sz w:val="24"/>
        </w:rPr>
        <w:t>The contractor will immediately inform VA by telephone, fax and/or e-mail of any access, disclosure, disposition or destruction of VA data and systems not authorized under the contract or this agreement. To the extent known, the contractor will notify VA of the information disclosed, to whom, how when, the reason for the access, disclosure, disposition or destruction, and any other information that the contractor considers relevant.</w:t>
      </w:r>
      <w:r>
        <w:rPr>
          <w:color w:val="231F20"/>
          <w:spacing w:val="80"/>
          <w:sz w:val="24"/>
        </w:rPr>
        <w:t> </w:t>
      </w:r>
      <w:r>
        <w:rPr>
          <w:color w:val="231F20"/>
          <w:sz w:val="24"/>
        </w:rPr>
        <w:t>VA will provide the contractor with the name, title, telephone number, fax number, and e-mail address of the VA official whom the contractor will notify if the records are requested, sought under a court order, or if</w:t>
      </w:r>
      <w:r>
        <w:rPr>
          <w:color w:val="231F20"/>
          <w:spacing w:val="40"/>
          <w:sz w:val="24"/>
        </w:rPr>
        <w:t> </w:t>
      </w:r>
      <w:r>
        <w:rPr>
          <w:color w:val="231F20"/>
          <w:sz w:val="24"/>
        </w:rPr>
        <w:t>any unauthorized access, modification, disposition, or destruction of VA sensitive information or </w:t>
      </w:r>
      <w:r>
        <w:rPr>
          <w:color w:val="231F20"/>
          <w:sz w:val="24"/>
        </w:rPr>
        <w:t>computer systems occurs.</w:t>
      </w:r>
    </w:p>
    <w:p>
      <w:pPr>
        <w:pStyle w:val="BodyText"/>
        <w:spacing w:before="13"/>
      </w:pPr>
    </w:p>
    <w:p>
      <w:pPr>
        <w:pStyle w:val="ListParagraph"/>
        <w:numPr>
          <w:ilvl w:val="1"/>
          <w:numId w:val="1"/>
        </w:numPr>
        <w:tabs>
          <w:tab w:pos="355" w:val="left" w:leader="none"/>
        </w:tabs>
        <w:spacing w:line="242" w:lineRule="auto" w:before="0" w:after="0"/>
        <w:ind w:left="86" w:right="396" w:firstLine="1"/>
        <w:jc w:val="both"/>
        <w:rPr>
          <w:sz w:val="24"/>
        </w:rPr>
      </w:pPr>
      <w:r>
        <w:rPr>
          <w:color w:val="231F20"/>
          <w:sz w:val="24"/>
        </w:rPr>
        <w:t>The contractor, its employees, and its subcontractors and their employees will cooperate with VA and any law enforcement authority response for the investigation and prosecution of any possible criminal law violation(s) associated with any unauthorized access, disclosure, disposition, or destruction of VA property.</w:t>
      </w:r>
      <w:r>
        <w:rPr>
          <w:color w:val="231F20"/>
          <w:spacing w:val="40"/>
          <w:sz w:val="24"/>
        </w:rPr>
        <w:t> </w:t>
      </w:r>
      <w:r>
        <w:rPr>
          <w:color w:val="231F20"/>
          <w:sz w:val="24"/>
        </w:rPr>
        <w:t>The contractor will also cooperate with VA in any civil litigation</w:t>
      </w:r>
      <w:r>
        <w:rPr>
          <w:color w:val="231F20"/>
          <w:spacing w:val="40"/>
          <w:sz w:val="24"/>
        </w:rPr>
        <w:t> </w:t>
      </w:r>
      <w:r>
        <w:rPr>
          <w:color w:val="231F20"/>
          <w:sz w:val="24"/>
        </w:rPr>
        <w:t>to recover VA property, to obtain monetary or other compensation for a third party, or to obtain injunctive</w:t>
      </w:r>
      <w:r>
        <w:rPr>
          <w:color w:val="231F20"/>
          <w:spacing w:val="40"/>
          <w:sz w:val="24"/>
        </w:rPr>
        <w:t> </w:t>
      </w:r>
      <w:r>
        <w:rPr>
          <w:color w:val="231F20"/>
          <w:sz w:val="24"/>
        </w:rPr>
        <w:t>relief against any third party who accessed, modified, disclosed, or destroyed VA sensitive data and computer systems except as authorized under the contract or this </w:t>
      </w:r>
      <w:r>
        <w:rPr>
          <w:color w:val="231F20"/>
          <w:spacing w:val="-2"/>
          <w:sz w:val="24"/>
        </w:rPr>
        <w:t>agreement.</w:t>
      </w:r>
    </w:p>
    <w:p>
      <w:pPr>
        <w:pStyle w:val="ListParagraph"/>
        <w:spacing w:after="0" w:line="242" w:lineRule="auto"/>
        <w:jc w:val="both"/>
        <w:rPr>
          <w:sz w:val="24"/>
        </w:rPr>
        <w:sectPr>
          <w:pgSz w:w="12240" w:h="15840"/>
          <w:pgMar w:header="480" w:footer="691" w:top="1560" w:bottom="880" w:left="360" w:right="360"/>
        </w:sectPr>
      </w:pPr>
    </w:p>
    <w:p>
      <w:pPr>
        <w:pStyle w:val="ListParagraph"/>
        <w:numPr>
          <w:ilvl w:val="1"/>
          <w:numId w:val="1"/>
        </w:numPr>
        <w:tabs>
          <w:tab w:pos="100" w:val="left" w:leader="none"/>
          <w:tab w:pos="419" w:val="left" w:leader="none"/>
        </w:tabs>
        <w:spacing w:line="242" w:lineRule="auto" w:before="112" w:after="0"/>
        <w:ind w:left="100" w:right="384" w:hanging="1"/>
        <w:jc w:val="both"/>
        <w:rPr>
          <w:sz w:val="24"/>
        </w:rPr>
      </w:pPr>
      <w:r>
        <w:rPr>
          <w:color w:val="231F20"/>
          <w:sz w:val="24"/>
        </w:rPr>
        <w:t>Upon completion or termination of the contract for any reason, the contractor will immediately deliver all </w:t>
      </w:r>
      <w:r>
        <w:rPr>
          <w:color w:val="231F20"/>
          <w:sz w:val="24"/>
        </w:rPr>
        <w:t>VA records,</w:t>
      </w:r>
      <w:r>
        <w:rPr>
          <w:color w:val="231F20"/>
          <w:spacing w:val="-2"/>
          <w:sz w:val="24"/>
        </w:rPr>
        <w:t> </w:t>
      </w:r>
      <w:r>
        <w:rPr>
          <w:color w:val="231F20"/>
          <w:sz w:val="24"/>
        </w:rPr>
        <w:t>data,</w:t>
      </w:r>
      <w:r>
        <w:rPr>
          <w:color w:val="231F20"/>
          <w:spacing w:val="-2"/>
          <w:sz w:val="24"/>
        </w:rPr>
        <w:t> </w:t>
      </w:r>
      <w:r>
        <w:rPr>
          <w:color w:val="231F20"/>
          <w:sz w:val="24"/>
        </w:rPr>
        <w:t>copies</w:t>
      </w:r>
      <w:r>
        <w:rPr>
          <w:color w:val="231F20"/>
          <w:spacing w:val="-3"/>
          <w:sz w:val="24"/>
        </w:rPr>
        <w:t> </w:t>
      </w:r>
      <w:r>
        <w:rPr>
          <w:color w:val="231F20"/>
          <w:sz w:val="24"/>
        </w:rPr>
        <w:t>of</w:t>
      </w:r>
      <w:r>
        <w:rPr>
          <w:color w:val="231F20"/>
          <w:spacing w:val="-2"/>
          <w:sz w:val="24"/>
        </w:rPr>
        <w:t> </w:t>
      </w:r>
      <w:r>
        <w:rPr>
          <w:color w:val="231F20"/>
          <w:sz w:val="24"/>
        </w:rPr>
        <w:t>VA</w:t>
      </w:r>
      <w:r>
        <w:rPr>
          <w:color w:val="231F20"/>
          <w:spacing w:val="-3"/>
          <w:sz w:val="24"/>
        </w:rPr>
        <w:t> </w:t>
      </w:r>
      <w:r>
        <w:rPr>
          <w:color w:val="231F20"/>
          <w:sz w:val="24"/>
        </w:rPr>
        <w:t>records</w:t>
      </w:r>
      <w:r>
        <w:rPr>
          <w:color w:val="231F20"/>
          <w:spacing w:val="-3"/>
          <w:sz w:val="24"/>
        </w:rPr>
        <w:t> </w:t>
      </w:r>
      <w:r>
        <w:rPr>
          <w:color w:val="231F20"/>
          <w:sz w:val="24"/>
        </w:rPr>
        <w:t>and</w:t>
      </w:r>
      <w:r>
        <w:rPr>
          <w:color w:val="231F20"/>
          <w:spacing w:val="-2"/>
          <w:sz w:val="24"/>
        </w:rPr>
        <w:t> </w:t>
      </w:r>
      <w:r>
        <w:rPr>
          <w:color w:val="231F20"/>
          <w:sz w:val="24"/>
        </w:rPr>
        <w:t>data,</w:t>
      </w:r>
      <w:r>
        <w:rPr>
          <w:color w:val="231F20"/>
          <w:spacing w:val="-2"/>
          <w:sz w:val="24"/>
        </w:rPr>
        <w:t> </w:t>
      </w:r>
      <w:r>
        <w:rPr>
          <w:color w:val="231F20"/>
          <w:sz w:val="24"/>
        </w:rPr>
        <w:t>software</w:t>
      </w:r>
      <w:r>
        <w:rPr>
          <w:color w:val="231F20"/>
          <w:spacing w:val="-2"/>
          <w:sz w:val="24"/>
        </w:rPr>
        <w:t> </w:t>
      </w:r>
      <w:r>
        <w:rPr>
          <w:color w:val="231F20"/>
          <w:sz w:val="24"/>
        </w:rPr>
        <w:t>and</w:t>
      </w:r>
      <w:r>
        <w:rPr>
          <w:color w:val="231F20"/>
          <w:spacing w:val="-2"/>
          <w:sz w:val="24"/>
        </w:rPr>
        <w:t> </w:t>
      </w:r>
      <w:r>
        <w:rPr>
          <w:color w:val="231F20"/>
          <w:sz w:val="24"/>
        </w:rPr>
        <w:t>equipment,</w:t>
      </w:r>
      <w:r>
        <w:rPr>
          <w:color w:val="231F20"/>
          <w:spacing w:val="-2"/>
          <w:sz w:val="24"/>
        </w:rPr>
        <w:t> </w:t>
      </w:r>
      <w:r>
        <w:rPr>
          <w:color w:val="231F20"/>
          <w:sz w:val="24"/>
        </w:rPr>
        <w:t>and</w:t>
      </w:r>
      <w:r>
        <w:rPr>
          <w:color w:val="231F20"/>
          <w:spacing w:val="-2"/>
          <w:sz w:val="24"/>
        </w:rPr>
        <w:t> </w:t>
      </w:r>
      <w:r>
        <w:rPr>
          <w:color w:val="231F20"/>
          <w:sz w:val="24"/>
        </w:rPr>
        <w:t>information</w:t>
      </w:r>
      <w:r>
        <w:rPr>
          <w:color w:val="231F20"/>
          <w:spacing w:val="-2"/>
          <w:sz w:val="24"/>
        </w:rPr>
        <w:t> </w:t>
      </w:r>
      <w:r>
        <w:rPr>
          <w:color w:val="231F20"/>
          <w:sz w:val="24"/>
        </w:rPr>
        <w:t>about</w:t>
      </w:r>
      <w:r>
        <w:rPr>
          <w:color w:val="231F20"/>
          <w:spacing w:val="-2"/>
          <w:sz w:val="24"/>
        </w:rPr>
        <w:t> </w:t>
      </w:r>
      <w:r>
        <w:rPr>
          <w:color w:val="231F20"/>
          <w:sz w:val="24"/>
        </w:rPr>
        <w:t>VA</w:t>
      </w:r>
      <w:r>
        <w:rPr>
          <w:color w:val="231F20"/>
          <w:spacing w:val="-3"/>
          <w:sz w:val="24"/>
        </w:rPr>
        <w:t> </w:t>
      </w:r>
      <w:r>
        <w:rPr>
          <w:color w:val="231F20"/>
          <w:sz w:val="24"/>
        </w:rPr>
        <w:t>data</w:t>
      </w:r>
      <w:r>
        <w:rPr>
          <w:color w:val="231F20"/>
          <w:spacing w:val="-2"/>
          <w:sz w:val="24"/>
        </w:rPr>
        <w:t> </w:t>
      </w:r>
      <w:r>
        <w:rPr>
          <w:color w:val="231F20"/>
          <w:sz w:val="24"/>
        </w:rPr>
        <w:t>and</w:t>
      </w:r>
      <w:r>
        <w:rPr>
          <w:color w:val="231F20"/>
          <w:spacing w:val="-2"/>
          <w:sz w:val="24"/>
        </w:rPr>
        <w:t> </w:t>
      </w:r>
      <w:r>
        <w:rPr>
          <w:color w:val="231F20"/>
          <w:sz w:val="24"/>
        </w:rPr>
        <w:t>systems recorded or documented by the contractor, in its possession or the possession of any subcontractors, to the VA official designated in the contract or pursuant to this agreement.</w:t>
      </w:r>
      <w:r>
        <w:rPr>
          <w:color w:val="231F20"/>
          <w:spacing w:val="80"/>
          <w:sz w:val="24"/>
        </w:rPr>
        <w:t> </w:t>
      </w:r>
      <w:r>
        <w:rPr>
          <w:color w:val="231F20"/>
          <w:sz w:val="24"/>
        </w:rPr>
        <w:t>The contractor will not retain any copies of any of these documents.</w:t>
      </w:r>
    </w:p>
    <w:p>
      <w:pPr>
        <w:pStyle w:val="BodyText"/>
        <w:spacing w:before="10"/>
      </w:pPr>
    </w:p>
    <w:p>
      <w:pPr>
        <w:pStyle w:val="ListParagraph"/>
        <w:numPr>
          <w:ilvl w:val="1"/>
          <w:numId w:val="1"/>
        </w:numPr>
        <w:tabs>
          <w:tab w:pos="346" w:val="left" w:leader="none"/>
        </w:tabs>
        <w:spacing w:line="240" w:lineRule="auto" w:before="0" w:after="0"/>
        <w:ind w:left="346" w:right="0" w:hanging="246"/>
        <w:jc w:val="both"/>
        <w:rPr>
          <w:sz w:val="24"/>
        </w:rPr>
      </w:pPr>
      <w:r>
        <w:rPr>
          <w:color w:val="231F20"/>
          <w:sz w:val="24"/>
        </w:rPr>
        <w:t>All</w:t>
      </w:r>
      <w:r>
        <w:rPr>
          <w:color w:val="231F20"/>
          <w:spacing w:val="-2"/>
          <w:sz w:val="24"/>
        </w:rPr>
        <w:t> </w:t>
      </w:r>
      <w:r>
        <w:rPr>
          <w:color w:val="231F20"/>
          <w:sz w:val="24"/>
        </w:rPr>
        <w:t>additions</w:t>
      </w:r>
      <w:r>
        <w:rPr>
          <w:color w:val="231F20"/>
          <w:spacing w:val="-2"/>
          <w:sz w:val="24"/>
        </w:rPr>
        <w:t> </w:t>
      </w:r>
      <w:r>
        <w:rPr>
          <w:color w:val="231F20"/>
          <w:sz w:val="24"/>
        </w:rPr>
        <w:t>to,</w:t>
      </w:r>
      <w:r>
        <w:rPr>
          <w:color w:val="231F20"/>
          <w:spacing w:val="-2"/>
          <w:sz w:val="24"/>
        </w:rPr>
        <w:t> </w:t>
      </w:r>
      <w:r>
        <w:rPr>
          <w:color w:val="231F20"/>
          <w:sz w:val="24"/>
        </w:rPr>
        <w:t>or</w:t>
      </w:r>
      <w:r>
        <w:rPr>
          <w:color w:val="231F20"/>
          <w:spacing w:val="-1"/>
          <w:sz w:val="24"/>
        </w:rPr>
        <w:t> </w:t>
      </w:r>
      <w:r>
        <w:rPr>
          <w:color w:val="231F20"/>
          <w:sz w:val="24"/>
        </w:rPr>
        <w:t>modifications</w:t>
      </w:r>
      <w:r>
        <w:rPr>
          <w:color w:val="231F20"/>
          <w:spacing w:val="-3"/>
          <w:sz w:val="24"/>
        </w:rPr>
        <w:t> </w:t>
      </w:r>
      <w:r>
        <w:rPr>
          <w:color w:val="231F20"/>
          <w:sz w:val="24"/>
        </w:rPr>
        <w:t>of,</w:t>
      </w:r>
      <w:r>
        <w:rPr>
          <w:color w:val="231F20"/>
          <w:spacing w:val="-1"/>
          <w:sz w:val="24"/>
        </w:rPr>
        <w:t> </w:t>
      </w:r>
      <w:r>
        <w:rPr>
          <w:color w:val="231F20"/>
          <w:sz w:val="24"/>
        </w:rPr>
        <w:t>this</w:t>
      </w:r>
      <w:r>
        <w:rPr>
          <w:color w:val="231F20"/>
          <w:spacing w:val="-3"/>
          <w:sz w:val="24"/>
        </w:rPr>
        <w:t> </w:t>
      </w:r>
      <w:r>
        <w:rPr>
          <w:color w:val="231F20"/>
          <w:sz w:val="24"/>
        </w:rPr>
        <w:t>agreement</w:t>
      </w:r>
      <w:r>
        <w:rPr>
          <w:color w:val="231F20"/>
          <w:spacing w:val="-1"/>
          <w:sz w:val="24"/>
        </w:rPr>
        <w:t> </w:t>
      </w:r>
      <w:r>
        <w:rPr>
          <w:color w:val="231F20"/>
          <w:sz w:val="24"/>
        </w:rPr>
        <w:t>must</w:t>
      </w:r>
      <w:r>
        <w:rPr>
          <w:color w:val="231F20"/>
          <w:spacing w:val="-1"/>
          <w:sz w:val="24"/>
        </w:rPr>
        <w:t> </w:t>
      </w:r>
      <w:r>
        <w:rPr>
          <w:color w:val="231F20"/>
          <w:sz w:val="24"/>
        </w:rPr>
        <w:t>be</w:t>
      </w:r>
      <w:r>
        <w:rPr>
          <w:color w:val="231F20"/>
          <w:spacing w:val="-2"/>
          <w:sz w:val="24"/>
        </w:rPr>
        <w:t> </w:t>
      </w:r>
      <w:r>
        <w:rPr>
          <w:color w:val="231F20"/>
          <w:sz w:val="24"/>
        </w:rPr>
        <w:t>in</w:t>
      </w:r>
      <w:r>
        <w:rPr>
          <w:color w:val="231F20"/>
          <w:spacing w:val="-1"/>
          <w:sz w:val="24"/>
        </w:rPr>
        <w:t> </w:t>
      </w:r>
      <w:r>
        <w:rPr>
          <w:color w:val="231F20"/>
          <w:sz w:val="24"/>
        </w:rPr>
        <w:t>writing</w:t>
      </w:r>
      <w:r>
        <w:rPr>
          <w:color w:val="231F20"/>
          <w:spacing w:val="-2"/>
          <w:sz w:val="24"/>
        </w:rPr>
        <w:t> </w:t>
      </w:r>
      <w:r>
        <w:rPr>
          <w:color w:val="231F20"/>
          <w:sz w:val="24"/>
        </w:rPr>
        <w:t>and</w:t>
      </w:r>
      <w:r>
        <w:rPr>
          <w:color w:val="231F20"/>
          <w:spacing w:val="-1"/>
          <w:sz w:val="24"/>
        </w:rPr>
        <w:t> </w:t>
      </w:r>
      <w:r>
        <w:rPr>
          <w:color w:val="231F20"/>
          <w:sz w:val="24"/>
        </w:rPr>
        <w:t>signed</w:t>
      </w:r>
      <w:r>
        <w:rPr>
          <w:color w:val="231F20"/>
          <w:spacing w:val="-2"/>
          <w:sz w:val="24"/>
        </w:rPr>
        <w:t> </w:t>
      </w:r>
      <w:r>
        <w:rPr>
          <w:color w:val="231F20"/>
          <w:sz w:val="24"/>
        </w:rPr>
        <w:t>by</w:t>
      </w:r>
      <w:r>
        <w:rPr>
          <w:color w:val="231F20"/>
          <w:spacing w:val="-1"/>
          <w:sz w:val="24"/>
        </w:rPr>
        <w:t> </w:t>
      </w:r>
      <w:r>
        <w:rPr>
          <w:color w:val="231F20"/>
          <w:sz w:val="24"/>
        </w:rPr>
        <w:t>both</w:t>
      </w:r>
      <w:r>
        <w:rPr>
          <w:color w:val="231F20"/>
          <w:spacing w:val="-1"/>
          <w:sz w:val="24"/>
        </w:rPr>
        <w:t> </w:t>
      </w:r>
      <w:r>
        <w:rPr>
          <w:color w:val="231F20"/>
          <w:spacing w:val="-2"/>
          <w:sz w:val="24"/>
        </w:rPr>
        <w:t>parties.</w:t>
      </w:r>
    </w:p>
    <w:p>
      <w:pPr>
        <w:pStyle w:val="BodyText"/>
        <w:spacing w:before="8"/>
      </w:pPr>
    </w:p>
    <w:p>
      <w:pPr>
        <w:pStyle w:val="ListParagraph"/>
        <w:numPr>
          <w:ilvl w:val="1"/>
          <w:numId w:val="1"/>
        </w:numPr>
        <w:tabs>
          <w:tab w:pos="466" w:val="left" w:leader="none"/>
        </w:tabs>
        <w:spacing w:line="240" w:lineRule="auto" w:before="1" w:after="0"/>
        <w:ind w:left="466" w:right="0" w:hanging="366"/>
        <w:jc w:val="both"/>
        <w:rPr>
          <w:sz w:val="24"/>
        </w:rPr>
      </w:pPr>
      <w:r>
        <w:rPr>
          <w:color w:val="231F20"/>
          <w:sz w:val="24"/>
        </w:rPr>
        <w:t>This</w:t>
      </w:r>
      <w:r>
        <w:rPr>
          <w:color w:val="231F20"/>
          <w:spacing w:val="-2"/>
          <w:sz w:val="24"/>
        </w:rPr>
        <w:t> </w:t>
      </w:r>
      <w:r>
        <w:rPr>
          <w:color w:val="231F20"/>
          <w:sz w:val="24"/>
        </w:rPr>
        <w:t>agreement is</w:t>
      </w:r>
      <w:r>
        <w:rPr>
          <w:color w:val="231F20"/>
          <w:spacing w:val="-2"/>
          <w:sz w:val="24"/>
        </w:rPr>
        <w:t> </w:t>
      </w:r>
      <w:r>
        <w:rPr>
          <w:color w:val="231F20"/>
          <w:sz w:val="24"/>
        </w:rPr>
        <w:t>made under,</w:t>
      </w:r>
      <w:r>
        <w:rPr>
          <w:color w:val="231F20"/>
          <w:spacing w:val="-1"/>
          <w:sz w:val="24"/>
        </w:rPr>
        <w:t> </w:t>
      </w:r>
      <w:r>
        <w:rPr>
          <w:color w:val="231F20"/>
          <w:sz w:val="24"/>
        </w:rPr>
        <w:t>and shall</w:t>
      </w:r>
      <w:r>
        <w:rPr>
          <w:color w:val="231F20"/>
          <w:spacing w:val="-1"/>
          <w:sz w:val="24"/>
        </w:rPr>
        <w:t> </w:t>
      </w:r>
      <w:r>
        <w:rPr>
          <w:color w:val="231F20"/>
          <w:sz w:val="24"/>
        </w:rPr>
        <w:t>be governed</w:t>
      </w:r>
      <w:r>
        <w:rPr>
          <w:color w:val="231F20"/>
          <w:spacing w:val="-1"/>
          <w:sz w:val="24"/>
        </w:rPr>
        <w:t> </w:t>
      </w:r>
      <w:r>
        <w:rPr>
          <w:color w:val="231F20"/>
          <w:sz w:val="24"/>
        </w:rPr>
        <w:t>by, the</w:t>
      </w:r>
      <w:r>
        <w:rPr>
          <w:color w:val="231F20"/>
          <w:spacing w:val="-1"/>
          <w:sz w:val="24"/>
        </w:rPr>
        <w:t> </w:t>
      </w:r>
      <w:r>
        <w:rPr>
          <w:color w:val="231F20"/>
          <w:sz w:val="24"/>
        </w:rPr>
        <w:t>laws</w:t>
      </w:r>
      <w:r>
        <w:rPr>
          <w:color w:val="231F20"/>
          <w:spacing w:val="-1"/>
          <w:sz w:val="24"/>
        </w:rPr>
        <w:t> </w:t>
      </w:r>
      <w:r>
        <w:rPr>
          <w:color w:val="231F20"/>
          <w:sz w:val="24"/>
        </w:rPr>
        <w:t>of</w:t>
      </w:r>
      <w:r>
        <w:rPr>
          <w:color w:val="231F20"/>
          <w:spacing w:val="-1"/>
          <w:sz w:val="24"/>
        </w:rPr>
        <w:t> </w:t>
      </w:r>
      <w:r>
        <w:rPr>
          <w:color w:val="231F20"/>
          <w:sz w:val="24"/>
        </w:rPr>
        <w:t>the United </w:t>
      </w:r>
      <w:r>
        <w:rPr>
          <w:color w:val="231F20"/>
          <w:spacing w:val="-2"/>
          <w:sz w:val="24"/>
        </w:rPr>
        <w:t>States.</w:t>
      </w:r>
    </w:p>
    <w:p>
      <w:pPr>
        <w:pStyle w:val="BodyText"/>
        <w:spacing w:before="8"/>
      </w:pPr>
    </w:p>
    <w:p>
      <w:pPr>
        <w:pStyle w:val="Heading1"/>
        <w:numPr>
          <w:ilvl w:val="0"/>
          <w:numId w:val="1"/>
        </w:numPr>
        <w:tabs>
          <w:tab w:pos="398" w:val="left" w:leader="none"/>
        </w:tabs>
        <w:spacing w:line="240" w:lineRule="auto" w:before="0" w:after="0"/>
        <w:ind w:left="398" w:right="0" w:hanging="298"/>
        <w:jc w:val="both"/>
        <w:rPr>
          <w:color w:val="231F20"/>
        </w:rPr>
      </w:pPr>
      <w:r>
        <w:rPr>
          <w:color w:val="231F20"/>
          <w:spacing w:val="-2"/>
        </w:rPr>
        <w:t>SECURITY</w:t>
      </w:r>
    </w:p>
    <w:p>
      <w:pPr>
        <w:pStyle w:val="BodyText"/>
        <w:spacing w:before="8"/>
        <w:rPr>
          <w:b/>
        </w:rPr>
      </w:pPr>
    </w:p>
    <w:p>
      <w:pPr>
        <w:pStyle w:val="ListParagraph"/>
        <w:numPr>
          <w:ilvl w:val="1"/>
          <w:numId w:val="1"/>
        </w:numPr>
        <w:tabs>
          <w:tab w:pos="394" w:val="left" w:leader="none"/>
        </w:tabs>
        <w:spacing w:line="242" w:lineRule="auto" w:before="0" w:after="0"/>
        <w:ind w:left="100" w:right="384" w:firstLine="0"/>
        <w:jc w:val="both"/>
        <w:rPr>
          <w:sz w:val="24"/>
        </w:rPr>
      </w:pPr>
      <w:r>
        <w:rPr>
          <w:color w:val="231F20"/>
          <w:sz w:val="24"/>
        </w:rPr>
        <w:t>Contractor personnel performing work under this contract shall satisfy all requirements for appropriate security eligibility in dealing with access to sensitive information and information systems belonging to or being used on behalf of VA.</w:t>
      </w:r>
      <w:r>
        <w:rPr>
          <w:color w:val="231F20"/>
          <w:spacing w:val="40"/>
          <w:sz w:val="24"/>
        </w:rPr>
        <w:t> </w:t>
      </w:r>
      <w:r>
        <w:rPr>
          <w:color w:val="231F20"/>
          <w:sz w:val="24"/>
        </w:rPr>
        <w:t>To satisfy VA requirements, procedures defined in VA Directive &amp; Handbook 0710, Personnel Suitability and Security Program are required.</w:t>
      </w:r>
    </w:p>
    <w:p>
      <w:pPr>
        <w:pStyle w:val="BodyText"/>
        <w:spacing w:before="9"/>
      </w:pPr>
    </w:p>
    <w:p>
      <w:pPr>
        <w:pStyle w:val="ListParagraph"/>
        <w:numPr>
          <w:ilvl w:val="1"/>
          <w:numId w:val="1"/>
        </w:numPr>
        <w:tabs>
          <w:tab w:pos="491" w:val="left" w:leader="none"/>
        </w:tabs>
        <w:spacing w:line="242" w:lineRule="auto" w:before="1" w:after="0"/>
        <w:ind w:left="100" w:right="382" w:firstLine="0"/>
        <w:jc w:val="both"/>
        <w:rPr>
          <w:sz w:val="24"/>
        </w:rPr>
      </w:pPr>
      <w:r>
        <w:rPr>
          <w:color w:val="231F20"/>
          <w:sz w:val="24"/>
        </w:rPr>
        <w:t>The investigative history for contractor personnel working under this contract must be maintained in the databases of either the Office of Personnel Management (OPM) or the Defense Industrial Security Clearance Organization (DISCO).</w:t>
      </w:r>
      <w:r>
        <w:rPr>
          <w:color w:val="231F20"/>
          <w:spacing w:val="40"/>
          <w:sz w:val="24"/>
        </w:rPr>
        <w:t> </w:t>
      </w:r>
      <w:r>
        <w:rPr>
          <w:color w:val="231F20"/>
          <w:sz w:val="24"/>
        </w:rPr>
        <w:t>Should the contractor use a vendor other than OPM or Defense Security Service (DSS) to conduct investigations, the investigative company must be certified by OPM/DSS to conduct contractor </w:t>
      </w:r>
      <w:r>
        <w:rPr>
          <w:color w:val="231F20"/>
          <w:spacing w:val="-2"/>
          <w:sz w:val="24"/>
        </w:rPr>
        <w:t>investigations.</w:t>
      </w:r>
    </w:p>
    <w:p>
      <w:pPr>
        <w:pStyle w:val="BodyText"/>
        <w:spacing w:before="10"/>
      </w:pPr>
    </w:p>
    <w:p>
      <w:pPr>
        <w:pStyle w:val="ListParagraph"/>
        <w:numPr>
          <w:ilvl w:val="1"/>
          <w:numId w:val="1"/>
        </w:numPr>
        <w:tabs>
          <w:tab w:pos="386" w:val="left" w:leader="none"/>
        </w:tabs>
        <w:spacing w:line="242" w:lineRule="auto" w:before="0" w:after="0"/>
        <w:ind w:left="100" w:right="381" w:firstLine="0"/>
        <w:jc w:val="both"/>
        <w:rPr>
          <w:sz w:val="24"/>
        </w:rPr>
      </w:pPr>
      <w:r>
        <w:rPr>
          <w:color w:val="231F20"/>
          <w:sz w:val="24"/>
        </w:rPr>
        <w:t>All</w:t>
      </w:r>
      <w:r>
        <w:rPr>
          <w:color w:val="231F20"/>
          <w:spacing w:val="-2"/>
          <w:sz w:val="24"/>
        </w:rPr>
        <w:t> </w:t>
      </w:r>
      <w:r>
        <w:rPr>
          <w:color w:val="231F20"/>
          <w:sz w:val="24"/>
        </w:rPr>
        <w:t>costs</w:t>
      </w:r>
      <w:r>
        <w:rPr>
          <w:color w:val="231F20"/>
          <w:spacing w:val="-2"/>
          <w:sz w:val="24"/>
        </w:rPr>
        <w:t> </w:t>
      </w:r>
      <w:r>
        <w:rPr>
          <w:color w:val="231F20"/>
          <w:sz w:val="24"/>
        </w:rPr>
        <w:t>associated</w:t>
      </w:r>
      <w:r>
        <w:rPr>
          <w:color w:val="231F20"/>
          <w:spacing w:val="-2"/>
          <w:sz w:val="24"/>
        </w:rPr>
        <w:t> </w:t>
      </w:r>
      <w:r>
        <w:rPr>
          <w:color w:val="231F20"/>
          <w:sz w:val="24"/>
        </w:rPr>
        <w:t>with</w:t>
      </w:r>
      <w:r>
        <w:rPr>
          <w:color w:val="231F20"/>
          <w:spacing w:val="-2"/>
          <w:sz w:val="24"/>
        </w:rPr>
        <w:t> </w:t>
      </w:r>
      <w:r>
        <w:rPr>
          <w:color w:val="231F20"/>
          <w:sz w:val="24"/>
        </w:rPr>
        <w:t>obtaining</w:t>
      </w:r>
      <w:r>
        <w:rPr>
          <w:color w:val="231F20"/>
          <w:spacing w:val="-2"/>
          <w:sz w:val="24"/>
        </w:rPr>
        <w:t> </w:t>
      </w:r>
      <w:r>
        <w:rPr>
          <w:color w:val="231F20"/>
          <w:sz w:val="24"/>
        </w:rPr>
        <w:t>clearances</w:t>
      </w:r>
      <w:r>
        <w:rPr>
          <w:color w:val="231F20"/>
          <w:spacing w:val="-2"/>
          <w:sz w:val="24"/>
        </w:rPr>
        <w:t> </w:t>
      </w:r>
      <w:r>
        <w:rPr>
          <w:color w:val="231F20"/>
          <w:sz w:val="24"/>
        </w:rPr>
        <w:t>for</w:t>
      </w:r>
      <w:r>
        <w:rPr>
          <w:color w:val="231F20"/>
          <w:spacing w:val="-2"/>
          <w:sz w:val="24"/>
        </w:rPr>
        <w:t> </w:t>
      </w:r>
      <w:r>
        <w:rPr>
          <w:color w:val="231F20"/>
          <w:sz w:val="24"/>
        </w:rPr>
        <w:t>contractor</w:t>
      </w:r>
      <w:r>
        <w:rPr>
          <w:color w:val="231F20"/>
          <w:spacing w:val="-2"/>
          <w:sz w:val="24"/>
        </w:rPr>
        <w:t> </w:t>
      </w:r>
      <w:r>
        <w:rPr>
          <w:color w:val="231F20"/>
          <w:sz w:val="24"/>
        </w:rPr>
        <w:t>provided</w:t>
      </w:r>
      <w:r>
        <w:rPr>
          <w:color w:val="231F20"/>
          <w:spacing w:val="-2"/>
          <w:sz w:val="24"/>
        </w:rPr>
        <w:t> </w:t>
      </w:r>
      <w:r>
        <w:rPr>
          <w:color w:val="231F20"/>
          <w:sz w:val="24"/>
        </w:rPr>
        <w:t>personnel</w:t>
      </w:r>
      <w:r>
        <w:rPr>
          <w:color w:val="231F20"/>
          <w:spacing w:val="-2"/>
          <w:sz w:val="24"/>
        </w:rPr>
        <w:t> </w:t>
      </w:r>
      <w:r>
        <w:rPr>
          <w:color w:val="231F20"/>
          <w:sz w:val="24"/>
        </w:rPr>
        <w:t>will</w:t>
      </w:r>
      <w:r>
        <w:rPr>
          <w:color w:val="231F20"/>
          <w:spacing w:val="-2"/>
          <w:sz w:val="24"/>
        </w:rPr>
        <w:t> </w:t>
      </w:r>
      <w:r>
        <w:rPr>
          <w:color w:val="231F20"/>
          <w:sz w:val="24"/>
        </w:rPr>
        <w:t>be</w:t>
      </w:r>
      <w:r>
        <w:rPr>
          <w:color w:val="231F20"/>
          <w:spacing w:val="-2"/>
          <w:sz w:val="24"/>
        </w:rPr>
        <w:t> </w:t>
      </w:r>
      <w:r>
        <w:rPr>
          <w:color w:val="231F20"/>
          <w:sz w:val="24"/>
        </w:rPr>
        <w:t>the</w:t>
      </w:r>
      <w:r>
        <w:rPr>
          <w:color w:val="231F20"/>
          <w:spacing w:val="-2"/>
          <w:sz w:val="24"/>
        </w:rPr>
        <w:t> </w:t>
      </w:r>
      <w:r>
        <w:rPr>
          <w:color w:val="231F20"/>
          <w:sz w:val="24"/>
        </w:rPr>
        <w:t>responsibility</w:t>
      </w:r>
      <w:r>
        <w:rPr>
          <w:color w:val="231F20"/>
          <w:spacing w:val="-2"/>
          <w:sz w:val="24"/>
        </w:rPr>
        <w:t> </w:t>
      </w:r>
      <w:r>
        <w:rPr>
          <w:color w:val="231F20"/>
          <w:sz w:val="24"/>
        </w:rPr>
        <w:t>of</w:t>
      </w:r>
      <w:r>
        <w:rPr>
          <w:color w:val="231F20"/>
          <w:spacing w:val="-2"/>
          <w:sz w:val="24"/>
        </w:rPr>
        <w:t> </w:t>
      </w:r>
      <w:r>
        <w:rPr>
          <w:color w:val="231F20"/>
          <w:sz w:val="24"/>
        </w:rPr>
        <w:t>the contractor.</w:t>
      </w:r>
      <w:r>
        <w:rPr>
          <w:color w:val="231F20"/>
          <w:spacing w:val="40"/>
          <w:sz w:val="24"/>
        </w:rPr>
        <w:t> </w:t>
      </w:r>
      <w:r>
        <w:rPr>
          <w:color w:val="231F20"/>
          <w:sz w:val="24"/>
        </w:rPr>
        <w:t>Further, the contractor will be responsible for the actions of all individuals provided to work for VA under this contract.</w:t>
      </w:r>
      <w:r>
        <w:rPr>
          <w:color w:val="231F20"/>
          <w:spacing w:val="40"/>
          <w:sz w:val="24"/>
        </w:rPr>
        <w:t> </w:t>
      </w:r>
      <w:r>
        <w:rPr>
          <w:color w:val="231F20"/>
          <w:sz w:val="24"/>
        </w:rPr>
        <w:t>In the event that damages arise from work performed by contractor provided personnel, under the auspices of this contract, the contractor will be responsible for all resources necessary to remedy the incident.</w:t>
      </w:r>
    </w:p>
    <w:p>
      <w:pPr>
        <w:pStyle w:val="BodyText"/>
        <w:spacing w:before="10"/>
      </w:pPr>
    </w:p>
    <w:p>
      <w:pPr>
        <w:pStyle w:val="Heading1"/>
        <w:numPr>
          <w:ilvl w:val="0"/>
          <w:numId w:val="1"/>
        </w:numPr>
        <w:tabs>
          <w:tab w:pos="400" w:val="left" w:leader="none"/>
        </w:tabs>
        <w:spacing w:line="240" w:lineRule="auto" w:before="0" w:after="0"/>
        <w:ind w:left="400" w:right="0" w:hanging="300"/>
        <w:jc w:val="both"/>
        <w:rPr>
          <w:color w:val="231F20"/>
        </w:rPr>
      </w:pPr>
      <w:r>
        <w:rPr>
          <w:color w:val="231F20"/>
        </w:rPr>
        <w:t>SOFTWARE PROGRAM </w:t>
      </w:r>
      <w:r>
        <w:rPr>
          <w:color w:val="231F20"/>
          <w:spacing w:val="-2"/>
        </w:rPr>
        <w:t>INTEGRITY</w:t>
      </w:r>
    </w:p>
    <w:p>
      <w:pPr>
        <w:pStyle w:val="BodyText"/>
        <w:spacing w:before="8"/>
        <w:rPr>
          <w:b/>
        </w:rPr>
      </w:pPr>
    </w:p>
    <w:p>
      <w:pPr>
        <w:pStyle w:val="BodyText"/>
        <w:spacing w:line="242" w:lineRule="auto"/>
        <w:ind w:left="99" w:right="384" w:firstLine="1"/>
        <w:jc w:val="both"/>
      </w:pPr>
      <w:r>
        <w:rPr>
          <w:color w:val="231F20"/>
        </w:rPr>
        <w:t>The contractor warrants and represents that the contractor-supplied software, other than the key software, does not and will not contain any program routine, device, code, or instructions (including any code or instructions</w:t>
      </w:r>
      <w:r>
        <w:rPr>
          <w:color w:val="231F20"/>
          <w:spacing w:val="40"/>
        </w:rPr>
        <w:t> </w:t>
      </w:r>
      <w:r>
        <w:rPr>
          <w:color w:val="231F20"/>
        </w:rPr>
        <w:t>provided by third parties) or other undisclosed feature, including, without limitation, a time bomb, virus, software lock, drop-dead device, malicious logic, worm, Trojan horse, bug, error, defect, or trap door, that is capable of accessing, modifying, deleting, damaging, disabling, deactivating, interfering with</w:t>
      </w:r>
      <w:r>
        <w:rPr>
          <w:color w:val="231F20"/>
          <w:spacing w:val="40"/>
        </w:rPr>
        <w:t> </w:t>
      </w:r>
      <w:r>
        <w:rPr>
          <w:color w:val="231F20"/>
        </w:rPr>
        <w:t>or otherwise harming the contractor software, any computers, networks, data, or other electronically stored information, or computer programs or systems (collectively, "disabling procedures").</w:t>
      </w:r>
      <w:r>
        <w:rPr>
          <w:color w:val="231F20"/>
          <w:spacing w:val="80"/>
        </w:rPr>
        <w:t> </w:t>
      </w:r>
      <w:r>
        <w:rPr>
          <w:color w:val="231F20"/>
        </w:rPr>
        <w:t>Such representation and warranty applies regardless of whether such disabling procedures are authorized by the contractor to be included in the contractor software.</w:t>
      </w:r>
    </w:p>
    <w:p>
      <w:pPr>
        <w:pStyle w:val="BodyText"/>
        <w:spacing w:after="0" w:line="242" w:lineRule="auto"/>
        <w:jc w:val="both"/>
        <w:sectPr>
          <w:pgSz w:w="12240" w:h="15840"/>
          <w:pgMar w:header="480" w:footer="691" w:top="1540" w:bottom="900" w:left="360" w:right="360"/>
        </w:sectPr>
      </w:pPr>
    </w:p>
    <w:p>
      <w:pPr>
        <w:pStyle w:val="BodyText"/>
        <w:spacing w:line="242" w:lineRule="auto" w:before="112"/>
        <w:ind w:left="99" w:right="383"/>
        <w:jc w:val="both"/>
      </w:pPr>
      <w:r>
        <w:rPr>
          <w:color w:val="231F20"/>
        </w:rPr>
        <w:t>If the contractor incorporates into the contractor software programs or routines supplied by other vendors, licensors,</w:t>
      </w:r>
      <w:r>
        <w:rPr>
          <w:color w:val="231F20"/>
          <w:spacing w:val="-2"/>
        </w:rPr>
        <w:t> </w:t>
      </w:r>
      <w:r>
        <w:rPr>
          <w:color w:val="231F20"/>
        </w:rPr>
        <w:t>or</w:t>
      </w:r>
      <w:r>
        <w:rPr>
          <w:color w:val="231F20"/>
          <w:spacing w:val="-2"/>
        </w:rPr>
        <w:t> </w:t>
      </w:r>
      <w:r>
        <w:rPr>
          <w:color w:val="231F20"/>
        </w:rPr>
        <w:t>contractors</w:t>
      </w:r>
      <w:r>
        <w:rPr>
          <w:color w:val="231F20"/>
          <w:spacing w:val="-2"/>
        </w:rPr>
        <w:t> </w:t>
      </w:r>
      <w:r>
        <w:rPr>
          <w:color w:val="231F20"/>
        </w:rPr>
        <w:t>(other</w:t>
      </w:r>
      <w:r>
        <w:rPr>
          <w:color w:val="231F20"/>
          <w:spacing w:val="-2"/>
        </w:rPr>
        <w:t> </w:t>
      </w:r>
      <w:r>
        <w:rPr>
          <w:color w:val="231F20"/>
        </w:rPr>
        <w:t>than</w:t>
      </w:r>
      <w:r>
        <w:rPr>
          <w:color w:val="231F20"/>
          <w:spacing w:val="-2"/>
        </w:rPr>
        <w:t> </w:t>
      </w:r>
      <w:r>
        <w:rPr>
          <w:color w:val="231F20"/>
        </w:rPr>
        <w:t>the</w:t>
      </w:r>
      <w:r>
        <w:rPr>
          <w:color w:val="231F20"/>
          <w:spacing w:val="-1"/>
        </w:rPr>
        <w:t> </w:t>
      </w:r>
      <w:r>
        <w:rPr>
          <w:color w:val="231F20"/>
        </w:rPr>
        <w:t>key</w:t>
      </w:r>
      <w:r>
        <w:rPr>
          <w:color w:val="231F20"/>
          <w:spacing w:val="-2"/>
        </w:rPr>
        <w:t> </w:t>
      </w:r>
      <w:r>
        <w:rPr>
          <w:color w:val="231F20"/>
        </w:rPr>
        <w:t>software),</w:t>
      </w:r>
      <w:r>
        <w:rPr>
          <w:color w:val="231F20"/>
          <w:spacing w:val="-2"/>
        </w:rPr>
        <w:t> </w:t>
      </w:r>
      <w:r>
        <w:rPr>
          <w:color w:val="231F20"/>
        </w:rPr>
        <w:t>the</w:t>
      </w:r>
      <w:r>
        <w:rPr>
          <w:color w:val="231F20"/>
          <w:spacing w:val="-1"/>
        </w:rPr>
        <w:t> </w:t>
      </w:r>
      <w:r>
        <w:rPr>
          <w:color w:val="231F20"/>
        </w:rPr>
        <w:t>contractor</w:t>
      </w:r>
      <w:r>
        <w:rPr>
          <w:color w:val="231F20"/>
          <w:spacing w:val="-2"/>
        </w:rPr>
        <w:t> </w:t>
      </w:r>
      <w:r>
        <w:rPr>
          <w:color w:val="231F20"/>
        </w:rPr>
        <w:t>shall</w:t>
      </w:r>
      <w:r>
        <w:rPr>
          <w:color w:val="231F20"/>
          <w:spacing w:val="-1"/>
        </w:rPr>
        <w:t> </w:t>
      </w:r>
      <w:r>
        <w:rPr>
          <w:color w:val="231F20"/>
        </w:rPr>
        <w:t>obtain</w:t>
      </w:r>
      <w:r>
        <w:rPr>
          <w:color w:val="231F20"/>
          <w:spacing w:val="-2"/>
        </w:rPr>
        <w:t> </w:t>
      </w:r>
      <w:r>
        <w:rPr>
          <w:color w:val="231F20"/>
        </w:rPr>
        <w:t>comparable</w:t>
      </w:r>
      <w:r>
        <w:rPr>
          <w:color w:val="231F20"/>
          <w:spacing w:val="-1"/>
        </w:rPr>
        <w:t> </w:t>
      </w:r>
      <w:r>
        <w:rPr>
          <w:color w:val="231F20"/>
        </w:rPr>
        <w:t>warranties</w:t>
      </w:r>
      <w:r>
        <w:rPr>
          <w:color w:val="231F20"/>
          <w:spacing w:val="-2"/>
        </w:rPr>
        <w:t> </w:t>
      </w:r>
      <w:r>
        <w:rPr>
          <w:color w:val="231F20"/>
        </w:rPr>
        <w:t>from</w:t>
      </w:r>
      <w:r>
        <w:rPr>
          <w:color w:val="231F20"/>
          <w:spacing w:val="-1"/>
        </w:rPr>
        <w:t> </w:t>
      </w:r>
      <w:r>
        <w:rPr>
          <w:color w:val="231F20"/>
        </w:rPr>
        <w:t>such providers, or the contractor shall take appropriate action to ensure that such programs or routines are free of disabling procedures.</w:t>
      </w:r>
      <w:r>
        <w:rPr>
          <w:color w:val="231F20"/>
          <w:spacing w:val="40"/>
        </w:rPr>
        <w:t> </w:t>
      </w:r>
      <w:r>
        <w:rPr>
          <w:color w:val="231F20"/>
        </w:rPr>
        <w:t>Notwithstanding any other limitations in this agreement, the contractor agrees to notify VA immediately upon discovery of any disabling procedures that are or may be included in the contractor software.</w:t>
      </w:r>
      <w:r>
        <w:rPr>
          <w:color w:val="231F20"/>
          <w:spacing w:val="40"/>
        </w:rPr>
        <w:t> </w:t>
      </w:r>
      <w:r>
        <w:rPr>
          <w:color w:val="231F20"/>
        </w:rPr>
        <w:t>If disabling procedures are discovered or reasonably suspect to be present in the contractor software, the contractor, as its entire liability and VA's sole and exclusive remedy for the breach of the warranty in this section, agrees to take action immediately, at its own expense, to identify and eradicate (or to equip VA to identify and eradicate) such disabling procedures and carry out any recovery necessary to remedy any impact of such disabling </w:t>
      </w:r>
      <w:r>
        <w:rPr>
          <w:color w:val="231F20"/>
          <w:spacing w:val="-2"/>
        </w:rPr>
        <w:t>procedures.</w:t>
      </w:r>
    </w:p>
    <w:p>
      <w:pPr>
        <w:pStyle w:val="BodyText"/>
        <w:spacing w:before="17"/>
      </w:pPr>
    </w:p>
    <w:p>
      <w:pPr>
        <w:pStyle w:val="BodyText"/>
        <w:spacing w:line="242" w:lineRule="auto"/>
        <w:ind w:left="99" w:right="385" w:hanging="1"/>
        <w:jc w:val="both"/>
      </w:pPr>
      <w:r>
        <w:rPr>
          <w:color w:val="231F20"/>
        </w:rPr>
        <w:t>Federal Acquisition Regulation clause 52.246-18, Warranty of Supplies of a Complex Nature (May 2001), is hereby incorporated into VA Form 0752.</w:t>
      </w:r>
    </w:p>
    <w:p>
      <w:pPr>
        <w:pStyle w:val="BodyText"/>
        <w:spacing w:before="7"/>
      </w:pPr>
    </w:p>
    <w:p>
      <w:pPr>
        <w:pStyle w:val="ListParagraph"/>
        <w:numPr>
          <w:ilvl w:val="0"/>
          <w:numId w:val="2"/>
        </w:numPr>
        <w:tabs>
          <w:tab w:pos="557" w:val="left" w:leader="none"/>
        </w:tabs>
        <w:spacing w:line="242" w:lineRule="auto" w:before="0" w:after="0"/>
        <w:ind w:left="99" w:right="384" w:firstLine="0"/>
        <w:jc w:val="both"/>
        <w:rPr>
          <w:sz w:val="24"/>
        </w:rPr>
      </w:pPr>
      <w:r>
        <w:rPr>
          <w:color w:val="231F20"/>
          <w:sz w:val="24"/>
        </w:rPr>
        <w:t>Definitions.</w:t>
      </w:r>
      <w:r>
        <w:rPr>
          <w:color w:val="231F20"/>
          <w:spacing w:val="40"/>
          <w:sz w:val="24"/>
        </w:rPr>
        <w:t> </w:t>
      </w:r>
      <w:r>
        <w:rPr>
          <w:color w:val="231F20"/>
          <w:sz w:val="24"/>
        </w:rPr>
        <w:t>As used in this clause - "Acceptance"</w:t>
      </w:r>
      <w:r>
        <w:rPr>
          <w:color w:val="231F20"/>
          <w:spacing w:val="40"/>
          <w:sz w:val="24"/>
        </w:rPr>
        <w:t> </w:t>
      </w:r>
      <w:r>
        <w:rPr>
          <w:color w:val="231F20"/>
          <w:sz w:val="24"/>
        </w:rPr>
        <w:t>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w:pPr>
        <w:pStyle w:val="BodyText"/>
        <w:spacing w:before="8"/>
      </w:pPr>
    </w:p>
    <w:p>
      <w:pPr>
        <w:pStyle w:val="BodyText"/>
        <w:spacing w:line="242" w:lineRule="auto"/>
        <w:ind w:left="100" w:right="386"/>
        <w:jc w:val="both"/>
      </w:pPr>
      <w:r>
        <w:rPr>
          <w:color w:val="231F20"/>
        </w:rPr>
        <w:t>"Supplies" means the end items furnished by the Contractor and related services required under this contract.</w:t>
      </w:r>
      <w:r>
        <w:rPr>
          <w:color w:val="231F20"/>
          <w:spacing w:val="40"/>
        </w:rPr>
        <w:t> </w:t>
      </w:r>
      <w:r>
        <w:rPr>
          <w:color w:val="231F20"/>
        </w:rPr>
        <w:t>The word does not include "data."</w:t>
      </w:r>
    </w:p>
    <w:p>
      <w:pPr>
        <w:pStyle w:val="BodyText"/>
        <w:spacing w:before="5"/>
      </w:pPr>
    </w:p>
    <w:p>
      <w:pPr>
        <w:pStyle w:val="ListParagraph"/>
        <w:numPr>
          <w:ilvl w:val="0"/>
          <w:numId w:val="2"/>
        </w:numPr>
        <w:tabs>
          <w:tab w:pos="558" w:val="left" w:leader="none"/>
        </w:tabs>
        <w:spacing w:line="242" w:lineRule="auto" w:before="0" w:after="0"/>
        <w:ind w:left="97" w:right="384" w:firstLine="2"/>
        <w:jc w:val="both"/>
        <w:rPr>
          <w:sz w:val="24"/>
        </w:rPr>
      </w:pPr>
      <w:r>
        <w:rPr>
          <w:color w:val="231F20"/>
          <w:sz w:val="24"/>
        </w:rPr>
        <w:t>Contractor's obligations.</w:t>
      </w:r>
      <w:r>
        <w:rPr>
          <w:color w:val="231F20"/>
          <w:spacing w:val="40"/>
          <w:sz w:val="24"/>
        </w:rPr>
        <w:t> </w:t>
      </w:r>
      <w:r>
        <w:rPr>
          <w:color w:val="231F20"/>
          <w:sz w:val="24"/>
        </w:rPr>
        <w:t>(1)</w:t>
      </w:r>
      <w:r>
        <w:rPr>
          <w:color w:val="231F20"/>
          <w:spacing w:val="40"/>
          <w:sz w:val="24"/>
        </w:rPr>
        <w:t> </w:t>
      </w:r>
      <w:r>
        <w:rPr>
          <w:color w:val="231F20"/>
          <w:sz w:val="24"/>
        </w:rPr>
        <w:t>The Contractor warrants that for two years all supplies furnished under this contract will be free from defects in material and workmanship and will conform with all requirements of this contract; provided, however, that with respect to Government-furnished property, the Contractor's warranty shall extend only to its proper installation, unless the Contractor performs some modification or other work on the property, in which case the Contractor's warranty shall extend to the modification or other work.</w:t>
      </w:r>
      <w:r>
        <w:rPr>
          <w:color w:val="231F20"/>
          <w:spacing w:val="80"/>
          <w:sz w:val="24"/>
        </w:rPr>
        <w:t> </w:t>
      </w:r>
      <w:r>
        <w:rPr>
          <w:color w:val="231F20"/>
          <w:sz w:val="24"/>
        </w:rPr>
        <w:t>(2)</w:t>
      </w:r>
      <w:r>
        <w:rPr>
          <w:color w:val="231F20"/>
          <w:spacing w:val="80"/>
          <w:sz w:val="24"/>
        </w:rPr>
        <w:t> </w:t>
      </w:r>
      <w:r>
        <w:rPr>
          <w:color w:val="231F20"/>
          <w:sz w:val="24"/>
        </w:rPr>
        <w:t>Any</w:t>
      </w:r>
      <w:r>
        <w:rPr>
          <w:color w:val="231F20"/>
          <w:spacing w:val="40"/>
          <w:sz w:val="24"/>
        </w:rPr>
        <w:t> </w:t>
      </w:r>
      <w:r>
        <w:rPr>
          <w:color w:val="231F20"/>
          <w:sz w:val="24"/>
        </w:rPr>
        <w:t>supplies or parts thereof corrected or furnished in replacement shall be subject to the conditions of this clause to the same extent as supplies initially delivered.</w:t>
      </w:r>
      <w:r>
        <w:rPr>
          <w:color w:val="231F20"/>
          <w:spacing w:val="80"/>
          <w:sz w:val="24"/>
        </w:rPr>
        <w:t> </w:t>
      </w:r>
      <w:r>
        <w:rPr>
          <w:color w:val="231F20"/>
          <w:sz w:val="24"/>
        </w:rPr>
        <w:t>This warranty shall be equal in duration to that set forth in paragraph (b)(1)</w:t>
      </w:r>
      <w:r>
        <w:rPr>
          <w:color w:val="231F20"/>
          <w:spacing w:val="80"/>
          <w:sz w:val="24"/>
        </w:rPr>
        <w:t> </w:t>
      </w:r>
      <w:r>
        <w:rPr>
          <w:color w:val="231F20"/>
          <w:sz w:val="24"/>
        </w:rPr>
        <w:t>of this clause and shall run from the date of delivery of the corrected or replaced supplies.</w:t>
      </w:r>
      <w:r>
        <w:rPr>
          <w:color w:val="231F20"/>
          <w:spacing w:val="80"/>
          <w:sz w:val="24"/>
        </w:rPr>
        <w:t> </w:t>
      </w:r>
      <w:r>
        <w:rPr>
          <w:color w:val="231F20"/>
          <w:sz w:val="24"/>
        </w:rPr>
        <w:t>(3) The Contractor shall not be obligated to correct or replace supplies if the facilities, tooling, drawings, or other equipment or supplies necessary to accomplish the correction or replacement have been made unavailable to the Contractor by action of the Government.</w:t>
      </w:r>
      <w:r>
        <w:rPr>
          <w:color w:val="231F20"/>
          <w:spacing w:val="40"/>
          <w:sz w:val="24"/>
        </w:rPr>
        <w:t> </w:t>
      </w:r>
      <w:r>
        <w:rPr>
          <w:color w:val="231F20"/>
          <w:sz w:val="24"/>
        </w:rPr>
        <w:t>In the event that correction or replacement has been directed, the Contractor shall promptly notify the Contracting Officer, in writing, of the nonavailability.</w:t>
      </w:r>
      <w:r>
        <w:rPr>
          <w:color w:val="231F20"/>
          <w:spacing w:val="40"/>
          <w:sz w:val="24"/>
        </w:rPr>
        <w:t> </w:t>
      </w:r>
      <w:r>
        <w:rPr>
          <w:color w:val="231F20"/>
          <w:sz w:val="24"/>
        </w:rPr>
        <w:t>(4)</w:t>
      </w:r>
      <w:r>
        <w:rPr>
          <w:color w:val="231F20"/>
          <w:spacing w:val="40"/>
          <w:sz w:val="24"/>
        </w:rPr>
        <w:t> </w:t>
      </w:r>
      <w:r>
        <w:rPr>
          <w:color w:val="231F20"/>
          <w:sz w:val="24"/>
        </w:rPr>
        <w:t>The Contractor shall also prepare and furnish to the Government data and reports applicable to any correction required (including revision and updating of all affected data called for under this contract) at no increase in the contract price.</w:t>
      </w:r>
      <w:r>
        <w:rPr>
          <w:color w:val="231F20"/>
          <w:spacing w:val="80"/>
          <w:sz w:val="24"/>
        </w:rPr>
        <w:t> </w:t>
      </w:r>
      <w:r>
        <w:rPr>
          <w:color w:val="231F20"/>
          <w:sz w:val="24"/>
        </w:rPr>
        <w:t>(5) When supplies are returned to the Contractor, the Contractor shall bear the transportation costs from the place of delivery specified in the contract (irrespective of the f.o.b. point or the point of acceptance) to the Contractor's plant</w:t>
      </w:r>
      <w:r>
        <w:rPr>
          <w:color w:val="231F20"/>
          <w:spacing w:val="-2"/>
          <w:sz w:val="24"/>
        </w:rPr>
        <w:t> </w:t>
      </w:r>
      <w:r>
        <w:rPr>
          <w:color w:val="231F20"/>
          <w:sz w:val="24"/>
        </w:rPr>
        <w:t>and</w:t>
      </w:r>
      <w:r>
        <w:rPr>
          <w:color w:val="231F20"/>
          <w:spacing w:val="-2"/>
          <w:sz w:val="24"/>
        </w:rPr>
        <w:t> </w:t>
      </w:r>
      <w:r>
        <w:rPr>
          <w:color w:val="231F20"/>
          <w:sz w:val="24"/>
        </w:rPr>
        <w:t>return.</w:t>
      </w:r>
      <w:r>
        <w:rPr>
          <w:color w:val="231F20"/>
          <w:spacing w:val="40"/>
          <w:sz w:val="24"/>
        </w:rPr>
        <w:t> </w:t>
      </w:r>
      <w:r>
        <w:rPr>
          <w:color w:val="231F20"/>
          <w:sz w:val="24"/>
        </w:rPr>
        <w:t>(6)</w:t>
      </w:r>
      <w:r>
        <w:rPr>
          <w:color w:val="231F20"/>
          <w:spacing w:val="40"/>
          <w:sz w:val="24"/>
        </w:rPr>
        <w:t> </w:t>
      </w:r>
      <w:r>
        <w:rPr>
          <w:color w:val="231F20"/>
          <w:sz w:val="24"/>
        </w:rPr>
        <w:t>All</w:t>
      </w:r>
      <w:r>
        <w:rPr>
          <w:color w:val="231F20"/>
          <w:spacing w:val="-2"/>
          <w:sz w:val="24"/>
        </w:rPr>
        <w:t> </w:t>
      </w:r>
      <w:r>
        <w:rPr>
          <w:color w:val="231F20"/>
          <w:sz w:val="24"/>
        </w:rPr>
        <w:t>implied</w:t>
      </w:r>
      <w:r>
        <w:rPr>
          <w:color w:val="231F20"/>
          <w:spacing w:val="-2"/>
          <w:sz w:val="24"/>
        </w:rPr>
        <w:t> </w:t>
      </w:r>
      <w:r>
        <w:rPr>
          <w:color w:val="231F20"/>
          <w:sz w:val="24"/>
        </w:rPr>
        <w:t>warranties</w:t>
      </w:r>
      <w:r>
        <w:rPr>
          <w:color w:val="231F20"/>
          <w:spacing w:val="-2"/>
          <w:sz w:val="24"/>
        </w:rPr>
        <w:t> </w:t>
      </w:r>
      <w:r>
        <w:rPr>
          <w:color w:val="231F20"/>
          <w:sz w:val="24"/>
        </w:rPr>
        <w:t>of</w:t>
      </w:r>
      <w:r>
        <w:rPr>
          <w:color w:val="231F20"/>
          <w:spacing w:val="-2"/>
          <w:sz w:val="24"/>
        </w:rPr>
        <w:t> </w:t>
      </w:r>
      <w:r>
        <w:rPr>
          <w:color w:val="231F20"/>
          <w:sz w:val="24"/>
        </w:rPr>
        <w:t>merchant</w:t>
      </w:r>
      <w:r>
        <w:rPr>
          <w:color w:val="231F20"/>
          <w:spacing w:val="-2"/>
          <w:sz w:val="24"/>
        </w:rPr>
        <w:t> </w:t>
      </w:r>
      <w:r>
        <w:rPr>
          <w:color w:val="231F20"/>
          <w:sz w:val="24"/>
        </w:rPr>
        <w:t>ability</w:t>
      </w:r>
      <w:r>
        <w:rPr>
          <w:color w:val="231F20"/>
          <w:spacing w:val="-2"/>
          <w:sz w:val="24"/>
        </w:rPr>
        <w:t> </w:t>
      </w:r>
      <w:r>
        <w:rPr>
          <w:color w:val="231F20"/>
          <w:sz w:val="24"/>
        </w:rPr>
        <w:t>and</w:t>
      </w:r>
      <w:r>
        <w:rPr>
          <w:color w:val="231F20"/>
          <w:spacing w:val="-2"/>
          <w:sz w:val="24"/>
        </w:rPr>
        <w:t> </w:t>
      </w:r>
      <w:r>
        <w:rPr>
          <w:color w:val="231F20"/>
          <w:sz w:val="24"/>
        </w:rPr>
        <w:t>"fitness</w:t>
      </w:r>
      <w:r>
        <w:rPr>
          <w:color w:val="231F20"/>
          <w:spacing w:val="-2"/>
          <w:sz w:val="24"/>
        </w:rPr>
        <w:t> </w:t>
      </w:r>
      <w:r>
        <w:rPr>
          <w:color w:val="231F20"/>
          <w:sz w:val="24"/>
        </w:rPr>
        <w:t>for</w:t>
      </w:r>
      <w:r>
        <w:rPr>
          <w:color w:val="231F20"/>
          <w:spacing w:val="-2"/>
          <w:sz w:val="24"/>
        </w:rPr>
        <w:t> </w:t>
      </w:r>
      <w:r>
        <w:rPr>
          <w:color w:val="231F20"/>
          <w:sz w:val="24"/>
        </w:rPr>
        <w:t>a</w:t>
      </w:r>
      <w:r>
        <w:rPr>
          <w:color w:val="231F20"/>
          <w:spacing w:val="-2"/>
          <w:sz w:val="24"/>
        </w:rPr>
        <w:t> </w:t>
      </w:r>
      <w:r>
        <w:rPr>
          <w:color w:val="231F20"/>
          <w:sz w:val="24"/>
        </w:rPr>
        <w:t>particular</w:t>
      </w:r>
      <w:r>
        <w:rPr>
          <w:color w:val="231F20"/>
          <w:spacing w:val="-2"/>
          <w:sz w:val="24"/>
        </w:rPr>
        <w:t> </w:t>
      </w:r>
      <w:r>
        <w:rPr>
          <w:color w:val="231F20"/>
          <w:sz w:val="24"/>
        </w:rPr>
        <w:t>purpose"</w:t>
      </w:r>
      <w:r>
        <w:rPr>
          <w:color w:val="231F20"/>
          <w:spacing w:val="-2"/>
          <w:sz w:val="24"/>
        </w:rPr>
        <w:t> </w:t>
      </w:r>
      <w:r>
        <w:rPr>
          <w:color w:val="231F20"/>
          <w:sz w:val="24"/>
        </w:rPr>
        <w:t>are</w:t>
      </w:r>
      <w:r>
        <w:rPr>
          <w:color w:val="231F20"/>
          <w:spacing w:val="-2"/>
          <w:sz w:val="24"/>
        </w:rPr>
        <w:t> </w:t>
      </w:r>
      <w:r>
        <w:rPr>
          <w:color w:val="231F20"/>
          <w:sz w:val="24"/>
        </w:rPr>
        <w:t>excluded from any obligation contained in this contract.</w:t>
      </w:r>
      <w:r>
        <w:rPr>
          <w:color w:val="231F20"/>
          <w:spacing w:val="40"/>
          <w:sz w:val="24"/>
        </w:rPr>
        <w:t> </w:t>
      </w:r>
      <w:r>
        <w:rPr>
          <w:color w:val="231F20"/>
          <w:sz w:val="24"/>
        </w:rPr>
        <w:t>(c) Remedies available to the Government.</w:t>
      </w:r>
      <w:r>
        <w:rPr>
          <w:color w:val="231F20"/>
          <w:spacing w:val="40"/>
          <w:sz w:val="24"/>
        </w:rPr>
        <w:t> </w:t>
      </w:r>
      <w:r>
        <w:rPr>
          <w:color w:val="231F20"/>
          <w:sz w:val="24"/>
        </w:rPr>
        <w:t>(1) In the event of a breach of the Contractor's warranty in paragraph (b)(1) of this clause, the Government may, at no increase in contract price - (i) Require the Contractor, at the place of delivery specified in the contract (irrespective of the f.o. b. point or the point of acceptance) or at the Contractor's plant, to repair or replace, at the Contractor's election, defective or nonconforming suppies; or (ii) Require the Contractor to</w:t>
      </w:r>
      <w:r>
        <w:rPr>
          <w:color w:val="231F20"/>
          <w:spacing w:val="80"/>
          <w:sz w:val="24"/>
        </w:rPr>
        <w:t> </w:t>
      </w:r>
      <w:r>
        <w:rPr>
          <w:color w:val="231F20"/>
          <w:sz w:val="24"/>
        </w:rPr>
        <w:t>furnish at the</w:t>
      </w:r>
      <w:r>
        <w:rPr>
          <w:color w:val="231F20"/>
          <w:spacing w:val="80"/>
          <w:sz w:val="24"/>
        </w:rPr>
        <w:t> </w:t>
      </w:r>
      <w:r>
        <w:rPr>
          <w:color w:val="231F20"/>
          <w:sz w:val="24"/>
        </w:rPr>
        <w:t>Contractor's plant the materials or parts and installation instructions required to successfully accomplish the correction.</w:t>
      </w:r>
      <w:r>
        <w:rPr>
          <w:color w:val="231F20"/>
          <w:spacing w:val="40"/>
          <w:sz w:val="24"/>
        </w:rPr>
        <w:t> </w:t>
      </w:r>
      <w:r>
        <w:rPr>
          <w:color w:val="231F20"/>
          <w:sz w:val="24"/>
        </w:rPr>
        <w:t>(2)</w:t>
      </w:r>
      <w:r>
        <w:rPr>
          <w:color w:val="231F20"/>
          <w:spacing w:val="40"/>
          <w:sz w:val="24"/>
        </w:rPr>
        <w:t> </w:t>
      </w:r>
      <w:r>
        <w:rPr>
          <w:color w:val="231F20"/>
          <w:sz w:val="24"/>
        </w:rPr>
        <w:t>If the Contracting Officer does not require correction or replacment of defective or nonconforming supplies or the Contractor is not obligated to correct or replace under paragraph (b)(3) of this clause, the Government shall be entitled to an</w:t>
      </w:r>
    </w:p>
    <w:p>
      <w:pPr>
        <w:pStyle w:val="ListParagraph"/>
        <w:spacing w:after="0" w:line="242" w:lineRule="auto"/>
        <w:jc w:val="both"/>
        <w:rPr>
          <w:sz w:val="24"/>
        </w:rPr>
        <w:sectPr>
          <w:pgSz w:w="12240" w:h="15840"/>
          <w:pgMar w:header="480" w:footer="691" w:top="1560" w:bottom="880" w:left="360" w:right="360"/>
        </w:sectPr>
      </w:pPr>
    </w:p>
    <w:p>
      <w:pPr>
        <w:pStyle w:val="BodyText"/>
        <w:spacing w:line="242" w:lineRule="auto" w:before="112"/>
        <w:ind w:left="99" w:right="383" w:firstLine="1"/>
        <w:jc w:val="both"/>
      </w:pPr>
      <w:r>
        <w:rPr>
          <w:color w:val="231F20"/>
        </w:rPr>
        <w:t>equitable reduction in the contract price.</w:t>
      </w:r>
      <w:r>
        <w:rPr>
          <w:color w:val="231F20"/>
          <w:spacing w:val="40"/>
        </w:rPr>
        <w:t> </w:t>
      </w:r>
      <w:r>
        <w:rPr>
          <w:color w:val="231F20"/>
        </w:rPr>
        <w:t>(3)</w:t>
      </w:r>
      <w:r>
        <w:rPr>
          <w:color w:val="231F20"/>
          <w:spacing w:val="40"/>
        </w:rPr>
        <w:t> </w:t>
      </w:r>
      <w:r>
        <w:rPr>
          <w:color w:val="231F20"/>
        </w:rPr>
        <w:t>The Contracting Officer shall notify the Contractor in writing of any breach of the warranty in paragraph (b) of this clause within 45 days after discovery of the defect or intrusion.</w:t>
      </w:r>
      <w:r>
        <w:rPr>
          <w:color w:val="231F20"/>
          <w:spacing w:val="80"/>
          <w:w w:val="150"/>
        </w:rPr>
        <w:t> </w:t>
      </w:r>
      <w:r>
        <w:rPr>
          <w:color w:val="231F20"/>
        </w:rPr>
        <w:t>The Contractor shall submit to the Contracting Officer a written recommendation within 5 work days as to the corrective action required to remedy the breach.</w:t>
      </w:r>
      <w:r>
        <w:rPr>
          <w:color w:val="231F20"/>
          <w:spacing w:val="40"/>
        </w:rPr>
        <w:t> </w:t>
      </w:r>
      <w:r>
        <w:rPr>
          <w:color w:val="231F20"/>
        </w:rPr>
        <w:t>After the notice of breach, but not later than 10 work days after receipt of the Contractor's recommendation for corrective action, the Contracting Officer may, in writing, direct correction or replacement as in paragraph (c)(1) of this clause, and the Contractor shall, notwithstanding any disagreement regarding the existence of a breach of warranty, comply with this direction.</w:t>
      </w:r>
      <w:r>
        <w:rPr>
          <w:color w:val="231F20"/>
          <w:spacing w:val="40"/>
        </w:rPr>
        <w:t> </w:t>
      </w:r>
      <w:r>
        <w:rPr>
          <w:color w:val="231F20"/>
        </w:rPr>
        <w:t>If it is later determined that the Contractor did not breach the warranty in paragraph (b)(1)</w:t>
      </w:r>
      <w:r>
        <w:rPr>
          <w:color w:val="231F20"/>
          <w:spacing w:val="40"/>
        </w:rPr>
        <w:t> </w:t>
      </w:r>
      <w:r>
        <w:rPr>
          <w:color w:val="231F20"/>
        </w:rPr>
        <w:t>of this clause, the contract price will be equitably adjusted.</w:t>
      </w:r>
      <w:r>
        <w:rPr>
          <w:color w:val="231F20"/>
          <w:spacing w:val="40"/>
        </w:rPr>
        <w:t> </w:t>
      </w:r>
      <w:r>
        <w:rPr>
          <w:color w:val="231F20"/>
        </w:rPr>
        <w:t>(4)</w:t>
      </w:r>
      <w:r>
        <w:rPr>
          <w:color w:val="231F20"/>
          <w:spacing w:val="40"/>
        </w:rPr>
        <w:t> </w:t>
      </w:r>
      <w:r>
        <w:rPr>
          <w:color w:val="231F20"/>
        </w:rPr>
        <w:t>If supplies are corrected or replaced, the period for notification of a breach of the Contractor's warranty in paragraph (c)(3) of this clause shall be two years from the furnishing or return by the Contractor to the Government of the corrected or replaced supplies or parts thereof, or, if correction or</w:t>
      </w:r>
      <w:r>
        <w:rPr>
          <w:color w:val="231F20"/>
          <w:spacing w:val="40"/>
        </w:rPr>
        <w:t> </w:t>
      </w:r>
      <w:r>
        <w:rPr>
          <w:color w:val="231F20"/>
        </w:rPr>
        <w:t>replacement is effect by the Contractor at a Government or other activity, for two years thereafter.</w:t>
      </w:r>
      <w:r>
        <w:rPr>
          <w:color w:val="231F20"/>
          <w:spacing w:val="40"/>
        </w:rPr>
        <w:t> </w:t>
      </w:r>
      <w:r>
        <w:rPr>
          <w:color w:val="231F20"/>
        </w:rPr>
        <w:t>(5)</w:t>
      </w:r>
      <w:r>
        <w:rPr>
          <w:color w:val="231F20"/>
          <w:spacing w:val="40"/>
        </w:rPr>
        <w:t> </w:t>
      </w:r>
      <w:r>
        <w:rPr>
          <w:color w:val="231F20"/>
        </w:rPr>
        <w:t>The rights and remedies of the Government provided in this clause are in addition to and do not limit any rights afforded to the Government by any other clause of the contract.</w:t>
      </w:r>
    </w:p>
    <w:p>
      <w:pPr>
        <w:pStyle w:val="BodyText"/>
        <w:rPr>
          <w:sz w:val="20"/>
        </w:rPr>
      </w:pPr>
    </w:p>
    <w:p>
      <w:pPr>
        <w:pStyle w:val="BodyText"/>
        <w:spacing w:before="194"/>
        <w:rPr>
          <w:sz w:val="20"/>
        </w:rPr>
      </w:pPr>
    </w:p>
    <w:tbl>
      <w:tblPr>
        <w:tblW w:w="0" w:type="auto"/>
        <w:jc w:val="left"/>
        <w:tblInd w:w="91"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744"/>
        <w:gridCol w:w="1728"/>
        <w:gridCol w:w="3888"/>
        <w:gridCol w:w="1728"/>
      </w:tblGrid>
      <w:tr>
        <w:trPr>
          <w:trHeight w:val="460" w:hRule="atLeast"/>
        </w:trPr>
        <w:tc>
          <w:tcPr>
            <w:tcW w:w="5472" w:type="dxa"/>
            <w:gridSpan w:val="2"/>
            <w:tcBorders>
              <w:bottom w:val="single" w:sz="4" w:space="0" w:color="231F20"/>
              <w:right w:val="single" w:sz="4" w:space="0" w:color="231F20"/>
            </w:tcBorders>
          </w:tcPr>
          <w:p>
            <w:pPr>
              <w:pStyle w:val="TableParagraph"/>
              <w:spacing w:before="95"/>
              <w:ind w:left="837"/>
              <w:rPr>
                <w:b/>
                <w:sz w:val="20"/>
              </w:rPr>
            </w:pPr>
            <w:r>
              <w:rPr>
                <w:b/>
                <w:color w:val="231F20"/>
                <w:sz w:val="20"/>
              </w:rPr>
              <w:t>DEPARTMENT OF VETERANS </w:t>
            </w:r>
            <w:r>
              <w:rPr>
                <w:b/>
                <w:color w:val="231F20"/>
                <w:spacing w:val="-2"/>
                <w:sz w:val="20"/>
              </w:rPr>
              <w:t>AFFAIRS</w:t>
            </w:r>
          </w:p>
        </w:tc>
        <w:tc>
          <w:tcPr>
            <w:tcW w:w="5616" w:type="dxa"/>
            <w:gridSpan w:val="2"/>
            <w:tcBorders>
              <w:left w:val="single" w:sz="4" w:space="0" w:color="231F20"/>
              <w:bottom w:val="single" w:sz="4" w:space="0" w:color="231F20"/>
            </w:tcBorders>
          </w:tcPr>
          <w:p>
            <w:pPr>
              <w:pStyle w:val="TableParagraph"/>
              <w:spacing w:before="95"/>
              <w:ind w:left="43"/>
              <w:jc w:val="center"/>
              <w:rPr>
                <w:b/>
                <w:sz w:val="20"/>
              </w:rPr>
            </w:pPr>
            <w:r>
              <w:rPr>
                <w:b/>
                <w:color w:val="231F20"/>
                <w:spacing w:val="-2"/>
                <w:sz w:val="20"/>
              </w:rPr>
              <w:t>CONTRACTOR</w:t>
            </w:r>
          </w:p>
        </w:tc>
      </w:tr>
      <w:tr>
        <w:trPr>
          <w:trHeight w:val="830" w:hRule="atLeast"/>
        </w:trPr>
        <w:tc>
          <w:tcPr>
            <w:tcW w:w="3744" w:type="dxa"/>
            <w:tcBorders>
              <w:top w:val="single" w:sz="4" w:space="0" w:color="231F20"/>
              <w:bottom w:val="single" w:sz="4" w:space="0" w:color="231F20"/>
              <w:right w:val="single" w:sz="4" w:space="0" w:color="231F20"/>
            </w:tcBorders>
          </w:tcPr>
          <w:p>
            <w:pPr>
              <w:pStyle w:val="TableParagraph"/>
              <w:ind w:left="47"/>
              <w:rPr>
                <w:sz w:val="14"/>
              </w:rPr>
            </w:pPr>
            <w:r>
              <w:rPr>
                <w:color w:val="231F20"/>
                <w:spacing w:val="-2"/>
                <w:sz w:val="14"/>
              </w:rPr>
              <w:t>SIGNATURE</w:t>
            </w:r>
          </w:p>
        </w:tc>
        <w:tc>
          <w:tcPr>
            <w:tcW w:w="1728" w:type="dxa"/>
            <w:tcBorders>
              <w:top w:val="single" w:sz="4" w:space="0" w:color="231F20"/>
              <w:left w:val="single" w:sz="4" w:space="0" w:color="231F20"/>
              <w:bottom w:val="single" w:sz="4" w:space="0" w:color="231F20"/>
              <w:right w:val="single" w:sz="4" w:space="0" w:color="231F20"/>
            </w:tcBorders>
          </w:tcPr>
          <w:p>
            <w:pPr>
              <w:pStyle w:val="TableParagraph"/>
              <w:rPr>
                <w:sz w:val="14"/>
              </w:rPr>
            </w:pPr>
            <w:r>
              <w:rPr>
                <w:color w:val="231F20"/>
                <w:spacing w:val="-4"/>
                <w:sz w:val="14"/>
              </w:rPr>
              <w:t>DATE</w:t>
            </w:r>
          </w:p>
        </w:tc>
        <w:tc>
          <w:tcPr>
            <w:tcW w:w="3888" w:type="dxa"/>
            <w:tcBorders>
              <w:top w:val="single" w:sz="4" w:space="0" w:color="231F20"/>
              <w:left w:val="single" w:sz="4" w:space="0" w:color="231F20"/>
              <w:bottom w:val="single" w:sz="4" w:space="0" w:color="231F20"/>
              <w:right w:val="single" w:sz="4" w:space="0" w:color="231F20"/>
            </w:tcBorders>
          </w:tcPr>
          <w:p>
            <w:pPr>
              <w:pStyle w:val="TableParagraph"/>
              <w:rPr>
                <w:sz w:val="14"/>
              </w:rPr>
            </w:pPr>
            <w:r>
              <w:rPr>
                <w:color w:val="231F20"/>
                <w:spacing w:val="-2"/>
                <w:sz w:val="14"/>
              </w:rPr>
              <w:t>SIGNATURE</w:t>
            </w:r>
          </w:p>
        </w:tc>
        <w:tc>
          <w:tcPr>
            <w:tcW w:w="1728" w:type="dxa"/>
            <w:tcBorders>
              <w:top w:val="single" w:sz="4" w:space="0" w:color="231F20"/>
              <w:left w:val="single" w:sz="4" w:space="0" w:color="231F20"/>
              <w:bottom w:val="single" w:sz="4" w:space="0" w:color="231F20"/>
            </w:tcBorders>
          </w:tcPr>
          <w:p>
            <w:pPr>
              <w:pStyle w:val="TableParagraph"/>
              <w:ind w:left="57"/>
              <w:rPr>
                <w:sz w:val="14"/>
              </w:rPr>
            </w:pPr>
            <w:r>
              <w:rPr>
                <w:color w:val="231F20"/>
                <w:spacing w:val="-4"/>
                <w:sz w:val="14"/>
              </w:rPr>
              <w:t>DATE</w:t>
            </w:r>
          </w:p>
        </w:tc>
      </w:tr>
      <w:tr>
        <w:trPr>
          <w:trHeight w:val="829" w:hRule="atLeast"/>
        </w:trPr>
        <w:tc>
          <w:tcPr>
            <w:tcW w:w="5472" w:type="dxa"/>
            <w:gridSpan w:val="2"/>
            <w:tcBorders>
              <w:top w:val="single" w:sz="4" w:space="0" w:color="231F20"/>
              <w:bottom w:val="single" w:sz="4" w:space="0" w:color="231F20"/>
              <w:right w:val="single" w:sz="4" w:space="0" w:color="231F20"/>
            </w:tcBorders>
          </w:tcPr>
          <w:p>
            <w:pPr>
              <w:pStyle w:val="TableParagraph"/>
              <w:spacing w:before="14"/>
              <w:ind w:left="47"/>
              <w:rPr>
                <w:sz w:val="14"/>
              </w:rPr>
            </w:pPr>
            <w:r>
              <w:rPr>
                <w:color w:val="231F20"/>
                <w:sz w:val="14"/>
              </w:rPr>
              <w:t>PRINT </w:t>
            </w:r>
            <w:r>
              <w:rPr>
                <w:color w:val="231F20"/>
                <w:spacing w:val="-4"/>
                <w:sz w:val="14"/>
              </w:rPr>
              <w:t>NAME</w:t>
            </w:r>
          </w:p>
        </w:tc>
        <w:tc>
          <w:tcPr>
            <w:tcW w:w="5616" w:type="dxa"/>
            <w:gridSpan w:val="2"/>
            <w:tcBorders>
              <w:top w:val="single" w:sz="4" w:space="0" w:color="231F20"/>
              <w:left w:val="single" w:sz="4" w:space="0" w:color="231F20"/>
              <w:bottom w:val="single" w:sz="4" w:space="0" w:color="231F20"/>
            </w:tcBorders>
          </w:tcPr>
          <w:p>
            <w:pPr>
              <w:pStyle w:val="TableParagraph"/>
              <w:spacing w:before="14"/>
              <w:rPr>
                <w:sz w:val="14"/>
              </w:rPr>
            </w:pPr>
            <w:r>
              <w:rPr>
                <w:color w:val="231F20"/>
                <w:sz w:val="14"/>
              </w:rPr>
              <w:t>PRINT </w:t>
            </w:r>
            <w:r>
              <w:rPr>
                <w:color w:val="231F20"/>
                <w:spacing w:val="-4"/>
                <w:sz w:val="14"/>
              </w:rPr>
              <w:t>NAME</w:t>
            </w:r>
          </w:p>
        </w:tc>
      </w:tr>
      <w:tr>
        <w:trPr>
          <w:trHeight w:val="820" w:hRule="atLeast"/>
        </w:trPr>
        <w:tc>
          <w:tcPr>
            <w:tcW w:w="5472" w:type="dxa"/>
            <w:gridSpan w:val="2"/>
            <w:tcBorders>
              <w:top w:val="single" w:sz="4" w:space="0" w:color="231F20"/>
              <w:right w:val="single" w:sz="4" w:space="0" w:color="231F20"/>
            </w:tcBorders>
          </w:tcPr>
          <w:p>
            <w:pPr>
              <w:pStyle w:val="TableParagraph"/>
              <w:spacing w:before="22"/>
              <w:ind w:left="47"/>
              <w:rPr>
                <w:sz w:val="14"/>
              </w:rPr>
            </w:pPr>
            <w:r>
              <w:rPr>
                <w:color w:val="231F20"/>
                <w:sz w:val="14"/>
              </w:rPr>
              <w:t>PRINT </w:t>
            </w:r>
            <w:r>
              <w:rPr>
                <w:color w:val="231F20"/>
                <w:spacing w:val="-2"/>
                <w:sz w:val="14"/>
              </w:rPr>
              <w:t>TITLE</w:t>
            </w:r>
          </w:p>
        </w:tc>
        <w:tc>
          <w:tcPr>
            <w:tcW w:w="5616" w:type="dxa"/>
            <w:gridSpan w:val="2"/>
            <w:tcBorders>
              <w:top w:val="single" w:sz="4" w:space="0" w:color="231F20"/>
              <w:left w:val="single" w:sz="4" w:space="0" w:color="231F20"/>
            </w:tcBorders>
          </w:tcPr>
          <w:p>
            <w:pPr>
              <w:pStyle w:val="TableParagraph"/>
              <w:spacing w:before="22"/>
              <w:rPr>
                <w:sz w:val="14"/>
              </w:rPr>
            </w:pPr>
            <w:r>
              <w:rPr>
                <w:color w:val="231F20"/>
                <w:sz w:val="14"/>
              </w:rPr>
              <w:t>PRINT </w:t>
            </w:r>
            <w:r>
              <w:rPr>
                <w:color w:val="231F20"/>
                <w:spacing w:val="-2"/>
                <w:sz w:val="14"/>
              </w:rPr>
              <w:t>TITLE</w:t>
            </w:r>
          </w:p>
        </w:tc>
      </w:tr>
    </w:tbl>
    <w:sectPr>
      <w:pgSz w:w="12240" w:h="15840"/>
      <w:pgMar w:header="480" w:footer="691" w:top="1560" w:bottom="8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9776">
              <wp:simplePos x="0" y="0"/>
              <wp:positionH relativeFrom="page">
                <wp:posOffset>274320</wp:posOffset>
              </wp:positionH>
              <wp:positionV relativeFrom="page">
                <wp:posOffset>9448774</wp:posOffset>
              </wp:positionV>
              <wp:extent cx="722439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224395" cy="1270"/>
                      </a:xfrm>
                      <a:custGeom>
                        <a:avLst/>
                        <a:gdLst/>
                        <a:ahLst/>
                        <a:cxnLst/>
                        <a:rect l="l" t="t" r="r" b="b"/>
                        <a:pathLst>
                          <a:path w="7224395" h="0">
                            <a:moveTo>
                              <a:pt x="7223772" y="0"/>
                            </a:moveTo>
                            <a:lnTo>
                              <a:pt x="0" y="0"/>
                            </a:lnTo>
                          </a:path>
                        </a:pathLst>
                      </a:custGeom>
                      <a:ln w="1371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6704" from="590.401pt,743.997986pt" to="21.6pt,743.997986pt" stroked="true" strokeweight="1.08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500288">
              <wp:simplePos x="0" y="0"/>
              <wp:positionH relativeFrom="page">
                <wp:posOffset>3487667</wp:posOffset>
              </wp:positionH>
              <wp:positionV relativeFrom="page">
                <wp:posOffset>9451512</wp:posOffset>
              </wp:positionV>
              <wp:extent cx="569595" cy="125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69595" cy="125095"/>
                      </a:xfrm>
                      <a:prstGeom prst="rect">
                        <a:avLst/>
                      </a:prstGeom>
                    </wps:spPr>
                    <wps:txbx>
                      <w:txbxContent>
                        <w:p>
                          <w:pPr>
                            <w:spacing w:before="15"/>
                            <w:ind w:left="20" w:right="0" w:firstLine="0"/>
                            <w:jc w:val="left"/>
                            <w:rPr>
                              <w:rFonts w:ascii="Arial"/>
                              <w:sz w:val="14"/>
                            </w:rPr>
                          </w:pPr>
                          <w:r>
                            <w:rPr>
                              <w:rFonts w:ascii="Arial"/>
                              <w:color w:val="231F20"/>
                              <w:sz w:val="14"/>
                            </w:rPr>
                            <w:t>PAGE </w:t>
                          </w:r>
                          <w:r>
                            <w:rPr>
                              <w:rFonts w:ascii="Arial"/>
                              <w:color w:val="231F20"/>
                              <w:sz w:val="14"/>
                            </w:rPr>
                            <w:fldChar w:fldCharType="begin"/>
                          </w:r>
                          <w:r>
                            <w:rPr>
                              <w:rFonts w:ascii="Arial"/>
                              <w:color w:val="231F20"/>
                              <w:sz w:val="14"/>
                            </w:rPr>
                            <w:instrText> PAGE </w:instrText>
                          </w:r>
                          <w:r>
                            <w:rPr>
                              <w:rFonts w:ascii="Arial"/>
                              <w:color w:val="231F20"/>
                              <w:sz w:val="14"/>
                            </w:rPr>
                            <w:fldChar w:fldCharType="separate"/>
                          </w:r>
                          <w:r>
                            <w:rPr>
                              <w:rFonts w:ascii="Arial"/>
                              <w:color w:val="231F20"/>
                              <w:sz w:val="14"/>
                            </w:rPr>
                            <w:t>2</w:t>
                          </w:r>
                          <w:r>
                            <w:rPr>
                              <w:rFonts w:ascii="Arial"/>
                              <w:color w:val="231F20"/>
                              <w:sz w:val="14"/>
                            </w:rPr>
                            <w:fldChar w:fldCharType="end"/>
                          </w:r>
                          <w:r>
                            <w:rPr>
                              <w:rFonts w:ascii="Arial"/>
                              <w:color w:val="231F20"/>
                              <w:sz w:val="14"/>
                            </w:rPr>
                            <w:t> OF </w:t>
                          </w:r>
                          <w:r>
                            <w:rPr>
                              <w:rFonts w:ascii="Arial"/>
                              <w:color w:val="231F20"/>
                              <w:spacing w:val="-10"/>
                              <w:sz w:val="14"/>
                            </w:rPr>
                            <w:fldChar w:fldCharType="begin"/>
                          </w:r>
                          <w:r>
                            <w:rPr>
                              <w:rFonts w:ascii="Arial"/>
                              <w:color w:val="231F20"/>
                              <w:spacing w:val="-10"/>
                              <w:sz w:val="14"/>
                            </w:rPr>
                            <w:instrText> NUMPAGES </w:instrText>
                          </w:r>
                          <w:r>
                            <w:rPr>
                              <w:rFonts w:ascii="Arial"/>
                              <w:color w:val="231F20"/>
                              <w:spacing w:val="-10"/>
                              <w:sz w:val="14"/>
                            </w:rPr>
                            <w:fldChar w:fldCharType="separate"/>
                          </w:r>
                          <w:r>
                            <w:rPr>
                              <w:rFonts w:ascii="Arial"/>
                              <w:color w:val="231F20"/>
                              <w:spacing w:val="-10"/>
                              <w:sz w:val="14"/>
                            </w:rPr>
                            <w:t>5</w:t>
                          </w:r>
                          <w:r>
                            <w:rPr>
                              <w:rFonts w:ascii="Arial"/>
                              <w:color w:val="231F20"/>
                              <w:spacing w:val="-10"/>
                              <w:sz w:val="14"/>
                            </w:rPr>
                            <w:fldChar w:fldCharType="end"/>
                          </w:r>
                        </w:p>
                      </w:txbxContent>
                    </wps:txbx>
                    <wps:bodyPr wrap="square" lIns="0" tIns="0" rIns="0" bIns="0" rtlCol="0">
                      <a:noAutofit/>
                    </wps:bodyPr>
                  </wps:wsp>
                </a:graphicData>
              </a:graphic>
            </wp:anchor>
          </w:drawing>
        </mc:Choice>
        <mc:Fallback>
          <w:pict>
            <v:shape style="position:absolute;margin-left:274.619507pt;margin-top:744.213562pt;width:44.85pt;height:9.85pt;mso-position-horizontal-relative:page;mso-position-vertical-relative:page;z-index:-15816192" type="#_x0000_t202" id="docshape2" filled="false" stroked="false">
              <v:textbox inset="0,0,0,0">
                <w:txbxContent>
                  <w:p>
                    <w:pPr>
                      <w:spacing w:before="15"/>
                      <w:ind w:left="20" w:right="0" w:firstLine="0"/>
                      <w:jc w:val="left"/>
                      <w:rPr>
                        <w:rFonts w:ascii="Arial"/>
                        <w:sz w:val="14"/>
                      </w:rPr>
                    </w:pPr>
                    <w:r>
                      <w:rPr>
                        <w:rFonts w:ascii="Arial"/>
                        <w:color w:val="231F20"/>
                        <w:sz w:val="14"/>
                      </w:rPr>
                      <w:t>PAGE </w:t>
                    </w:r>
                    <w:r>
                      <w:rPr>
                        <w:rFonts w:ascii="Arial"/>
                        <w:color w:val="231F20"/>
                        <w:sz w:val="14"/>
                      </w:rPr>
                      <w:fldChar w:fldCharType="begin"/>
                    </w:r>
                    <w:r>
                      <w:rPr>
                        <w:rFonts w:ascii="Arial"/>
                        <w:color w:val="231F20"/>
                        <w:sz w:val="14"/>
                      </w:rPr>
                      <w:instrText> PAGE </w:instrText>
                    </w:r>
                    <w:r>
                      <w:rPr>
                        <w:rFonts w:ascii="Arial"/>
                        <w:color w:val="231F20"/>
                        <w:sz w:val="14"/>
                      </w:rPr>
                      <w:fldChar w:fldCharType="separate"/>
                    </w:r>
                    <w:r>
                      <w:rPr>
                        <w:rFonts w:ascii="Arial"/>
                        <w:color w:val="231F20"/>
                        <w:sz w:val="14"/>
                      </w:rPr>
                      <w:t>2</w:t>
                    </w:r>
                    <w:r>
                      <w:rPr>
                        <w:rFonts w:ascii="Arial"/>
                        <w:color w:val="231F20"/>
                        <w:sz w:val="14"/>
                      </w:rPr>
                      <w:fldChar w:fldCharType="end"/>
                    </w:r>
                    <w:r>
                      <w:rPr>
                        <w:rFonts w:ascii="Arial"/>
                        <w:color w:val="231F20"/>
                        <w:sz w:val="14"/>
                      </w:rPr>
                      <w:t> OF </w:t>
                    </w:r>
                    <w:r>
                      <w:rPr>
                        <w:rFonts w:ascii="Arial"/>
                        <w:color w:val="231F20"/>
                        <w:spacing w:val="-10"/>
                        <w:sz w:val="14"/>
                      </w:rPr>
                      <w:fldChar w:fldCharType="begin"/>
                    </w:r>
                    <w:r>
                      <w:rPr>
                        <w:rFonts w:ascii="Arial"/>
                        <w:color w:val="231F20"/>
                        <w:spacing w:val="-10"/>
                        <w:sz w:val="14"/>
                      </w:rPr>
                      <w:instrText> NUMPAGES </w:instrText>
                    </w:r>
                    <w:r>
                      <w:rPr>
                        <w:rFonts w:ascii="Arial"/>
                        <w:color w:val="231F20"/>
                        <w:spacing w:val="-10"/>
                        <w:sz w:val="14"/>
                      </w:rPr>
                      <w:fldChar w:fldCharType="separate"/>
                    </w:r>
                    <w:r>
                      <w:rPr>
                        <w:rFonts w:ascii="Arial"/>
                        <w:color w:val="231F20"/>
                        <w:spacing w:val="-10"/>
                        <w:sz w:val="14"/>
                      </w:rPr>
                      <w:t>5</w:t>
                    </w:r>
                    <w:r>
                      <w:rPr>
                        <w:rFonts w:ascii="Arial"/>
                        <w:color w:val="231F20"/>
                        <w:spacing w:val="-10"/>
                        <w:sz w:val="1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00800">
              <wp:simplePos x="0" y="0"/>
              <wp:positionH relativeFrom="page">
                <wp:posOffset>279615</wp:posOffset>
              </wp:positionH>
              <wp:positionV relativeFrom="page">
                <wp:posOffset>9459196</wp:posOffset>
              </wp:positionV>
              <wp:extent cx="633730" cy="2317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33730" cy="231775"/>
                      </a:xfrm>
                      <a:prstGeom prst="rect">
                        <a:avLst/>
                      </a:prstGeom>
                    </wps:spPr>
                    <wps:txbx>
                      <w:txbxContent>
                        <w:p>
                          <w:pPr>
                            <w:spacing w:line="249" w:lineRule="auto" w:before="15"/>
                            <w:ind w:left="20" w:right="18" w:firstLine="0"/>
                            <w:jc w:val="left"/>
                            <w:rPr>
                              <w:rFonts w:ascii="Arial"/>
                              <w:sz w:val="14"/>
                            </w:rPr>
                          </w:pPr>
                          <w:r>
                            <w:rPr>
                              <w:rFonts w:ascii="Arial"/>
                              <w:b/>
                              <w:color w:val="231F20"/>
                              <w:sz w:val="14"/>
                            </w:rPr>
                            <w:t>VA</w:t>
                          </w:r>
                          <w:r>
                            <w:rPr>
                              <w:rFonts w:ascii="Arial"/>
                              <w:b/>
                              <w:color w:val="231F20"/>
                              <w:spacing w:val="-2"/>
                              <w:sz w:val="14"/>
                            </w:rPr>
                            <w:t> </w:t>
                          </w:r>
                          <w:r>
                            <w:rPr>
                              <w:rFonts w:ascii="Arial"/>
                              <w:color w:val="231F20"/>
                              <w:sz w:val="14"/>
                            </w:rPr>
                            <w:t>FORM</w:t>
                          </w:r>
                          <w:r>
                            <w:rPr>
                              <w:rFonts w:ascii="Arial"/>
                              <w:color w:val="231F20"/>
                              <w:spacing w:val="40"/>
                              <w:sz w:val="14"/>
                            </w:rPr>
                            <w:t> </w:t>
                          </w:r>
                          <w:r>
                            <w:rPr>
                              <w:rFonts w:ascii="Arial"/>
                              <w:color w:val="231F20"/>
                              <w:sz w:val="14"/>
                            </w:rPr>
                            <w:t>SEP</w:t>
                          </w:r>
                          <w:r>
                            <w:rPr>
                              <w:rFonts w:ascii="Arial"/>
                              <w:color w:val="231F20"/>
                              <w:spacing w:val="-10"/>
                              <w:sz w:val="14"/>
                            </w:rPr>
                            <w:t> </w:t>
                          </w:r>
                          <w:r>
                            <w:rPr>
                              <w:rFonts w:ascii="Arial"/>
                              <w:color w:val="231F20"/>
                              <w:sz w:val="14"/>
                            </w:rPr>
                            <w:t>2005</w:t>
                          </w:r>
                          <w:r>
                            <w:rPr>
                              <w:rFonts w:ascii="Arial"/>
                              <w:color w:val="231F20"/>
                              <w:spacing w:val="-10"/>
                              <w:sz w:val="14"/>
                            </w:rPr>
                            <w:t> </w:t>
                          </w:r>
                          <w:r>
                            <w:rPr>
                              <w:rFonts w:ascii="Arial"/>
                              <w:color w:val="231F20"/>
                              <w:sz w:val="14"/>
                            </w:rPr>
                            <w:t>(RS)</w:t>
                          </w:r>
                        </w:p>
                      </w:txbxContent>
                    </wps:txbx>
                    <wps:bodyPr wrap="square" lIns="0" tIns="0" rIns="0" bIns="0" rtlCol="0">
                      <a:noAutofit/>
                    </wps:bodyPr>
                  </wps:wsp>
                </a:graphicData>
              </a:graphic>
            </wp:anchor>
          </w:drawing>
        </mc:Choice>
        <mc:Fallback>
          <w:pict>
            <v:shape style="position:absolute;margin-left:22.017pt;margin-top:744.818604pt;width:49.9pt;height:18.25pt;mso-position-horizontal-relative:page;mso-position-vertical-relative:page;z-index:-15815680" type="#_x0000_t202" id="docshape3" filled="false" stroked="false">
              <v:textbox inset="0,0,0,0">
                <w:txbxContent>
                  <w:p>
                    <w:pPr>
                      <w:spacing w:line="249" w:lineRule="auto" w:before="15"/>
                      <w:ind w:left="20" w:right="18" w:firstLine="0"/>
                      <w:jc w:val="left"/>
                      <w:rPr>
                        <w:rFonts w:ascii="Arial"/>
                        <w:sz w:val="14"/>
                      </w:rPr>
                    </w:pPr>
                    <w:r>
                      <w:rPr>
                        <w:rFonts w:ascii="Arial"/>
                        <w:b/>
                        <w:color w:val="231F20"/>
                        <w:sz w:val="14"/>
                      </w:rPr>
                      <w:t>VA</w:t>
                    </w:r>
                    <w:r>
                      <w:rPr>
                        <w:rFonts w:ascii="Arial"/>
                        <w:b/>
                        <w:color w:val="231F20"/>
                        <w:spacing w:val="-2"/>
                        <w:sz w:val="14"/>
                      </w:rPr>
                      <w:t> </w:t>
                    </w:r>
                    <w:r>
                      <w:rPr>
                        <w:rFonts w:ascii="Arial"/>
                        <w:color w:val="231F20"/>
                        <w:sz w:val="14"/>
                      </w:rPr>
                      <w:t>FORM</w:t>
                    </w:r>
                    <w:r>
                      <w:rPr>
                        <w:rFonts w:ascii="Arial"/>
                        <w:color w:val="231F20"/>
                        <w:spacing w:val="40"/>
                        <w:sz w:val="14"/>
                      </w:rPr>
                      <w:t> </w:t>
                    </w:r>
                    <w:r>
                      <w:rPr>
                        <w:rFonts w:ascii="Arial"/>
                        <w:color w:val="231F20"/>
                        <w:sz w:val="14"/>
                      </w:rPr>
                      <w:t>SEP</w:t>
                    </w:r>
                    <w:r>
                      <w:rPr>
                        <w:rFonts w:ascii="Arial"/>
                        <w:color w:val="231F20"/>
                        <w:spacing w:val="-10"/>
                        <w:sz w:val="14"/>
                      </w:rPr>
                      <w:t> </w:t>
                    </w:r>
                    <w:r>
                      <w:rPr>
                        <w:rFonts w:ascii="Arial"/>
                        <w:color w:val="231F20"/>
                        <w:sz w:val="14"/>
                      </w:rPr>
                      <w:t>2005</w:t>
                    </w:r>
                    <w:r>
                      <w:rPr>
                        <w:rFonts w:ascii="Arial"/>
                        <w:color w:val="231F20"/>
                        <w:spacing w:val="-10"/>
                        <w:sz w:val="14"/>
                      </w:rPr>
                      <w:t> </w:t>
                    </w:r>
                    <w:r>
                      <w:rPr>
                        <w:rFonts w:ascii="Arial"/>
                        <w:color w:val="231F20"/>
                        <w:sz w:val="14"/>
                      </w:rPr>
                      <w:t>(RS)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1312">
              <wp:simplePos x="0" y="0"/>
              <wp:positionH relativeFrom="page">
                <wp:posOffset>988454</wp:posOffset>
              </wp:positionH>
              <wp:positionV relativeFrom="page">
                <wp:posOffset>9471948</wp:posOffset>
              </wp:positionV>
              <wp:extent cx="421005" cy="2241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21005" cy="224154"/>
                      </a:xfrm>
                      <a:prstGeom prst="rect">
                        <a:avLst/>
                      </a:prstGeom>
                    </wps:spPr>
                    <wps:txbx>
                      <w:txbxContent>
                        <w:p>
                          <w:pPr>
                            <w:spacing w:before="11"/>
                            <w:ind w:left="20" w:right="0" w:firstLine="0"/>
                            <w:jc w:val="left"/>
                            <w:rPr>
                              <w:rFonts w:ascii="Arial"/>
                              <w:b/>
                              <w:sz w:val="28"/>
                            </w:rPr>
                          </w:pPr>
                          <w:r>
                            <w:rPr>
                              <w:rFonts w:ascii="Arial"/>
                              <w:b/>
                              <w:color w:val="231F20"/>
                              <w:spacing w:val="-4"/>
                              <w:sz w:val="28"/>
                            </w:rPr>
                            <w:t>0752</w:t>
                          </w:r>
                        </w:p>
                      </w:txbxContent>
                    </wps:txbx>
                    <wps:bodyPr wrap="square" lIns="0" tIns="0" rIns="0" bIns="0" rtlCol="0">
                      <a:noAutofit/>
                    </wps:bodyPr>
                  </wps:wsp>
                </a:graphicData>
              </a:graphic>
            </wp:anchor>
          </w:drawing>
        </mc:Choice>
        <mc:Fallback>
          <w:pict>
            <v:shape style="position:absolute;margin-left:77.831100pt;margin-top:745.822693pt;width:33.15pt;height:17.650pt;mso-position-horizontal-relative:page;mso-position-vertical-relative:page;z-index:-15815168" type="#_x0000_t202" id="docshape4" filled="false" stroked="false">
              <v:textbox inset="0,0,0,0">
                <w:txbxContent>
                  <w:p>
                    <w:pPr>
                      <w:spacing w:before="11"/>
                      <w:ind w:left="20" w:right="0" w:firstLine="0"/>
                      <w:jc w:val="left"/>
                      <w:rPr>
                        <w:rFonts w:ascii="Arial"/>
                        <w:b/>
                        <w:sz w:val="28"/>
                      </w:rPr>
                    </w:pPr>
                    <w:r>
                      <w:rPr>
                        <w:rFonts w:ascii="Arial"/>
                        <w:b/>
                        <w:color w:val="231F20"/>
                        <w:spacing w:val="-4"/>
                        <w:sz w:val="28"/>
                      </w:rPr>
                      <w:t>0752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227101</wp:posOffset>
              </wp:positionH>
              <wp:positionV relativeFrom="page">
                <wp:posOffset>288213</wp:posOffset>
              </wp:positionV>
              <wp:extent cx="7318375" cy="704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318375" cy="704215"/>
                      </a:xfrm>
                      <a:prstGeom prst="rect">
                        <a:avLst/>
                      </a:prstGeom>
                    </wps:spPr>
                    <wps:txbx>
                      <w:txbxContent>
                        <w:tbl>
                          <w:tblPr>
                            <w:tblW w:w="0" w:type="auto"/>
                            <w:jc w:val="left"/>
                            <w:tblInd w:w="7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648"/>
                            <w:gridCol w:w="7728"/>
                          </w:tblGrid>
                          <w:tr>
                            <w:trPr>
                              <w:trHeight w:val="451" w:hRule="atLeast"/>
                            </w:trPr>
                            <w:tc>
                              <w:tcPr>
                                <w:tcW w:w="3648" w:type="dxa"/>
                                <w:tcBorders>
                                  <w:right w:val="single" w:sz="4" w:space="0" w:color="231F20"/>
                                </w:tcBorders>
                              </w:tcPr>
                              <w:p>
                                <w:pPr>
                                  <w:pStyle w:val="TableParagraph"/>
                                  <w:spacing w:before="0"/>
                                  <w:ind w:left="0"/>
                                  <w:rPr>
                                    <w:rFonts w:ascii="Times New Roman"/>
                                    <w:sz w:val="22"/>
                                  </w:rPr>
                                </w:pPr>
                              </w:p>
                            </w:tc>
                            <w:tc>
                              <w:tcPr>
                                <w:tcW w:w="7728" w:type="dxa"/>
                                <w:tcBorders>
                                  <w:left w:val="single" w:sz="4" w:space="0" w:color="231F20"/>
                                </w:tcBorders>
                                <w:shd w:val="clear" w:color="auto" w:fill="231F20"/>
                              </w:tcPr>
                              <w:p>
                                <w:pPr>
                                  <w:pStyle w:val="TableParagraph"/>
                                  <w:spacing w:before="0"/>
                                  <w:ind w:left="0"/>
                                  <w:rPr>
                                    <w:rFonts w:ascii="Times New Roman"/>
                                    <w:sz w:val="22"/>
                                  </w:rPr>
                                </w:pPr>
                              </w:p>
                            </w:tc>
                          </w:tr>
                          <w:tr>
                            <w:trPr>
                              <w:trHeight w:val="538" w:hRule="atLeast"/>
                            </w:trPr>
                            <w:tc>
                              <w:tcPr>
                                <w:tcW w:w="11376" w:type="dxa"/>
                                <w:gridSpan w:val="2"/>
                                <w:tcBorders>
                                  <w:top w:val="thinThickMediumGap" w:sz="6" w:space="0" w:color="231F20"/>
                                </w:tcBorders>
                              </w:tcPr>
                              <w:p>
                                <w:pPr>
                                  <w:pStyle w:val="TableParagraph"/>
                                  <w:spacing w:before="77"/>
                                  <w:ind w:left="149"/>
                                  <w:rPr>
                                    <w:b/>
                                    <w:sz w:val="28"/>
                                  </w:rPr>
                                </w:pPr>
                                <w:r>
                                  <w:rPr>
                                    <w:b/>
                                    <w:color w:val="231F20"/>
                                    <w:sz w:val="28"/>
                                  </w:rPr>
                                  <w:t>CONFIDENTIALITY</w:t>
                                </w:r>
                                <w:r>
                                  <w:rPr>
                                    <w:b/>
                                    <w:color w:val="231F20"/>
                                    <w:spacing w:val="-2"/>
                                    <w:sz w:val="28"/>
                                  </w:rPr>
                                  <w:t> </w:t>
                                </w:r>
                                <w:r>
                                  <w:rPr>
                                    <w:b/>
                                    <w:color w:val="231F20"/>
                                    <w:sz w:val="28"/>
                                  </w:rPr>
                                  <w:t>OF</w:t>
                                </w:r>
                                <w:r>
                                  <w:rPr>
                                    <w:b/>
                                    <w:color w:val="231F20"/>
                                    <w:spacing w:val="-2"/>
                                    <w:sz w:val="28"/>
                                  </w:rPr>
                                  <w:t> </w:t>
                                </w:r>
                                <w:r>
                                  <w:rPr>
                                    <w:b/>
                                    <w:color w:val="231F20"/>
                                    <w:sz w:val="28"/>
                                  </w:rPr>
                                  <w:t>SENSITIVE</w:t>
                                </w:r>
                                <w:r>
                                  <w:rPr>
                                    <w:b/>
                                    <w:color w:val="231F20"/>
                                    <w:spacing w:val="-2"/>
                                    <w:sz w:val="28"/>
                                  </w:rPr>
                                  <w:t> </w:t>
                                </w:r>
                                <w:r>
                                  <w:rPr>
                                    <w:b/>
                                    <w:color w:val="231F20"/>
                                    <w:sz w:val="28"/>
                                  </w:rPr>
                                  <w:t>INFORMATION</w:t>
                                </w:r>
                                <w:r>
                                  <w:rPr>
                                    <w:b/>
                                    <w:color w:val="231F20"/>
                                    <w:spacing w:val="-2"/>
                                    <w:sz w:val="28"/>
                                  </w:rPr>
                                  <w:t> </w:t>
                                </w:r>
                                <w:r>
                                  <w:rPr>
                                    <w:b/>
                                    <w:color w:val="231F20"/>
                                    <w:sz w:val="28"/>
                                  </w:rPr>
                                  <w:t>NON-DISCLOSURE</w:t>
                                </w:r>
                                <w:r>
                                  <w:rPr>
                                    <w:b/>
                                    <w:color w:val="231F20"/>
                                    <w:spacing w:val="-2"/>
                                    <w:sz w:val="28"/>
                                  </w:rPr>
                                  <w:t> AGREEMENT</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882pt;margin-top:22.694pt;width:576.25pt;height:55.45pt;mso-position-horizontal-relative:page;mso-position-vertical-relative:page;z-index:15728640" type="#_x0000_t202" id="docshape1" filled="false" stroked="false">
              <v:textbox inset="0,0,0,0">
                <w:txbxContent>
                  <w:tbl>
                    <w:tblPr>
                      <w:tblW w:w="0" w:type="auto"/>
                      <w:jc w:val="left"/>
                      <w:tblInd w:w="75"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3648"/>
                      <w:gridCol w:w="7728"/>
                    </w:tblGrid>
                    <w:tr>
                      <w:trPr>
                        <w:trHeight w:val="451" w:hRule="atLeast"/>
                      </w:trPr>
                      <w:tc>
                        <w:tcPr>
                          <w:tcW w:w="3648" w:type="dxa"/>
                          <w:tcBorders>
                            <w:right w:val="single" w:sz="4" w:space="0" w:color="231F20"/>
                          </w:tcBorders>
                        </w:tcPr>
                        <w:p>
                          <w:pPr>
                            <w:pStyle w:val="TableParagraph"/>
                            <w:spacing w:before="0"/>
                            <w:ind w:left="0"/>
                            <w:rPr>
                              <w:rFonts w:ascii="Times New Roman"/>
                              <w:sz w:val="22"/>
                            </w:rPr>
                          </w:pPr>
                        </w:p>
                      </w:tc>
                      <w:tc>
                        <w:tcPr>
                          <w:tcW w:w="7728" w:type="dxa"/>
                          <w:tcBorders>
                            <w:left w:val="single" w:sz="4" w:space="0" w:color="231F20"/>
                          </w:tcBorders>
                          <w:shd w:val="clear" w:color="auto" w:fill="231F20"/>
                        </w:tcPr>
                        <w:p>
                          <w:pPr>
                            <w:pStyle w:val="TableParagraph"/>
                            <w:spacing w:before="0"/>
                            <w:ind w:left="0"/>
                            <w:rPr>
                              <w:rFonts w:ascii="Times New Roman"/>
                              <w:sz w:val="22"/>
                            </w:rPr>
                          </w:pPr>
                        </w:p>
                      </w:tc>
                    </w:tr>
                    <w:tr>
                      <w:trPr>
                        <w:trHeight w:val="538" w:hRule="atLeast"/>
                      </w:trPr>
                      <w:tc>
                        <w:tcPr>
                          <w:tcW w:w="11376" w:type="dxa"/>
                          <w:gridSpan w:val="2"/>
                          <w:tcBorders>
                            <w:top w:val="thinThickMediumGap" w:sz="6" w:space="0" w:color="231F20"/>
                          </w:tcBorders>
                        </w:tcPr>
                        <w:p>
                          <w:pPr>
                            <w:pStyle w:val="TableParagraph"/>
                            <w:spacing w:before="77"/>
                            <w:ind w:left="149"/>
                            <w:rPr>
                              <w:b/>
                              <w:sz w:val="28"/>
                            </w:rPr>
                          </w:pPr>
                          <w:r>
                            <w:rPr>
                              <w:b/>
                              <w:color w:val="231F20"/>
                              <w:sz w:val="28"/>
                            </w:rPr>
                            <w:t>CONFIDENTIALITY</w:t>
                          </w:r>
                          <w:r>
                            <w:rPr>
                              <w:b/>
                              <w:color w:val="231F20"/>
                              <w:spacing w:val="-2"/>
                              <w:sz w:val="28"/>
                            </w:rPr>
                            <w:t> </w:t>
                          </w:r>
                          <w:r>
                            <w:rPr>
                              <w:b/>
                              <w:color w:val="231F20"/>
                              <w:sz w:val="28"/>
                            </w:rPr>
                            <w:t>OF</w:t>
                          </w:r>
                          <w:r>
                            <w:rPr>
                              <w:b/>
                              <w:color w:val="231F20"/>
                              <w:spacing w:val="-2"/>
                              <w:sz w:val="28"/>
                            </w:rPr>
                            <w:t> </w:t>
                          </w:r>
                          <w:r>
                            <w:rPr>
                              <w:b/>
                              <w:color w:val="231F20"/>
                              <w:sz w:val="28"/>
                            </w:rPr>
                            <w:t>SENSITIVE</w:t>
                          </w:r>
                          <w:r>
                            <w:rPr>
                              <w:b/>
                              <w:color w:val="231F20"/>
                              <w:spacing w:val="-2"/>
                              <w:sz w:val="28"/>
                            </w:rPr>
                            <w:t> </w:t>
                          </w:r>
                          <w:r>
                            <w:rPr>
                              <w:b/>
                              <w:color w:val="231F20"/>
                              <w:sz w:val="28"/>
                            </w:rPr>
                            <w:t>INFORMATION</w:t>
                          </w:r>
                          <w:r>
                            <w:rPr>
                              <w:b/>
                              <w:color w:val="231F20"/>
                              <w:spacing w:val="-2"/>
                              <w:sz w:val="28"/>
                            </w:rPr>
                            <w:t> </w:t>
                          </w:r>
                          <w:r>
                            <w:rPr>
                              <w:b/>
                              <w:color w:val="231F20"/>
                              <w:sz w:val="28"/>
                            </w:rPr>
                            <w:t>NON-DISCLOSURE</w:t>
                          </w:r>
                          <w:r>
                            <w:rPr>
                              <w:b/>
                              <w:color w:val="231F20"/>
                              <w:spacing w:val="-2"/>
                              <w:sz w:val="28"/>
                            </w:rPr>
                            <w:t> AGREEMENT</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499264">
          <wp:simplePos x="0" y="0"/>
          <wp:positionH relativeFrom="page">
            <wp:posOffset>282397</wp:posOffset>
          </wp:positionH>
          <wp:positionV relativeFrom="page">
            <wp:posOffset>312585</wp:posOffset>
          </wp:positionV>
          <wp:extent cx="2325268" cy="31090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2325268" cy="31090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99" w:hanging="459"/>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1">
      <w:start w:val="0"/>
      <w:numFmt w:val="bullet"/>
      <w:lvlText w:val="•"/>
      <w:lvlJc w:val="left"/>
      <w:pPr>
        <w:ind w:left="1242" w:hanging="459"/>
      </w:pPr>
      <w:rPr>
        <w:rFonts w:hint="default"/>
        <w:lang w:val="en-US" w:eastAsia="en-US" w:bidi="ar-SA"/>
      </w:rPr>
    </w:lvl>
    <w:lvl w:ilvl="2">
      <w:start w:val="0"/>
      <w:numFmt w:val="bullet"/>
      <w:lvlText w:val="•"/>
      <w:lvlJc w:val="left"/>
      <w:pPr>
        <w:ind w:left="2384" w:hanging="459"/>
      </w:pPr>
      <w:rPr>
        <w:rFonts w:hint="default"/>
        <w:lang w:val="en-US" w:eastAsia="en-US" w:bidi="ar-SA"/>
      </w:rPr>
    </w:lvl>
    <w:lvl w:ilvl="3">
      <w:start w:val="0"/>
      <w:numFmt w:val="bullet"/>
      <w:lvlText w:val="•"/>
      <w:lvlJc w:val="left"/>
      <w:pPr>
        <w:ind w:left="3526" w:hanging="459"/>
      </w:pPr>
      <w:rPr>
        <w:rFonts w:hint="default"/>
        <w:lang w:val="en-US" w:eastAsia="en-US" w:bidi="ar-SA"/>
      </w:rPr>
    </w:lvl>
    <w:lvl w:ilvl="4">
      <w:start w:val="0"/>
      <w:numFmt w:val="bullet"/>
      <w:lvlText w:val="•"/>
      <w:lvlJc w:val="left"/>
      <w:pPr>
        <w:ind w:left="4668" w:hanging="459"/>
      </w:pPr>
      <w:rPr>
        <w:rFonts w:hint="default"/>
        <w:lang w:val="en-US" w:eastAsia="en-US" w:bidi="ar-SA"/>
      </w:rPr>
    </w:lvl>
    <w:lvl w:ilvl="5">
      <w:start w:val="0"/>
      <w:numFmt w:val="bullet"/>
      <w:lvlText w:val="•"/>
      <w:lvlJc w:val="left"/>
      <w:pPr>
        <w:ind w:left="5810" w:hanging="459"/>
      </w:pPr>
      <w:rPr>
        <w:rFonts w:hint="default"/>
        <w:lang w:val="en-US" w:eastAsia="en-US" w:bidi="ar-SA"/>
      </w:rPr>
    </w:lvl>
    <w:lvl w:ilvl="6">
      <w:start w:val="0"/>
      <w:numFmt w:val="bullet"/>
      <w:lvlText w:val="•"/>
      <w:lvlJc w:val="left"/>
      <w:pPr>
        <w:ind w:left="6952" w:hanging="459"/>
      </w:pPr>
      <w:rPr>
        <w:rFonts w:hint="default"/>
        <w:lang w:val="en-US" w:eastAsia="en-US" w:bidi="ar-SA"/>
      </w:rPr>
    </w:lvl>
    <w:lvl w:ilvl="7">
      <w:start w:val="0"/>
      <w:numFmt w:val="bullet"/>
      <w:lvlText w:val="•"/>
      <w:lvlJc w:val="left"/>
      <w:pPr>
        <w:ind w:left="8094" w:hanging="459"/>
      </w:pPr>
      <w:rPr>
        <w:rFonts w:hint="default"/>
        <w:lang w:val="en-US" w:eastAsia="en-US" w:bidi="ar-SA"/>
      </w:rPr>
    </w:lvl>
    <w:lvl w:ilvl="8">
      <w:start w:val="0"/>
      <w:numFmt w:val="bullet"/>
      <w:lvlText w:val="•"/>
      <w:lvlJc w:val="left"/>
      <w:pPr>
        <w:ind w:left="9236" w:hanging="459"/>
      </w:pPr>
      <w:rPr>
        <w:rFonts w:hint="default"/>
        <w:lang w:val="en-US" w:eastAsia="en-US" w:bidi="ar-SA"/>
      </w:rPr>
    </w:lvl>
  </w:abstractNum>
  <w:abstractNum w:abstractNumId="0">
    <w:multiLevelType w:val="hybridMultilevel"/>
    <w:lvl w:ilvl="0">
      <w:start w:val="1"/>
      <w:numFmt w:val="decimal"/>
      <w:lvlText w:val="%1."/>
      <w:lvlJc w:val="left"/>
      <w:pPr>
        <w:ind w:left="400" w:hanging="300"/>
        <w:jc w:val="left"/>
      </w:pPr>
      <w:rPr>
        <w:rFonts w:hint="default"/>
        <w:spacing w:val="0"/>
        <w:w w:val="100"/>
        <w:lang w:val="en-US" w:eastAsia="en-US" w:bidi="ar-SA"/>
      </w:rPr>
    </w:lvl>
    <w:lvl w:ilvl="1">
      <w:start w:val="1"/>
      <w:numFmt w:val="lowerLetter"/>
      <w:lvlText w:val="%2."/>
      <w:lvlJc w:val="left"/>
      <w:pPr>
        <w:ind w:left="99" w:hanging="325"/>
        <w:jc w:val="left"/>
      </w:pPr>
      <w:rPr>
        <w:rFonts w:hint="default" w:ascii="Times New Roman" w:hAnsi="Times New Roman" w:eastAsia="Times New Roman" w:cs="Times New Roman"/>
        <w:b w:val="0"/>
        <w:bCs w:val="0"/>
        <w:i w:val="0"/>
        <w:iCs w:val="0"/>
        <w:color w:val="231F20"/>
        <w:spacing w:val="0"/>
        <w:w w:val="100"/>
        <w:sz w:val="24"/>
        <w:szCs w:val="24"/>
        <w:lang w:val="en-US" w:eastAsia="en-US" w:bidi="ar-SA"/>
      </w:rPr>
    </w:lvl>
    <w:lvl w:ilvl="2">
      <w:start w:val="0"/>
      <w:numFmt w:val="bullet"/>
      <w:lvlText w:val="•"/>
      <w:lvlJc w:val="left"/>
      <w:pPr>
        <w:ind w:left="1635" w:hanging="325"/>
      </w:pPr>
      <w:rPr>
        <w:rFonts w:hint="default"/>
        <w:lang w:val="en-US" w:eastAsia="en-US" w:bidi="ar-SA"/>
      </w:rPr>
    </w:lvl>
    <w:lvl w:ilvl="3">
      <w:start w:val="0"/>
      <w:numFmt w:val="bullet"/>
      <w:lvlText w:val="•"/>
      <w:lvlJc w:val="left"/>
      <w:pPr>
        <w:ind w:left="2871" w:hanging="325"/>
      </w:pPr>
      <w:rPr>
        <w:rFonts w:hint="default"/>
        <w:lang w:val="en-US" w:eastAsia="en-US" w:bidi="ar-SA"/>
      </w:rPr>
    </w:lvl>
    <w:lvl w:ilvl="4">
      <w:start w:val="0"/>
      <w:numFmt w:val="bullet"/>
      <w:lvlText w:val="•"/>
      <w:lvlJc w:val="left"/>
      <w:pPr>
        <w:ind w:left="4106" w:hanging="325"/>
      </w:pPr>
      <w:rPr>
        <w:rFonts w:hint="default"/>
        <w:lang w:val="en-US" w:eastAsia="en-US" w:bidi="ar-SA"/>
      </w:rPr>
    </w:lvl>
    <w:lvl w:ilvl="5">
      <w:start w:val="0"/>
      <w:numFmt w:val="bullet"/>
      <w:lvlText w:val="•"/>
      <w:lvlJc w:val="left"/>
      <w:pPr>
        <w:ind w:left="5342" w:hanging="325"/>
      </w:pPr>
      <w:rPr>
        <w:rFonts w:hint="default"/>
        <w:lang w:val="en-US" w:eastAsia="en-US" w:bidi="ar-SA"/>
      </w:rPr>
    </w:lvl>
    <w:lvl w:ilvl="6">
      <w:start w:val="0"/>
      <w:numFmt w:val="bullet"/>
      <w:lvlText w:val="•"/>
      <w:lvlJc w:val="left"/>
      <w:pPr>
        <w:ind w:left="6577" w:hanging="325"/>
      </w:pPr>
      <w:rPr>
        <w:rFonts w:hint="default"/>
        <w:lang w:val="en-US" w:eastAsia="en-US" w:bidi="ar-SA"/>
      </w:rPr>
    </w:lvl>
    <w:lvl w:ilvl="7">
      <w:start w:val="0"/>
      <w:numFmt w:val="bullet"/>
      <w:lvlText w:val="•"/>
      <w:lvlJc w:val="left"/>
      <w:pPr>
        <w:ind w:left="7813" w:hanging="325"/>
      </w:pPr>
      <w:rPr>
        <w:rFonts w:hint="default"/>
        <w:lang w:val="en-US" w:eastAsia="en-US" w:bidi="ar-SA"/>
      </w:rPr>
    </w:lvl>
    <w:lvl w:ilvl="8">
      <w:start w:val="0"/>
      <w:numFmt w:val="bullet"/>
      <w:lvlText w:val="•"/>
      <w:lvlJc w:val="left"/>
      <w:pPr>
        <w:ind w:left="9048" w:hanging="32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98" w:hanging="300"/>
      <w:jc w:val="both"/>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1"/>
      <w:ind w:left="20"/>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100" w:right="38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7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Missie Vaccaro-Palomaki</dc:creator>
  <dc:subject>0752, CONFIDENTIALITY, SENSITIVE, INFORMATION, NON-DISCLOSURE, AGREEMENT</dc:subject>
  <dc:title>VA Form 0752, CONFIDENTIALITY OF SENSITIVE INFORMATION NON-DISCLOSURE AGREEMENT</dc:title>
  <dcterms:created xsi:type="dcterms:W3CDTF">2026-04-18T10:52:19Z</dcterms:created>
  <dcterms:modified xsi:type="dcterms:W3CDTF">2026-04-18T10:52:19Z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2019-10-21T00:00:00Z</vt:filetime>
  </property>
  <property fmtid="{D5CDD505-2E9C-101B-9397-08002B2CF9AE}" pid="3" name="Creator">
    <vt:lpwstr>Adobe LiveCycle Designer ES 10.0</vt:lpwstr>
  </property>
  <property fmtid="{D5CDD505-2E9C-101B-9397-08002B2CF9AE}" pid="4" name="LastSaved">
    <vt:filetime>2026-04-18T00:00:00Z</vt:filetime>
  </property>
  <property fmtid="{D5CDD505-2E9C-101B-9397-08002B2CF9AE}" pid="5" name="Producer">
    <vt:lpwstr>Acrobat Distiller 19.0 (Windows)</vt:lpwstr>
  </property>
</Properties>
</file>