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055CE" w14:textId="38F4D093" w:rsidR="0099191F" w:rsidRDefault="006E0614" w:rsidP="006E0614">
      <w:pPr>
        <w:pStyle w:val="Ttulo1"/>
        <w:rPr>
          <w:lang w:val="es-MX"/>
        </w:rPr>
      </w:pPr>
      <w:r>
        <w:rPr>
          <w:lang w:val="es-MX"/>
        </w:rPr>
        <w:t xml:space="preserve">Práctica 9 </w:t>
      </w:r>
    </w:p>
    <w:p w14:paraId="22F272BE" w14:textId="61EEBF4B" w:rsidR="006E0614" w:rsidRDefault="006E0614" w:rsidP="006E0614">
      <w:pPr>
        <w:pStyle w:val="Ttulo2"/>
        <w:rPr>
          <w:lang w:val="es-MX"/>
        </w:rPr>
      </w:pPr>
      <w:r>
        <w:rPr>
          <w:lang w:val="es-MX"/>
        </w:rPr>
        <w:t>Pila Hardware 1</w:t>
      </w:r>
    </w:p>
    <w:p w14:paraId="1F2D8ED8" w14:textId="51BD5A34" w:rsidR="006E0614" w:rsidRDefault="006E0614" w:rsidP="006E0614">
      <w:pPr>
        <w:rPr>
          <w:lang w:val="es-MX"/>
        </w:rPr>
      </w:pPr>
      <w:r>
        <w:rPr>
          <w:noProof/>
        </w:rPr>
        <w:drawing>
          <wp:inline distT="0" distB="0" distL="0" distR="0" wp14:anchorId="2A9DB6D7" wp14:editId="7F7C29B9">
            <wp:extent cx="5019675" cy="5715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5715000"/>
                    </a:xfrm>
                    <a:prstGeom prst="rect">
                      <a:avLst/>
                    </a:prstGeom>
                  </pic:spPr>
                </pic:pic>
              </a:graphicData>
            </a:graphic>
          </wp:inline>
        </w:drawing>
      </w:r>
    </w:p>
    <w:p w14:paraId="683A70A7" w14:textId="2096380E" w:rsidR="006E0614" w:rsidRDefault="006E0614" w:rsidP="006E0614">
      <w:pPr>
        <w:rPr>
          <w:lang w:val="es-MX"/>
        </w:rPr>
      </w:pPr>
      <w:r>
        <w:rPr>
          <w:noProof/>
        </w:rPr>
        <w:lastRenderedPageBreak/>
        <w:drawing>
          <wp:inline distT="0" distB="0" distL="0" distR="0" wp14:anchorId="3C9B650D" wp14:editId="04D5C28B">
            <wp:extent cx="5000625" cy="4867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12" t="1541" r="3079"/>
                    <a:stretch/>
                  </pic:blipFill>
                  <pic:spPr bwMode="auto">
                    <a:xfrm>
                      <a:off x="0" y="0"/>
                      <a:ext cx="5000625" cy="4867275"/>
                    </a:xfrm>
                    <a:prstGeom prst="rect">
                      <a:avLst/>
                    </a:prstGeom>
                    <a:ln>
                      <a:noFill/>
                    </a:ln>
                    <a:extLst>
                      <a:ext uri="{53640926-AAD7-44D8-BBD7-CCE9431645EC}">
                        <a14:shadowObscured xmlns:a14="http://schemas.microsoft.com/office/drawing/2010/main"/>
                      </a:ext>
                    </a:extLst>
                  </pic:spPr>
                </pic:pic>
              </a:graphicData>
            </a:graphic>
          </wp:inline>
        </w:drawing>
      </w:r>
    </w:p>
    <w:p w14:paraId="3DF1259C" w14:textId="2F4D62F3" w:rsidR="006E0614" w:rsidRDefault="006E0614" w:rsidP="006E0614">
      <w:pPr>
        <w:rPr>
          <w:lang w:val="es-MX"/>
        </w:rPr>
      </w:pPr>
      <w:r>
        <w:rPr>
          <w:lang w:val="es-MX"/>
        </w:rPr>
        <w:t>Dado que el conteo de la pila de instrucciones comienza en cero la instrucción 1 aquí mostrada pasará a ser la operación 0 en el conteo de pila, la operación 2 pasará a ser la operación 1, y así sucesivamente hasta completar las instrucciones aquí mostradas.</w:t>
      </w:r>
    </w:p>
    <w:p w14:paraId="4113F58F" w14:textId="52551FAE" w:rsidR="006E0614" w:rsidRDefault="006E0614" w:rsidP="00A815A7">
      <w:pPr>
        <w:pStyle w:val="Ttulo3"/>
        <w:rPr>
          <w:lang w:val="es-MX"/>
        </w:rPr>
      </w:pPr>
      <w:r>
        <w:rPr>
          <w:lang w:val="es-MX"/>
        </w:rPr>
        <w:t>2.</w:t>
      </w:r>
      <w:r w:rsidR="00350B72">
        <w:rPr>
          <w:lang w:val="es-MX"/>
        </w:rPr>
        <w:t>1.</w:t>
      </w:r>
      <w:r>
        <w:rPr>
          <w:lang w:val="es-MX"/>
        </w:rPr>
        <w:t xml:space="preserve"> LI R6, #87</w:t>
      </w:r>
    </w:p>
    <w:p w14:paraId="2CE090F4" w14:textId="6DF2789A" w:rsidR="006E0614" w:rsidRDefault="006E0614" w:rsidP="006E0614">
      <w:pPr>
        <w:jc w:val="center"/>
        <w:rPr>
          <w:lang w:val="es-MX"/>
        </w:rPr>
      </w:pPr>
      <w:r>
        <w:rPr>
          <w:noProof/>
        </w:rPr>
        <w:drawing>
          <wp:inline distT="0" distB="0" distL="0" distR="0" wp14:anchorId="659D48D2" wp14:editId="0467A323">
            <wp:extent cx="2845916" cy="638175"/>
            <wp:effectExtent l="38100" t="38100" r="3111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0816" cy="652728"/>
                    </a:xfrm>
                    <a:prstGeom prst="rect">
                      <a:avLst/>
                    </a:prstGeom>
                    <a:ln w="28575">
                      <a:solidFill>
                        <a:schemeClr val="tx1"/>
                      </a:solidFill>
                    </a:ln>
                  </pic:spPr>
                </pic:pic>
              </a:graphicData>
            </a:graphic>
          </wp:inline>
        </w:drawing>
      </w:r>
    </w:p>
    <w:p w14:paraId="0A09929A" w14:textId="099AAEC6" w:rsidR="006E0614" w:rsidRDefault="006E0614" w:rsidP="006E0614">
      <w:pPr>
        <w:rPr>
          <w:lang w:val="es-MX"/>
        </w:rPr>
      </w:pPr>
      <w:r>
        <w:rPr>
          <w:lang w:val="es-MX"/>
        </w:rPr>
        <w:t xml:space="preserve">Observamos que el </w:t>
      </w:r>
      <w:proofErr w:type="spellStart"/>
      <w:proofErr w:type="gramStart"/>
      <w:r>
        <w:rPr>
          <w:lang w:val="es-MX"/>
        </w:rPr>
        <w:t>StackPointer</w:t>
      </w:r>
      <w:proofErr w:type="spellEnd"/>
      <w:r>
        <w:rPr>
          <w:lang w:val="es-MX"/>
        </w:rPr>
        <w:t>(</w:t>
      </w:r>
      <w:proofErr w:type="gramEnd"/>
      <w:r>
        <w:rPr>
          <w:lang w:val="es-MX"/>
        </w:rPr>
        <w:t xml:space="preserve">SP) se encuentra en 0, esto es debido a que previo a ejecutar la primer instrucción se </w:t>
      </w:r>
      <w:proofErr w:type="spellStart"/>
      <w:r>
        <w:rPr>
          <w:lang w:val="es-MX"/>
        </w:rPr>
        <w:t>a</w:t>
      </w:r>
      <w:proofErr w:type="spellEnd"/>
      <w:r>
        <w:rPr>
          <w:lang w:val="es-MX"/>
        </w:rPr>
        <w:t xml:space="preserve"> ejecutado un CLR en la pila para comprender mejor su funcionamiento.</w:t>
      </w:r>
    </w:p>
    <w:p w14:paraId="0E2F8B71" w14:textId="3CD66460" w:rsidR="006E0614" w:rsidRDefault="006E0614" w:rsidP="006E0614">
      <w:pPr>
        <w:rPr>
          <w:lang w:val="es-MX"/>
        </w:rPr>
      </w:pPr>
      <w:r>
        <w:rPr>
          <w:lang w:val="es-MX"/>
        </w:rPr>
        <w:t>Notamos que, el contador de programa apunta a la dirección de SP</w:t>
      </w:r>
      <w:r w:rsidR="00350B72">
        <w:rPr>
          <w:lang w:val="es-MX"/>
        </w:rPr>
        <w:t>, por lo cual podemos decir que esta “ejecutando” la instrucción 0.</w:t>
      </w:r>
    </w:p>
    <w:p w14:paraId="092363E8" w14:textId="53308D75" w:rsidR="00350B72" w:rsidRDefault="00350B72" w:rsidP="00A815A7">
      <w:pPr>
        <w:pStyle w:val="Ttulo3"/>
        <w:rPr>
          <w:lang w:val="es-MX"/>
        </w:rPr>
      </w:pPr>
      <w:r>
        <w:rPr>
          <w:lang w:val="es-MX"/>
        </w:rPr>
        <w:t>2.</w:t>
      </w:r>
      <w:r>
        <w:rPr>
          <w:lang w:val="es-MX"/>
        </w:rPr>
        <w:t>2.</w:t>
      </w:r>
      <w:r>
        <w:rPr>
          <w:lang w:val="es-MX"/>
        </w:rPr>
        <w:t xml:space="preserve"> LI R6, #87</w:t>
      </w:r>
    </w:p>
    <w:p w14:paraId="25D5762D" w14:textId="64ED7F06" w:rsidR="00350B72" w:rsidRDefault="00350B72" w:rsidP="00350B72">
      <w:pPr>
        <w:jc w:val="center"/>
        <w:rPr>
          <w:lang w:val="es-MX"/>
        </w:rPr>
      </w:pPr>
      <w:r>
        <w:rPr>
          <w:noProof/>
        </w:rPr>
        <w:drawing>
          <wp:inline distT="0" distB="0" distL="0" distR="0" wp14:anchorId="473591F1" wp14:editId="3B4BD936">
            <wp:extent cx="2781300" cy="630204"/>
            <wp:effectExtent l="38100" t="38100" r="38100" b="368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696" cy="640717"/>
                    </a:xfrm>
                    <a:prstGeom prst="rect">
                      <a:avLst/>
                    </a:prstGeom>
                    <a:ln w="28575">
                      <a:solidFill>
                        <a:schemeClr val="tx1"/>
                      </a:solidFill>
                    </a:ln>
                  </pic:spPr>
                </pic:pic>
              </a:graphicData>
            </a:graphic>
          </wp:inline>
        </w:drawing>
      </w:r>
    </w:p>
    <w:p w14:paraId="062EF6F4" w14:textId="67D8BDC3" w:rsidR="00350B72" w:rsidRDefault="00350B72" w:rsidP="00350B72">
      <w:pPr>
        <w:rPr>
          <w:lang w:val="es-MX"/>
        </w:rPr>
      </w:pPr>
      <w:r>
        <w:rPr>
          <w:lang w:val="es-MX"/>
        </w:rPr>
        <w:lastRenderedPageBreak/>
        <w:t xml:space="preserve">Ahora el contador de programa se ha aumentado en uno, mientras que el </w:t>
      </w:r>
      <w:proofErr w:type="spellStart"/>
      <w:r>
        <w:rPr>
          <w:lang w:val="es-MX"/>
        </w:rPr>
        <w:t>StackPointer</w:t>
      </w:r>
      <w:proofErr w:type="spellEnd"/>
      <w:r>
        <w:rPr>
          <w:lang w:val="es-MX"/>
        </w:rPr>
        <w:t xml:space="preserve"> ha mantenido su valor en 0. En este caso podemos decir que se está ejecutando la instrucción 1.</w:t>
      </w:r>
    </w:p>
    <w:p w14:paraId="00F4D72F" w14:textId="26AD3140" w:rsidR="00350B72" w:rsidRDefault="00350B72" w:rsidP="00A815A7">
      <w:pPr>
        <w:pStyle w:val="Ttulo3"/>
        <w:rPr>
          <w:lang w:val="es-MX"/>
        </w:rPr>
      </w:pPr>
      <w:r>
        <w:rPr>
          <w:lang w:val="es-MX"/>
        </w:rPr>
        <w:t>2.</w:t>
      </w:r>
      <w:r w:rsidRPr="00350B72">
        <w:rPr>
          <w:lang w:val="es-MX"/>
        </w:rPr>
        <w:t>3. B 34</w:t>
      </w:r>
    </w:p>
    <w:p w14:paraId="5D473253" w14:textId="4A1DE6D9" w:rsidR="00350B72" w:rsidRDefault="00350B72" w:rsidP="00350B72">
      <w:pPr>
        <w:jc w:val="center"/>
        <w:rPr>
          <w:lang w:val="es-MX"/>
        </w:rPr>
      </w:pPr>
      <w:r>
        <w:rPr>
          <w:noProof/>
        </w:rPr>
        <w:drawing>
          <wp:inline distT="0" distB="0" distL="0" distR="0" wp14:anchorId="22424AA2" wp14:editId="329CF2DD">
            <wp:extent cx="3143250" cy="704850"/>
            <wp:effectExtent l="38100" t="38100" r="38100" b="381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04850"/>
                    </a:xfrm>
                    <a:prstGeom prst="rect">
                      <a:avLst/>
                    </a:prstGeom>
                    <a:ln w="28575">
                      <a:solidFill>
                        <a:schemeClr val="tx1"/>
                      </a:solidFill>
                    </a:ln>
                  </pic:spPr>
                </pic:pic>
              </a:graphicData>
            </a:graphic>
          </wp:inline>
        </w:drawing>
      </w:r>
    </w:p>
    <w:p w14:paraId="782DE626" w14:textId="1FDE6A2C" w:rsidR="00350B72" w:rsidRDefault="00350B72" w:rsidP="00350B72">
      <w:pPr>
        <w:rPr>
          <w:lang w:val="es-MX"/>
        </w:rPr>
      </w:pPr>
      <w:r>
        <w:rPr>
          <w:lang w:val="es-MX"/>
        </w:rPr>
        <w:t xml:space="preserve">El contador de programa se ha aumentado una vez más, mientras que </w:t>
      </w:r>
      <w:proofErr w:type="spellStart"/>
      <w:r>
        <w:rPr>
          <w:lang w:val="es-MX"/>
        </w:rPr>
        <w:t>StackPointer</w:t>
      </w:r>
      <w:proofErr w:type="spellEnd"/>
      <w:r>
        <w:rPr>
          <w:lang w:val="es-MX"/>
        </w:rPr>
        <w:t xml:space="preserve"> permanece igual. En este caso se ejecuta la instrucción 2.</w:t>
      </w:r>
    </w:p>
    <w:p w14:paraId="329BDF38" w14:textId="7C65F8FA" w:rsidR="00350B72" w:rsidRDefault="00350B72" w:rsidP="00A815A7">
      <w:pPr>
        <w:pStyle w:val="Ttulo3"/>
        <w:rPr>
          <w:lang w:val="es-MX"/>
        </w:rPr>
      </w:pPr>
      <w:r>
        <w:rPr>
          <w:lang w:val="es-MX"/>
        </w:rPr>
        <w:t>2.</w:t>
      </w:r>
      <w:r w:rsidRPr="00350B72">
        <w:rPr>
          <w:lang w:val="es-MX"/>
        </w:rPr>
        <w:t>4. ADD R8, R2, R3</w:t>
      </w:r>
    </w:p>
    <w:p w14:paraId="6F0D7937" w14:textId="1BCC94AB" w:rsidR="00350B72" w:rsidRDefault="00350B72" w:rsidP="00871D7B">
      <w:pPr>
        <w:jc w:val="center"/>
        <w:rPr>
          <w:lang w:val="es-MX"/>
        </w:rPr>
      </w:pPr>
      <w:r>
        <w:rPr>
          <w:noProof/>
        </w:rPr>
        <w:drawing>
          <wp:inline distT="0" distB="0" distL="0" distR="0" wp14:anchorId="37B5B957" wp14:editId="020EF0CF">
            <wp:extent cx="3181350" cy="714375"/>
            <wp:effectExtent l="38100" t="38100" r="38100" b="476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714375"/>
                    </a:xfrm>
                    <a:prstGeom prst="rect">
                      <a:avLst/>
                    </a:prstGeom>
                    <a:ln w="28575">
                      <a:solidFill>
                        <a:schemeClr val="tx1"/>
                      </a:solidFill>
                    </a:ln>
                  </pic:spPr>
                </pic:pic>
              </a:graphicData>
            </a:graphic>
          </wp:inline>
        </w:drawing>
      </w:r>
    </w:p>
    <w:p w14:paraId="5D3E0AB6" w14:textId="6B4E05B7" w:rsidR="00871D7B" w:rsidRDefault="00890EE8" w:rsidP="00350B72">
      <w:pPr>
        <w:rPr>
          <w:lang w:val="es-MX"/>
        </w:rPr>
      </w:pPr>
      <w:r>
        <w:rPr>
          <w:lang w:val="es-MX"/>
        </w:rPr>
        <w:t>Dado que la instrucción anterior era B, el contador de programa ha saltado hasta</w:t>
      </w:r>
      <w:r w:rsidR="00871D7B">
        <w:rPr>
          <w:lang w:val="es-MX"/>
        </w:rPr>
        <w:t xml:space="preserve"> la instrucción 34, no obstante, en la ejecución de este programa tomaremos las instrucciones subsecuentes a B 34, como si estas estuvieran seguidas por ellas, es decir que en este caso la instrucción 4 pasaría a ser la 34.</w:t>
      </w:r>
    </w:p>
    <w:p w14:paraId="0F8F31BA" w14:textId="72E1C3FB" w:rsidR="00871D7B" w:rsidRDefault="00871D7B" w:rsidP="00A815A7">
      <w:pPr>
        <w:pStyle w:val="Ttulo3"/>
        <w:rPr>
          <w:lang w:val="es-MX"/>
        </w:rPr>
      </w:pPr>
      <w:r>
        <w:rPr>
          <w:lang w:val="es-MX"/>
        </w:rPr>
        <w:t>2.</w:t>
      </w:r>
      <w:r w:rsidRPr="00871D7B">
        <w:rPr>
          <w:lang w:val="es-MX"/>
        </w:rPr>
        <w:t>5. SUB R1, R2, R3</w:t>
      </w:r>
    </w:p>
    <w:p w14:paraId="5A286327" w14:textId="055BE816" w:rsidR="00871D7B" w:rsidRDefault="00871D7B" w:rsidP="00871D7B">
      <w:pPr>
        <w:jc w:val="center"/>
        <w:rPr>
          <w:lang w:val="es-MX"/>
        </w:rPr>
      </w:pPr>
      <w:r>
        <w:rPr>
          <w:noProof/>
        </w:rPr>
        <w:drawing>
          <wp:inline distT="0" distB="0" distL="0" distR="0" wp14:anchorId="6F5E2177" wp14:editId="6053AE8B">
            <wp:extent cx="3162300" cy="485775"/>
            <wp:effectExtent l="38100" t="38100" r="38100" b="476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485775"/>
                    </a:xfrm>
                    <a:prstGeom prst="rect">
                      <a:avLst/>
                    </a:prstGeom>
                    <a:ln w="28575">
                      <a:solidFill>
                        <a:schemeClr val="tx1"/>
                      </a:solidFill>
                    </a:ln>
                  </pic:spPr>
                </pic:pic>
              </a:graphicData>
            </a:graphic>
          </wp:inline>
        </w:drawing>
      </w:r>
    </w:p>
    <w:p w14:paraId="31E34273" w14:textId="30BC55EE" w:rsidR="00871D7B" w:rsidRDefault="00871D7B" w:rsidP="00871D7B">
      <w:pPr>
        <w:rPr>
          <w:lang w:val="es-MX"/>
        </w:rPr>
      </w:pPr>
      <w:r>
        <w:rPr>
          <w:lang w:val="es-MX"/>
        </w:rPr>
        <w:t>En este caso, como se menciono en el punto anterior simularemos que la instrucción 5 es la que ocupa el lugar 35, por lo cual decimos que ha sido ejecutada la operación SUB.</w:t>
      </w:r>
    </w:p>
    <w:p w14:paraId="2D073084" w14:textId="132549FD" w:rsidR="00871D7B" w:rsidRDefault="00871D7B" w:rsidP="00A815A7">
      <w:pPr>
        <w:pStyle w:val="Ttulo3"/>
        <w:rPr>
          <w:lang w:val="es-MX"/>
        </w:rPr>
      </w:pPr>
      <w:r>
        <w:rPr>
          <w:lang w:val="es-MX"/>
        </w:rPr>
        <w:t>2.</w:t>
      </w:r>
      <w:r w:rsidRPr="00871D7B">
        <w:rPr>
          <w:lang w:val="es-MX"/>
        </w:rPr>
        <w:t>6. CALL 0x61</w:t>
      </w:r>
    </w:p>
    <w:p w14:paraId="1894387E" w14:textId="4FF5C181" w:rsidR="00871D7B" w:rsidRDefault="00871D7B" w:rsidP="00871D7B">
      <w:pPr>
        <w:jc w:val="center"/>
        <w:rPr>
          <w:lang w:val="es-MX"/>
        </w:rPr>
      </w:pPr>
      <w:r>
        <w:rPr>
          <w:noProof/>
        </w:rPr>
        <w:drawing>
          <wp:inline distT="0" distB="0" distL="0" distR="0" wp14:anchorId="220D4EFC" wp14:editId="44CCA59C">
            <wp:extent cx="3248025" cy="781050"/>
            <wp:effectExtent l="38100" t="38100" r="47625" b="381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781050"/>
                    </a:xfrm>
                    <a:prstGeom prst="rect">
                      <a:avLst/>
                    </a:prstGeom>
                    <a:ln w="28575">
                      <a:solidFill>
                        <a:schemeClr val="tx1"/>
                      </a:solidFill>
                    </a:ln>
                  </pic:spPr>
                </pic:pic>
              </a:graphicData>
            </a:graphic>
          </wp:inline>
        </w:drawing>
      </w:r>
    </w:p>
    <w:p w14:paraId="6DD683E4" w14:textId="647CB63A" w:rsidR="00871D7B" w:rsidRDefault="00871D7B" w:rsidP="00871D7B">
      <w:pPr>
        <w:rPr>
          <w:lang w:val="es-MX"/>
        </w:rPr>
      </w:pPr>
      <w:r>
        <w:rPr>
          <w:lang w:val="es-MX"/>
        </w:rPr>
        <w:t xml:space="preserve">Observamos que esta instrucción es la 6, por lo cual ocupara el lugar 36, dado que se trata de una instrucción CALL veremos que se aumenta SP, además el contador de </w:t>
      </w:r>
      <w:r w:rsidR="00BC5CEE">
        <w:rPr>
          <w:lang w:val="es-MX"/>
        </w:rPr>
        <w:t xml:space="preserve">programa (Pila) en la localidad SP es igual al valor hexadecimal que se introdujo, o bien </w:t>
      </w:r>
      <w:proofErr w:type="gramStart"/>
      <w:r w:rsidR="001224B5">
        <w:rPr>
          <w:lang w:val="es-MX"/>
        </w:rPr>
        <w:t>Pila[</w:t>
      </w:r>
      <w:proofErr w:type="gramEnd"/>
      <w:r w:rsidR="00BC5CEE">
        <w:rPr>
          <w:lang w:val="es-MX"/>
        </w:rPr>
        <w:t xml:space="preserve">SP] = </w:t>
      </w:r>
      <w:proofErr w:type="spellStart"/>
      <w:r w:rsidR="00BC5CEE">
        <w:rPr>
          <w:lang w:val="es-MX"/>
        </w:rPr>
        <w:t>PCin</w:t>
      </w:r>
      <w:proofErr w:type="spellEnd"/>
      <w:r w:rsidR="00BC5CEE">
        <w:rPr>
          <w:lang w:val="es-MX"/>
        </w:rPr>
        <w:t>.</w:t>
      </w:r>
    </w:p>
    <w:p w14:paraId="2734D0E8" w14:textId="3846852F" w:rsidR="00871D7B" w:rsidRDefault="00BC5CEE" w:rsidP="00A815A7">
      <w:pPr>
        <w:pStyle w:val="Ttulo3"/>
        <w:rPr>
          <w:lang w:val="es-MX"/>
        </w:rPr>
      </w:pPr>
      <w:r>
        <w:rPr>
          <w:lang w:val="es-MX"/>
        </w:rPr>
        <w:t>2.</w:t>
      </w:r>
      <w:r w:rsidRPr="00BC5CEE">
        <w:rPr>
          <w:lang w:val="es-MX"/>
        </w:rPr>
        <w:t>7. LI R6, #87</w:t>
      </w:r>
    </w:p>
    <w:p w14:paraId="04703492" w14:textId="13BA8E5B" w:rsidR="00BC5CEE" w:rsidRDefault="00BC5CEE" w:rsidP="00BC5CEE">
      <w:pPr>
        <w:jc w:val="center"/>
        <w:rPr>
          <w:lang w:val="es-MX"/>
        </w:rPr>
      </w:pPr>
      <w:r>
        <w:rPr>
          <w:noProof/>
        </w:rPr>
        <w:drawing>
          <wp:inline distT="0" distB="0" distL="0" distR="0" wp14:anchorId="4E053773" wp14:editId="641E9239">
            <wp:extent cx="3133725" cy="457200"/>
            <wp:effectExtent l="38100" t="38100" r="47625" b="381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457200"/>
                    </a:xfrm>
                    <a:prstGeom prst="rect">
                      <a:avLst/>
                    </a:prstGeom>
                    <a:ln w="28575">
                      <a:solidFill>
                        <a:schemeClr val="tx1"/>
                      </a:solidFill>
                    </a:ln>
                  </pic:spPr>
                </pic:pic>
              </a:graphicData>
            </a:graphic>
          </wp:inline>
        </w:drawing>
      </w:r>
    </w:p>
    <w:p w14:paraId="76F3E543" w14:textId="24663CD0" w:rsidR="00BC5CEE" w:rsidRDefault="00BC5CEE" w:rsidP="00BC5CEE">
      <w:pPr>
        <w:rPr>
          <w:lang w:val="es-MX"/>
        </w:rPr>
      </w:pPr>
      <w:r>
        <w:rPr>
          <w:lang w:val="es-MX"/>
        </w:rPr>
        <w:t>Ejecutamos la operación 7 como si se tratara de la que se encuentra en la posición 97. Observamos que, dado que se trata de una instrucción LI, SP no se mueve.</w:t>
      </w:r>
    </w:p>
    <w:p w14:paraId="192CCB28" w14:textId="77777777" w:rsidR="00A815A7" w:rsidRDefault="00A815A7" w:rsidP="00BC5CEE">
      <w:pPr>
        <w:rPr>
          <w:lang w:val="es-MX"/>
        </w:rPr>
      </w:pPr>
    </w:p>
    <w:p w14:paraId="0137BCBA" w14:textId="2E79FEB2" w:rsidR="00BC5CEE" w:rsidRDefault="00BC5CEE" w:rsidP="00A815A7">
      <w:pPr>
        <w:pStyle w:val="Ttulo3"/>
        <w:rPr>
          <w:lang w:val="es-MX"/>
        </w:rPr>
      </w:pPr>
      <w:r>
        <w:rPr>
          <w:lang w:val="es-MX"/>
        </w:rPr>
        <w:lastRenderedPageBreak/>
        <w:t>2.</w:t>
      </w:r>
      <w:r w:rsidRPr="00BC5CEE">
        <w:rPr>
          <w:lang w:val="es-MX"/>
        </w:rPr>
        <w:t>8. LI R8, #90</w:t>
      </w:r>
    </w:p>
    <w:p w14:paraId="7FE00493" w14:textId="03DC834E" w:rsidR="00BC5CEE" w:rsidRDefault="00BC5CEE" w:rsidP="00BC5CEE">
      <w:pPr>
        <w:jc w:val="center"/>
        <w:rPr>
          <w:lang w:val="es-MX"/>
        </w:rPr>
      </w:pPr>
      <w:r>
        <w:rPr>
          <w:noProof/>
        </w:rPr>
        <w:drawing>
          <wp:inline distT="0" distB="0" distL="0" distR="0" wp14:anchorId="1E931DFD" wp14:editId="5FF34A96">
            <wp:extent cx="3086100" cy="466725"/>
            <wp:effectExtent l="38100" t="38100" r="38100" b="476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706"/>
                    <a:stretch/>
                  </pic:blipFill>
                  <pic:spPr bwMode="auto">
                    <a:xfrm>
                      <a:off x="0" y="0"/>
                      <a:ext cx="3086100" cy="4667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3DA5FEB5" w14:textId="55C42BCC" w:rsidR="00BC5CEE" w:rsidRDefault="00BC5CEE" w:rsidP="00BC5CEE">
      <w:pPr>
        <w:rPr>
          <w:lang w:val="es-MX"/>
        </w:rPr>
      </w:pPr>
      <w:r>
        <w:rPr>
          <w:lang w:val="es-MX"/>
        </w:rPr>
        <w:t>Ejecutamos la operación 8 simulando que ocupa el lugar 98. Dado que se trata de un LI el SP no se ve afectado.</w:t>
      </w:r>
    </w:p>
    <w:p w14:paraId="61D117C2" w14:textId="797F1525" w:rsidR="00BC5CEE" w:rsidRDefault="001224B5" w:rsidP="00A815A7">
      <w:pPr>
        <w:pStyle w:val="Ttulo3"/>
        <w:rPr>
          <w:lang w:val="es-MX"/>
        </w:rPr>
      </w:pPr>
      <w:r>
        <w:rPr>
          <w:lang w:val="es-MX"/>
        </w:rPr>
        <w:t>2.</w:t>
      </w:r>
      <w:r w:rsidRPr="001224B5">
        <w:rPr>
          <w:lang w:val="es-MX"/>
        </w:rPr>
        <w:t>9. CALL 100</w:t>
      </w:r>
    </w:p>
    <w:p w14:paraId="1B5B1D70" w14:textId="086A2CD8" w:rsidR="001224B5" w:rsidRDefault="001224B5" w:rsidP="001224B5">
      <w:pPr>
        <w:jc w:val="center"/>
        <w:rPr>
          <w:lang w:val="es-MX"/>
        </w:rPr>
      </w:pPr>
      <w:r>
        <w:rPr>
          <w:noProof/>
        </w:rPr>
        <w:drawing>
          <wp:inline distT="0" distB="0" distL="0" distR="0" wp14:anchorId="3EC596FA" wp14:editId="188A0F44">
            <wp:extent cx="3162300" cy="819150"/>
            <wp:effectExtent l="38100" t="38100" r="38100" b="3810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819150"/>
                    </a:xfrm>
                    <a:prstGeom prst="rect">
                      <a:avLst/>
                    </a:prstGeom>
                    <a:ln w="28575">
                      <a:solidFill>
                        <a:schemeClr val="tx1"/>
                      </a:solidFill>
                    </a:ln>
                  </pic:spPr>
                </pic:pic>
              </a:graphicData>
            </a:graphic>
          </wp:inline>
        </w:drawing>
      </w:r>
    </w:p>
    <w:p w14:paraId="6C471489" w14:textId="753F3B06" w:rsidR="001224B5" w:rsidRDefault="001224B5" w:rsidP="001224B5">
      <w:pPr>
        <w:rPr>
          <w:lang w:val="es-MX"/>
        </w:rPr>
      </w:pPr>
      <w:r>
        <w:rPr>
          <w:lang w:val="es-MX"/>
        </w:rPr>
        <w:t>Ejecutamos la instrucción 9, pero dado que se trata de una instrucción CALL, notamos que se aumentará el SP y se saltará hasta la instrucción 100.</w:t>
      </w:r>
    </w:p>
    <w:p w14:paraId="15C8565C" w14:textId="1FD69183" w:rsidR="001224B5" w:rsidRDefault="001224B5" w:rsidP="00A815A7">
      <w:pPr>
        <w:pStyle w:val="Ttulo3"/>
        <w:rPr>
          <w:lang w:val="es-MX"/>
        </w:rPr>
      </w:pPr>
      <w:r>
        <w:rPr>
          <w:lang w:val="es-MX"/>
        </w:rPr>
        <w:t xml:space="preserve">2.10 </w:t>
      </w:r>
      <w:r w:rsidRPr="001224B5">
        <w:rPr>
          <w:lang w:val="es-MX"/>
        </w:rPr>
        <w:t>ADD R8, R2, R3</w:t>
      </w:r>
    </w:p>
    <w:p w14:paraId="741BC4F0" w14:textId="29D1B2FC" w:rsidR="00CA3B68" w:rsidRDefault="00CA3B68" w:rsidP="00CA3B68">
      <w:pPr>
        <w:jc w:val="center"/>
        <w:rPr>
          <w:lang w:val="es-MX"/>
        </w:rPr>
      </w:pPr>
      <w:r>
        <w:rPr>
          <w:noProof/>
        </w:rPr>
        <w:drawing>
          <wp:inline distT="0" distB="0" distL="0" distR="0" wp14:anchorId="324C5D73" wp14:editId="15BBD3F0">
            <wp:extent cx="3171825" cy="457200"/>
            <wp:effectExtent l="38100" t="38100" r="47625" b="3810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457200"/>
                    </a:xfrm>
                    <a:prstGeom prst="rect">
                      <a:avLst/>
                    </a:prstGeom>
                    <a:ln w="28575">
                      <a:solidFill>
                        <a:schemeClr val="tx1"/>
                      </a:solidFill>
                    </a:ln>
                  </pic:spPr>
                </pic:pic>
              </a:graphicData>
            </a:graphic>
          </wp:inline>
        </w:drawing>
      </w:r>
    </w:p>
    <w:p w14:paraId="6CCC25BE" w14:textId="0BC10FBA" w:rsidR="00CA3B68" w:rsidRDefault="00CA3B68" w:rsidP="00CA3B68">
      <w:pPr>
        <w:rPr>
          <w:lang w:val="es-MX"/>
        </w:rPr>
      </w:pPr>
      <w:r>
        <w:rPr>
          <w:lang w:val="es-MX"/>
        </w:rPr>
        <w:t>Ejecutamos la instrucción 10 simulando que ocupa el lugar de la instrucción 100. Dado que se trata de una instrucción ADD, SP no se ve afectado.</w:t>
      </w:r>
    </w:p>
    <w:p w14:paraId="08851496" w14:textId="2E317B62" w:rsidR="00CA3B68" w:rsidRDefault="00CA3B68" w:rsidP="00A815A7">
      <w:pPr>
        <w:pStyle w:val="Ttulo3"/>
        <w:rPr>
          <w:lang w:val="es-MX"/>
        </w:rPr>
      </w:pPr>
      <w:r>
        <w:rPr>
          <w:lang w:val="es-MX"/>
        </w:rPr>
        <w:t>2.</w:t>
      </w:r>
      <w:r w:rsidRPr="00CA3B68">
        <w:rPr>
          <w:lang w:val="es-MX"/>
        </w:rPr>
        <w:t>11. SUB R1, R2, R3</w:t>
      </w:r>
    </w:p>
    <w:p w14:paraId="0F9DD00C" w14:textId="2FF65B94" w:rsidR="001224B5" w:rsidRDefault="007B7D5E" w:rsidP="007B7D5E">
      <w:pPr>
        <w:jc w:val="center"/>
        <w:rPr>
          <w:lang w:val="es-MX"/>
        </w:rPr>
      </w:pPr>
      <w:r>
        <w:rPr>
          <w:noProof/>
        </w:rPr>
        <w:drawing>
          <wp:inline distT="0" distB="0" distL="0" distR="0" wp14:anchorId="55D4FE50" wp14:editId="718AFA5D">
            <wp:extent cx="3095625" cy="476250"/>
            <wp:effectExtent l="38100" t="38100" r="47625" b="381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476250"/>
                    </a:xfrm>
                    <a:prstGeom prst="rect">
                      <a:avLst/>
                    </a:prstGeom>
                    <a:ln w="28575">
                      <a:solidFill>
                        <a:schemeClr val="tx1"/>
                      </a:solidFill>
                    </a:ln>
                  </pic:spPr>
                </pic:pic>
              </a:graphicData>
            </a:graphic>
          </wp:inline>
        </w:drawing>
      </w:r>
    </w:p>
    <w:p w14:paraId="19240CA4" w14:textId="43A4D0FF" w:rsidR="007B7D5E" w:rsidRDefault="007B7D5E" w:rsidP="007B7D5E">
      <w:pPr>
        <w:rPr>
          <w:lang w:val="es-MX"/>
        </w:rPr>
      </w:pPr>
      <w:r>
        <w:rPr>
          <w:lang w:val="es-MX"/>
        </w:rPr>
        <w:t>Ejecutamos la instrucción 11 simulando que ocupa el lugar de la instrucción 101. Dado que se trata de una instrucción SUB, SP no se ve afectado.</w:t>
      </w:r>
    </w:p>
    <w:p w14:paraId="24F28F18" w14:textId="2C40E508" w:rsidR="007B7D5E" w:rsidRDefault="007B7D5E" w:rsidP="00A815A7">
      <w:pPr>
        <w:pStyle w:val="Ttulo3"/>
        <w:rPr>
          <w:lang w:val="es-MX"/>
        </w:rPr>
      </w:pPr>
      <w:r>
        <w:rPr>
          <w:lang w:val="es-MX"/>
        </w:rPr>
        <w:t>2.</w:t>
      </w:r>
      <w:r w:rsidRPr="007B7D5E">
        <w:rPr>
          <w:lang w:val="es-MX"/>
        </w:rPr>
        <w:t>12. LI R6, #87</w:t>
      </w:r>
    </w:p>
    <w:p w14:paraId="39DDFBF7" w14:textId="724A9A98" w:rsidR="00473BE4" w:rsidRDefault="00473BE4" w:rsidP="00473BE4">
      <w:pPr>
        <w:jc w:val="center"/>
        <w:rPr>
          <w:lang w:val="es-MX"/>
        </w:rPr>
      </w:pPr>
      <w:r>
        <w:rPr>
          <w:noProof/>
        </w:rPr>
        <w:drawing>
          <wp:inline distT="0" distB="0" distL="0" distR="0" wp14:anchorId="7AA49D36" wp14:editId="412F5BAB">
            <wp:extent cx="3162300" cy="476250"/>
            <wp:effectExtent l="38100" t="38100" r="38100" b="3810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300" cy="476250"/>
                    </a:xfrm>
                    <a:prstGeom prst="rect">
                      <a:avLst/>
                    </a:prstGeom>
                    <a:ln w="28575">
                      <a:solidFill>
                        <a:schemeClr val="tx1"/>
                      </a:solidFill>
                    </a:ln>
                  </pic:spPr>
                </pic:pic>
              </a:graphicData>
            </a:graphic>
          </wp:inline>
        </w:drawing>
      </w:r>
    </w:p>
    <w:p w14:paraId="3319A39E" w14:textId="2115B62E" w:rsidR="00473BE4" w:rsidRDefault="00473BE4" w:rsidP="00473BE4">
      <w:pPr>
        <w:rPr>
          <w:lang w:val="es-MX"/>
        </w:rPr>
      </w:pPr>
      <w:r>
        <w:rPr>
          <w:lang w:val="es-MX"/>
        </w:rPr>
        <w:t>Ejecutamos la instrucción 12 simulando que se trata de la instrucción 102. Al ser una instrucción LI, SP no se modifica.</w:t>
      </w:r>
    </w:p>
    <w:p w14:paraId="77DF2C98" w14:textId="79A47CA2" w:rsidR="00D56529" w:rsidRDefault="00473BE4" w:rsidP="00A815A7">
      <w:pPr>
        <w:pStyle w:val="Ttulo3"/>
        <w:rPr>
          <w:lang w:val="es-MX"/>
        </w:rPr>
      </w:pPr>
      <w:r>
        <w:rPr>
          <w:lang w:val="es-MX"/>
        </w:rPr>
        <w:t>2.</w:t>
      </w:r>
      <w:r w:rsidRPr="00473BE4">
        <w:rPr>
          <w:lang w:val="es-MX"/>
        </w:rPr>
        <w:t>13. RET</w:t>
      </w:r>
    </w:p>
    <w:p w14:paraId="48C99DC9" w14:textId="364E58C0" w:rsidR="00D56529" w:rsidRDefault="00D56529" w:rsidP="00D56529">
      <w:pPr>
        <w:jc w:val="center"/>
        <w:rPr>
          <w:lang w:val="es-MX"/>
        </w:rPr>
      </w:pPr>
      <w:r>
        <w:rPr>
          <w:noProof/>
        </w:rPr>
        <w:drawing>
          <wp:inline distT="0" distB="0" distL="0" distR="0" wp14:anchorId="7DA07503" wp14:editId="3B880A98">
            <wp:extent cx="3152775" cy="847725"/>
            <wp:effectExtent l="38100" t="38100" r="47625" b="476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847725"/>
                    </a:xfrm>
                    <a:prstGeom prst="rect">
                      <a:avLst/>
                    </a:prstGeom>
                    <a:ln w="28575">
                      <a:solidFill>
                        <a:schemeClr val="tx1"/>
                      </a:solidFill>
                    </a:ln>
                  </pic:spPr>
                </pic:pic>
              </a:graphicData>
            </a:graphic>
          </wp:inline>
        </w:drawing>
      </w:r>
    </w:p>
    <w:p w14:paraId="76AF8800" w14:textId="26555118" w:rsidR="00D56529" w:rsidRDefault="00D56529" w:rsidP="00D56529">
      <w:pPr>
        <w:rPr>
          <w:lang w:val="es-MX"/>
        </w:rPr>
      </w:pPr>
      <w:r>
        <w:rPr>
          <w:lang w:val="es-MX"/>
        </w:rPr>
        <w:t>Ejecutamos la instrucción 13 simulando ser la 103. Al ser un RET, SP se reduce en una unidad, por lo cual regresar</w:t>
      </w:r>
      <w:r w:rsidR="00DA6801">
        <w:rPr>
          <w:lang w:val="es-MX"/>
        </w:rPr>
        <w:t xml:space="preserve">á a 1. Además, dado que </w:t>
      </w:r>
      <w:proofErr w:type="gramStart"/>
      <w:r w:rsidR="00DA6801">
        <w:rPr>
          <w:lang w:val="es-MX"/>
        </w:rPr>
        <w:t>Pila[</w:t>
      </w:r>
      <w:proofErr w:type="gramEnd"/>
      <w:r w:rsidR="00DA6801">
        <w:rPr>
          <w:lang w:val="es-MX"/>
        </w:rPr>
        <w:t>SP] = 99 en la ultima iteración de SP = 1, ahora existe el aumento provocado por RET, es decir Pila[SP] = 100.</w:t>
      </w:r>
    </w:p>
    <w:p w14:paraId="27C7285F" w14:textId="2B076158" w:rsidR="00DA6801" w:rsidRDefault="00DA6801" w:rsidP="00A815A7">
      <w:pPr>
        <w:pStyle w:val="Ttulo3"/>
        <w:rPr>
          <w:lang w:val="es-MX"/>
        </w:rPr>
      </w:pPr>
      <w:r>
        <w:rPr>
          <w:lang w:val="es-MX"/>
        </w:rPr>
        <w:lastRenderedPageBreak/>
        <w:t>2.</w:t>
      </w:r>
      <w:r w:rsidRPr="00DA6801">
        <w:rPr>
          <w:lang w:val="es-MX"/>
        </w:rPr>
        <w:t>14. SUB R1, R2, R3</w:t>
      </w:r>
    </w:p>
    <w:p w14:paraId="49C2727D" w14:textId="552E4010" w:rsidR="00DA6801" w:rsidRDefault="00DA6801" w:rsidP="00DA6801">
      <w:pPr>
        <w:jc w:val="center"/>
        <w:rPr>
          <w:lang w:val="es-MX"/>
        </w:rPr>
      </w:pPr>
      <w:r>
        <w:rPr>
          <w:noProof/>
        </w:rPr>
        <w:drawing>
          <wp:inline distT="0" distB="0" distL="0" distR="0" wp14:anchorId="34DDAC77" wp14:editId="02FAEEA0">
            <wp:extent cx="3295650" cy="457200"/>
            <wp:effectExtent l="38100" t="38100" r="38100" b="3810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5650" cy="457200"/>
                    </a:xfrm>
                    <a:prstGeom prst="rect">
                      <a:avLst/>
                    </a:prstGeom>
                    <a:ln w="28575">
                      <a:solidFill>
                        <a:schemeClr val="tx1"/>
                      </a:solidFill>
                    </a:ln>
                  </pic:spPr>
                </pic:pic>
              </a:graphicData>
            </a:graphic>
          </wp:inline>
        </w:drawing>
      </w:r>
    </w:p>
    <w:p w14:paraId="6A5C9082" w14:textId="6CE104C6" w:rsidR="00DA6801" w:rsidRDefault="00DA6801" w:rsidP="00DA6801">
      <w:pPr>
        <w:rPr>
          <w:lang w:val="es-MX"/>
        </w:rPr>
      </w:pPr>
      <w:r>
        <w:rPr>
          <w:lang w:val="es-MX"/>
        </w:rPr>
        <w:t>Ejecutamos la instrucción 14 como si se tratara de la 100, esto con el fin de dar continuidad al programa. Dado que se trata de una instrucción SUB, no se afecta al SP.</w:t>
      </w:r>
    </w:p>
    <w:p w14:paraId="0F8113EC" w14:textId="633039BD" w:rsidR="00DA6801" w:rsidRDefault="003B533A" w:rsidP="00A815A7">
      <w:pPr>
        <w:pStyle w:val="Ttulo3"/>
        <w:rPr>
          <w:lang w:val="es-MX"/>
        </w:rPr>
      </w:pPr>
      <w:r>
        <w:rPr>
          <w:lang w:val="es-MX"/>
        </w:rPr>
        <w:t>2.</w:t>
      </w:r>
      <w:r w:rsidRPr="003B533A">
        <w:rPr>
          <w:lang w:val="es-MX"/>
        </w:rPr>
        <w:t>15. LI R6, #87</w:t>
      </w:r>
    </w:p>
    <w:p w14:paraId="4C23E266" w14:textId="2038DA2B" w:rsidR="003B533A" w:rsidRDefault="003B533A" w:rsidP="003B533A">
      <w:pPr>
        <w:jc w:val="center"/>
        <w:rPr>
          <w:lang w:val="es-MX"/>
        </w:rPr>
      </w:pPr>
      <w:r>
        <w:rPr>
          <w:noProof/>
        </w:rPr>
        <w:drawing>
          <wp:inline distT="0" distB="0" distL="0" distR="0" wp14:anchorId="2EEDA65D" wp14:editId="5121BBBF">
            <wp:extent cx="3114675" cy="495300"/>
            <wp:effectExtent l="38100" t="38100" r="47625" b="3810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495300"/>
                    </a:xfrm>
                    <a:prstGeom prst="rect">
                      <a:avLst/>
                    </a:prstGeom>
                    <a:ln w="28575">
                      <a:solidFill>
                        <a:schemeClr val="tx1"/>
                      </a:solidFill>
                    </a:ln>
                  </pic:spPr>
                </pic:pic>
              </a:graphicData>
            </a:graphic>
          </wp:inline>
        </w:drawing>
      </w:r>
    </w:p>
    <w:p w14:paraId="40167538" w14:textId="651D9545" w:rsidR="003B533A" w:rsidRDefault="003B533A" w:rsidP="003B533A">
      <w:pPr>
        <w:rPr>
          <w:lang w:val="es-MX"/>
        </w:rPr>
      </w:pPr>
      <w:r>
        <w:rPr>
          <w:lang w:val="es-MX"/>
        </w:rPr>
        <w:t>Ejecutamos la instrucción 15 como si se tratara de la 101. Dado que se trata de una instrucción LI, el SP no se ve afectado.</w:t>
      </w:r>
    </w:p>
    <w:p w14:paraId="1D6C71E1" w14:textId="162C7378" w:rsidR="003B533A" w:rsidRDefault="003B533A" w:rsidP="00A815A7">
      <w:pPr>
        <w:pStyle w:val="Ttulo3"/>
        <w:rPr>
          <w:lang w:val="es-MX"/>
        </w:rPr>
      </w:pPr>
      <w:r>
        <w:rPr>
          <w:lang w:val="es-MX"/>
        </w:rPr>
        <w:t>2.</w:t>
      </w:r>
      <w:r w:rsidRPr="003B533A">
        <w:rPr>
          <w:lang w:val="es-MX"/>
        </w:rPr>
        <w:t>16. RET</w:t>
      </w:r>
    </w:p>
    <w:p w14:paraId="42567758" w14:textId="6E24C17E" w:rsidR="003B533A" w:rsidRDefault="00DB016A" w:rsidP="003B533A">
      <w:pPr>
        <w:jc w:val="center"/>
        <w:rPr>
          <w:lang w:val="es-MX"/>
        </w:rPr>
      </w:pPr>
      <w:r>
        <w:rPr>
          <w:noProof/>
        </w:rPr>
        <w:drawing>
          <wp:inline distT="0" distB="0" distL="0" distR="0" wp14:anchorId="131FFBE8" wp14:editId="7C366BF4">
            <wp:extent cx="3133725" cy="838200"/>
            <wp:effectExtent l="38100" t="38100" r="47625" b="3810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3725" cy="838200"/>
                    </a:xfrm>
                    <a:prstGeom prst="rect">
                      <a:avLst/>
                    </a:prstGeom>
                    <a:ln w="28575">
                      <a:solidFill>
                        <a:schemeClr val="tx1"/>
                      </a:solidFill>
                    </a:ln>
                  </pic:spPr>
                </pic:pic>
              </a:graphicData>
            </a:graphic>
          </wp:inline>
        </w:drawing>
      </w:r>
    </w:p>
    <w:p w14:paraId="576F2FE5" w14:textId="4ED85A90" w:rsidR="003B533A" w:rsidRDefault="003B533A" w:rsidP="003B533A">
      <w:pPr>
        <w:rPr>
          <w:lang w:val="es-MX"/>
        </w:rPr>
      </w:pPr>
      <w:r>
        <w:rPr>
          <w:lang w:val="es-MX"/>
        </w:rPr>
        <w:t xml:space="preserve">Ejecutamos la instrucción 16 como si se tratara de la 102. Dado que se trata de una instrucción RET, observamos que SP se redujo a 0, mientras que </w:t>
      </w:r>
      <w:proofErr w:type="gramStart"/>
      <w:r>
        <w:rPr>
          <w:lang w:val="es-MX"/>
        </w:rPr>
        <w:t>Pila[</w:t>
      </w:r>
      <w:proofErr w:type="gramEnd"/>
      <w:r>
        <w:rPr>
          <w:lang w:val="es-MX"/>
        </w:rPr>
        <w:t>0] se aumentó en 1 desde la última iteración.</w:t>
      </w:r>
    </w:p>
    <w:p w14:paraId="5D1727F1" w14:textId="6565401C" w:rsidR="00DB016A" w:rsidRDefault="00DB016A" w:rsidP="00A815A7">
      <w:pPr>
        <w:pStyle w:val="Ttulo3"/>
        <w:rPr>
          <w:lang w:val="es-MX"/>
        </w:rPr>
      </w:pPr>
      <w:r>
        <w:rPr>
          <w:lang w:val="es-MX"/>
        </w:rPr>
        <w:t>2.</w:t>
      </w:r>
      <w:r w:rsidRPr="00DB016A">
        <w:rPr>
          <w:lang w:val="es-MX"/>
        </w:rPr>
        <w:t>17. B 300</w:t>
      </w:r>
    </w:p>
    <w:p w14:paraId="78595ED1" w14:textId="10F9CEB8" w:rsidR="00DB016A" w:rsidRDefault="00DB016A" w:rsidP="00DB016A">
      <w:pPr>
        <w:jc w:val="center"/>
        <w:rPr>
          <w:lang w:val="es-MX"/>
        </w:rPr>
      </w:pPr>
      <w:r>
        <w:rPr>
          <w:noProof/>
        </w:rPr>
        <w:drawing>
          <wp:inline distT="0" distB="0" distL="0" distR="0" wp14:anchorId="5A7C3259" wp14:editId="275E0EAC">
            <wp:extent cx="3171825" cy="819150"/>
            <wp:effectExtent l="38100" t="38100" r="47625" b="3810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1825" cy="819150"/>
                    </a:xfrm>
                    <a:prstGeom prst="rect">
                      <a:avLst/>
                    </a:prstGeom>
                    <a:ln w="28575">
                      <a:solidFill>
                        <a:schemeClr val="tx1"/>
                      </a:solidFill>
                    </a:ln>
                  </pic:spPr>
                </pic:pic>
              </a:graphicData>
            </a:graphic>
          </wp:inline>
        </w:drawing>
      </w:r>
    </w:p>
    <w:p w14:paraId="3C3D68BD" w14:textId="4E7D4379" w:rsidR="00DB016A" w:rsidRDefault="00DB016A" w:rsidP="00DB016A">
      <w:pPr>
        <w:rPr>
          <w:lang w:val="es-MX"/>
        </w:rPr>
      </w:pPr>
      <w:r>
        <w:rPr>
          <w:lang w:val="es-MX"/>
        </w:rPr>
        <w:t>Ejecutamos la instrucción 17 como si se tratara de la 37, además notamos que, dado que se trata de una instrucción B, el contador del programa PC[SP] = 300.</w:t>
      </w:r>
    </w:p>
    <w:p w14:paraId="73347350" w14:textId="4C7AC727" w:rsidR="00DB016A" w:rsidRDefault="00DB016A" w:rsidP="00A815A7">
      <w:pPr>
        <w:pStyle w:val="Ttulo3"/>
        <w:rPr>
          <w:lang w:val="es-MX"/>
        </w:rPr>
      </w:pPr>
      <w:r>
        <w:rPr>
          <w:lang w:val="es-MX"/>
        </w:rPr>
        <w:t xml:space="preserve">2.18 </w:t>
      </w:r>
      <w:r w:rsidR="00A815A7" w:rsidRPr="00A815A7">
        <w:rPr>
          <w:lang w:val="es-MX"/>
        </w:rPr>
        <w:t>CALL 889</w:t>
      </w:r>
      <w:r>
        <w:rPr>
          <w:lang w:val="es-MX"/>
        </w:rPr>
        <w:t xml:space="preserve"> </w:t>
      </w:r>
    </w:p>
    <w:p w14:paraId="4FA1B2C3" w14:textId="0C6CD7CC" w:rsidR="00C85189" w:rsidRDefault="00C85189" w:rsidP="00C85189">
      <w:pPr>
        <w:jc w:val="center"/>
        <w:rPr>
          <w:lang w:val="es-MX"/>
        </w:rPr>
      </w:pPr>
      <w:r>
        <w:rPr>
          <w:noProof/>
        </w:rPr>
        <w:drawing>
          <wp:inline distT="0" distB="0" distL="0" distR="0" wp14:anchorId="469F65FB" wp14:editId="7FA3DB1E">
            <wp:extent cx="3295650" cy="819150"/>
            <wp:effectExtent l="38100" t="38100" r="38100" b="3810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5650" cy="819150"/>
                    </a:xfrm>
                    <a:prstGeom prst="rect">
                      <a:avLst/>
                    </a:prstGeom>
                    <a:ln w="28575">
                      <a:solidFill>
                        <a:schemeClr val="tx1"/>
                      </a:solidFill>
                    </a:ln>
                  </pic:spPr>
                </pic:pic>
              </a:graphicData>
            </a:graphic>
          </wp:inline>
        </w:drawing>
      </w:r>
    </w:p>
    <w:p w14:paraId="24CF374B" w14:textId="515A0F4E" w:rsidR="00473BE4" w:rsidRDefault="00B7446F" w:rsidP="007B7D5E">
      <w:pPr>
        <w:rPr>
          <w:lang w:val="es-MX"/>
        </w:rPr>
      </w:pPr>
      <w:r>
        <w:rPr>
          <w:lang w:val="es-MX"/>
        </w:rPr>
        <w:t>Ejecutamos la instrucción 18 como si de la 300 se tratara. Al ser un</w:t>
      </w:r>
      <w:r w:rsidR="00A815A7">
        <w:rPr>
          <w:lang w:val="es-MX"/>
        </w:rPr>
        <w:t>a instrucción</w:t>
      </w:r>
      <w:r>
        <w:rPr>
          <w:lang w:val="es-MX"/>
        </w:rPr>
        <w:t xml:space="preserve"> CALL, el SP aumenta en 1, mientras que </w:t>
      </w:r>
      <w:proofErr w:type="gramStart"/>
      <w:r w:rsidR="00C85189">
        <w:rPr>
          <w:lang w:val="es-MX"/>
        </w:rPr>
        <w:t>Pila[</w:t>
      </w:r>
      <w:proofErr w:type="gramEnd"/>
      <w:r w:rsidR="00C85189">
        <w:rPr>
          <w:lang w:val="es-MX"/>
        </w:rPr>
        <w:t>1] = 889.</w:t>
      </w:r>
    </w:p>
    <w:p w14:paraId="03A3C0C4" w14:textId="1BC3DF4D" w:rsidR="00C85189" w:rsidRDefault="00C85189" w:rsidP="00A815A7">
      <w:pPr>
        <w:pStyle w:val="Ttulo3"/>
        <w:rPr>
          <w:lang w:val="es-MX"/>
        </w:rPr>
      </w:pPr>
      <w:r>
        <w:rPr>
          <w:lang w:val="es-MX"/>
        </w:rPr>
        <w:t>2.</w:t>
      </w:r>
      <w:r w:rsidRPr="00C85189">
        <w:rPr>
          <w:lang w:val="es-MX"/>
        </w:rPr>
        <w:t>19. ADD R8, R2, R3</w:t>
      </w:r>
    </w:p>
    <w:p w14:paraId="4F4F74F6" w14:textId="52BB94FB" w:rsidR="00AC6E99" w:rsidRDefault="00AC6E99" w:rsidP="00AC6E99">
      <w:pPr>
        <w:jc w:val="center"/>
        <w:rPr>
          <w:lang w:val="es-MX"/>
        </w:rPr>
      </w:pPr>
      <w:r>
        <w:rPr>
          <w:noProof/>
        </w:rPr>
        <w:drawing>
          <wp:inline distT="0" distB="0" distL="0" distR="0" wp14:anchorId="014F4E82" wp14:editId="70B3B8AB">
            <wp:extent cx="3181350" cy="485775"/>
            <wp:effectExtent l="38100" t="38100" r="38100" b="476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350" cy="485775"/>
                    </a:xfrm>
                    <a:prstGeom prst="rect">
                      <a:avLst/>
                    </a:prstGeom>
                    <a:ln w="28575">
                      <a:solidFill>
                        <a:schemeClr val="tx1"/>
                      </a:solidFill>
                    </a:ln>
                  </pic:spPr>
                </pic:pic>
              </a:graphicData>
            </a:graphic>
          </wp:inline>
        </w:drawing>
      </w:r>
    </w:p>
    <w:p w14:paraId="6B0368FA" w14:textId="439570C0" w:rsidR="00C85189" w:rsidRDefault="00C85189" w:rsidP="007B7D5E">
      <w:pPr>
        <w:rPr>
          <w:lang w:val="es-MX"/>
        </w:rPr>
      </w:pPr>
      <w:r>
        <w:rPr>
          <w:lang w:val="es-MX"/>
        </w:rPr>
        <w:lastRenderedPageBreak/>
        <w:t>Ejecutamos la instrucción 19 como si se tratara de la 889.</w:t>
      </w:r>
      <w:r w:rsidR="00AC6E99">
        <w:rPr>
          <w:lang w:val="es-MX"/>
        </w:rPr>
        <w:t xml:space="preserve"> Dado que es una instrucción ADD, el SP no cambia.</w:t>
      </w:r>
    </w:p>
    <w:p w14:paraId="5713557F" w14:textId="18C0A33C" w:rsidR="00AC6E99" w:rsidRDefault="00AC6E99" w:rsidP="00A815A7">
      <w:pPr>
        <w:pStyle w:val="Ttulo3"/>
        <w:rPr>
          <w:lang w:val="es-MX"/>
        </w:rPr>
      </w:pPr>
      <w:r>
        <w:rPr>
          <w:lang w:val="es-MX"/>
        </w:rPr>
        <w:t>2.</w:t>
      </w:r>
      <w:r w:rsidRPr="00AC6E99">
        <w:rPr>
          <w:lang w:val="es-MX"/>
        </w:rPr>
        <w:t>20. SUB R1, R2, R3</w:t>
      </w:r>
    </w:p>
    <w:p w14:paraId="3142E474" w14:textId="06A57F94" w:rsidR="00AC6E99" w:rsidRDefault="00AC6E99" w:rsidP="00AC6E99">
      <w:pPr>
        <w:jc w:val="center"/>
        <w:rPr>
          <w:lang w:val="es-MX"/>
        </w:rPr>
      </w:pPr>
      <w:r>
        <w:rPr>
          <w:noProof/>
        </w:rPr>
        <w:drawing>
          <wp:inline distT="0" distB="0" distL="0" distR="0" wp14:anchorId="0C951312" wp14:editId="60F4AE06">
            <wp:extent cx="3152775" cy="466725"/>
            <wp:effectExtent l="38100" t="38100" r="47625" b="476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2775" cy="466725"/>
                    </a:xfrm>
                    <a:prstGeom prst="rect">
                      <a:avLst/>
                    </a:prstGeom>
                    <a:ln w="28575">
                      <a:solidFill>
                        <a:schemeClr val="tx1"/>
                      </a:solidFill>
                    </a:ln>
                  </pic:spPr>
                </pic:pic>
              </a:graphicData>
            </a:graphic>
          </wp:inline>
        </w:drawing>
      </w:r>
    </w:p>
    <w:p w14:paraId="161BF496" w14:textId="66E8512E" w:rsidR="00AC6E99" w:rsidRDefault="00AC6E99" w:rsidP="00AC6E99">
      <w:pPr>
        <w:rPr>
          <w:lang w:val="es-MX"/>
        </w:rPr>
      </w:pPr>
      <w:r>
        <w:rPr>
          <w:lang w:val="es-MX"/>
        </w:rPr>
        <w:t>Ejecutamos la instrucción 20 como si fuera la 890 Dado que se trata de una instrucción SUB, el SP no se ve afectado.</w:t>
      </w:r>
    </w:p>
    <w:p w14:paraId="797F39C8" w14:textId="6FBBADAF" w:rsidR="00AC6E99" w:rsidRDefault="00AC6E99" w:rsidP="00A815A7">
      <w:pPr>
        <w:pStyle w:val="Ttulo3"/>
        <w:rPr>
          <w:lang w:val="es-MX"/>
        </w:rPr>
      </w:pPr>
      <w:r>
        <w:rPr>
          <w:lang w:val="es-MX"/>
        </w:rPr>
        <w:t>2.</w:t>
      </w:r>
      <w:r w:rsidRPr="00AC6E99">
        <w:rPr>
          <w:lang w:val="es-MX"/>
        </w:rPr>
        <w:t>21. LI R6, #87</w:t>
      </w:r>
    </w:p>
    <w:p w14:paraId="0E0312DB" w14:textId="652325DD" w:rsidR="00AC6E99" w:rsidRDefault="00A815A7" w:rsidP="00A815A7">
      <w:pPr>
        <w:jc w:val="center"/>
        <w:rPr>
          <w:lang w:val="es-MX"/>
        </w:rPr>
      </w:pPr>
      <w:r>
        <w:rPr>
          <w:noProof/>
        </w:rPr>
        <w:drawing>
          <wp:inline distT="0" distB="0" distL="0" distR="0" wp14:anchorId="79E9865D" wp14:editId="6112E0C5">
            <wp:extent cx="3152775" cy="504825"/>
            <wp:effectExtent l="38100" t="38100" r="47625" b="476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52775" cy="504825"/>
                    </a:xfrm>
                    <a:prstGeom prst="rect">
                      <a:avLst/>
                    </a:prstGeom>
                    <a:ln w="28575">
                      <a:solidFill>
                        <a:schemeClr val="tx1"/>
                      </a:solidFill>
                    </a:ln>
                  </pic:spPr>
                </pic:pic>
              </a:graphicData>
            </a:graphic>
          </wp:inline>
        </w:drawing>
      </w:r>
    </w:p>
    <w:p w14:paraId="10707DF5" w14:textId="2F28E554" w:rsidR="00A815A7" w:rsidRDefault="00A815A7" w:rsidP="00A815A7">
      <w:pPr>
        <w:rPr>
          <w:lang w:val="es-MX"/>
        </w:rPr>
      </w:pPr>
      <w:r>
        <w:rPr>
          <w:lang w:val="es-MX"/>
        </w:rPr>
        <w:t>Ejecutamos la instrucción 21 como si se tratara de la 891. Dado que se trata de una instrucción LI, el SP no se ve afectado.</w:t>
      </w:r>
    </w:p>
    <w:p w14:paraId="12701C18" w14:textId="332762B0" w:rsidR="00890EE8" w:rsidRDefault="00A815A7" w:rsidP="00A815A7">
      <w:pPr>
        <w:pStyle w:val="Ttulo3"/>
        <w:rPr>
          <w:lang w:val="es-MX"/>
        </w:rPr>
      </w:pPr>
      <w:r>
        <w:rPr>
          <w:lang w:val="es-MX"/>
        </w:rPr>
        <w:t>2.22 RET</w:t>
      </w:r>
    </w:p>
    <w:p w14:paraId="66A5DD1F" w14:textId="24C79ABF" w:rsidR="00350B72" w:rsidRDefault="00A815A7" w:rsidP="00A815A7">
      <w:pPr>
        <w:jc w:val="center"/>
        <w:rPr>
          <w:lang w:val="es-MX"/>
        </w:rPr>
      </w:pPr>
      <w:r>
        <w:rPr>
          <w:noProof/>
        </w:rPr>
        <w:drawing>
          <wp:inline distT="0" distB="0" distL="0" distR="0" wp14:anchorId="559C3DB5" wp14:editId="574FDF3E">
            <wp:extent cx="3143250" cy="885825"/>
            <wp:effectExtent l="38100" t="38100" r="38100" b="476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3250" cy="885825"/>
                    </a:xfrm>
                    <a:prstGeom prst="rect">
                      <a:avLst/>
                    </a:prstGeom>
                    <a:ln w="28575">
                      <a:solidFill>
                        <a:schemeClr val="tx1"/>
                      </a:solidFill>
                    </a:ln>
                  </pic:spPr>
                </pic:pic>
              </a:graphicData>
            </a:graphic>
          </wp:inline>
        </w:drawing>
      </w:r>
    </w:p>
    <w:p w14:paraId="18884876" w14:textId="02D82F8E" w:rsidR="00A815A7" w:rsidRDefault="00A815A7" w:rsidP="00A815A7">
      <w:pPr>
        <w:rPr>
          <w:lang w:val="es-MX"/>
        </w:rPr>
      </w:pPr>
      <w:r>
        <w:rPr>
          <w:lang w:val="es-MX"/>
        </w:rPr>
        <w:t xml:space="preserve">Ejecutamos la instrucción 22 como si se tratara de la 892. Dado que se trata de un RET, el SP se reduce a 0, por lo cual </w:t>
      </w:r>
      <w:proofErr w:type="gramStart"/>
      <w:r>
        <w:rPr>
          <w:lang w:val="es-MX"/>
        </w:rPr>
        <w:t>SP[</w:t>
      </w:r>
      <w:proofErr w:type="gramEnd"/>
      <w:r>
        <w:rPr>
          <w:lang w:val="es-MX"/>
        </w:rPr>
        <w:t>0] sufre un aumento, es decir que de 300 pasa a 301.</w:t>
      </w:r>
    </w:p>
    <w:p w14:paraId="3AA5175A" w14:textId="32695FBD" w:rsidR="00A815A7" w:rsidRDefault="00A815A7" w:rsidP="00A815A7">
      <w:pPr>
        <w:pStyle w:val="Ttulo3"/>
        <w:rPr>
          <w:lang w:val="es-MX"/>
        </w:rPr>
      </w:pPr>
      <w:r>
        <w:rPr>
          <w:lang w:val="es-MX"/>
        </w:rPr>
        <w:t>2.23 RET</w:t>
      </w:r>
    </w:p>
    <w:p w14:paraId="0F8AB040" w14:textId="54EFE545" w:rsidR="00A815A7" w:rsidRDefault="00A815A7" w:rsidP="00A815A7">
      <w:pPr>
        <w:jc w:val="center"/>
        <w:rPr>
          <w:lang w:val="es-MX"/>
        </w:rPr>
      </w:pPr>
      <w:r>
        <w:rPr>
          <w:noProof/>
        </w:rPr>
        <w:drawing>
          <wp:inline distT="0" distB="0" distL="0" distR="0" wp14:anchorId="2F781DE7" wp14:editId="75530A01">
            <wp:extent cx="3257550" cy="800100"/>
            <wp:effectExtent l="38100" t="38100" r="38100" b="3810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7550" cy="800100"/>
                    </a:xfrm>
                    <a:prstGeom prst="rect">
                      <a:avLst/>
                    </a:prstGeom>
                    <a:ln w="28575">
                      <a:solidFill>
                        <a:schemeClr val="tx1"/>
                      </a:solidFill>
                    </a:ln>
                  </pic:spPr>
                </pic:pic>
              </a:graphicData>
            </a:graphic>
          </wp:inline>
        </w:drawing>
      </w:r>
    </w:p>
    <w:p w14:paraId="123B60C9" w14:textId="6C903CB0" w:rsidR="00A815A7" w:rsidRDefault="00A815A7" w:rsidP="00A815A7">
      <w:pPr>
        <w:rPr>
          <w:lang w:val="es-MX"/>
        </w:rPr>
      </w:pPr>
      <w:r>
        <w:rPr>
          <w:lang w:val="es-MX"/>
        </w:rPr>
        <w:t xml:space="preserve">Ejecutamos la instrucción 23, dado que esta instrucción es un RET el SP se reduce en 1, sin embargo, notamos que al estar en 0 existe un desborde, por lo cual en lugar de reducir a SP=-1, esta toma el valor de 7, el cual es el ultimo elemento de la pila. Además </w:t>
      </w:r>
      <w:proofErr w:type="gramStart"/>
      <w:r>
        <w:rPr>
          <w:lang w:val="es-MX"/>
        </w:rPr>
        <w:t>Pila[</w:t>
      </w:r>
      <w:proofErr w:type="gramEnd"/>
      <w:r>
        <w:rPr>
          <w:lang w:val="es-MX"/>
        </w:rPr>
        <w:t>7] se incremente en 1, por lo cual obtenemos a Pila[7] = 1.</w:t>
      </w:r>
    </w:p>
    <w:p w14:paraId="4451C685" w14:textId="3C33184C" w:rsidR="00A815A7" w:rsidRDefault="00A815A7" w:rsidP="00A815A7">
      <w:pPr>
        <w:pStyle w:val="Ttulo3"/>
        <w:rPr>
          <w:lang w:val="es-MX"/>
        </w:rPr>
      </w:pPr>
      <w:r>
        <w:rPr>
          <w:lang w:val="es-MX"/>
        </w:rPr>
        <w:t xml:space="preserve">2.24 </w:t>
      </w:r>
      <w:proofErr w:type="spellStart"/>
      <w:r>
        <w:rPr>
          <w:lang w:val="es-MX"/>
        </w:rPr>
        <w:t>get</w:t>
      </w:r>
      <w:proofErr w:type="spellEnd"/>
    </w:p>
    <w:p w14:paraId="0F3802DD" w14:textId="2E6DAF0D" w:rsidR="00A815A7" w:rsidRDefault="00A815A7" w:rsidP="00A815A7">
      <w:pPr>
        <w:jc w:val="center"/>
        <w:rPr>
          <w:lang w:val="es-MX"/>
        </w:rPr>
      </w:pPr>
      <w:r>
        <w:rPr>
          <w:noProof/>
        </w:rPr>
        <w:drawing>
          <wp:inline distT="0" distB="0" distL="0" distR="0" wp14:anchorId="0244D790" wp14:editId="7D89E6F1">
            <wp:extent cx="3200400" cy="1543050"/>
            <wp:effectExtent l="38100" t="38100" r="38100" b="3810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400" cy="1543050"/>
                    </a:xfrm>
                    <a:prstGeom prst="rect">
                      <a:avLst/>
                    </a:prstGeom>
                    <a:ln w="28575">
                      <a:solidFill>
                        <a:schemeClr val="tx1"/>
                      </a:solidFill>
                    </a:ln>
                  </pic:spPr>
                </pic:pic>
              </a:graphicData>
            </a:graphic>
          </wp:inline>
        </w:drawing>
      </w:r>
    </w:p>
    <w:p w14:paraId="40E1572C" w14:textId="5DE47DB1" w:rsidR="00A815A7" w:rsidRDefault="00A815A7" w:rsidP="00A815A7">
      <w:pPr>
        <w:rPr>
          <w:lang w:val="es-MX"/>
        </w:rPr>
      </w:pPr>
      <w:r>
        <w:rPr>
          <w:lang w:val="es-MX"/>
        </w:rPr>
        <w:lastRenderedPageBreak/>
        <w:t>Observamos que las localidades del contador del programa se han quedado en su ultimo valor de modificación, además, tal como se esperaba, el desborde ha afectado el ultimo elemento de la pila.</w:t>
      </w:r>
    </w:p>
    <w:p w14:paraId="21B6EADC" w14:textId="77777777" w:rsidR="00A815A7" w:rsidRDefault="00A815A7" w:rsidP="00A815A7">
      <w:pPr>
        <w:rPr>
          <w:lang w:val="es-MX"/>
        </w:rPr>
      </w:pPr>
    </w:p>
    <w:p w14:paraId="1D5ABC28" w14:textId="77777777" w:rsidR="00A815A7" w:rsidRDefault="00A815A7" w:rsidP="00A815A7">
      <w:pPr>
        <w:rPr>
          <w:lang w:val="es-MX"/>
        </w:rPr>
      </w:pPr>
    </w:p>
    <w:p w14:paraId="5A6DABB2" w14:textId="77777777" w:rsidR="00350B72" w:rsidRDefault="00350B72" w:rsidP="00350B72">
      <w:pPr>
        <w:rPr>
          <w:lang w:val="es-MX"/>
        </w:rPr>
      </w:pPr>
    </w:p>
    <w:p w14:paraId="4C2D296D" w14:textId="77777777" w:rsidR="00350B72" w:rsidRDefault="00350B72" w:rsidP="006E0614">
      <w:pPr>
        <w:rPr>
          <w:lang w:val="es-MX"/>
        </w:rPr>
      </w:pPr>
    </w:p>
    <w:p w14:paraId="17688A81" w14:textId="77777777" w:rsidR="006E0614" w:rsidRDefault="006E0614" w:rsidP="006E0614">
      <w:pPr>
        <w:rPr>
          <w:lang w:val="es-MX"/>
        </w:rPr>
      </w:pPr>
    </w:p>
    <w:p w14:paraId="5D7828F4" w14:textId="312AC8B4" w:rsidR="006E0614" w:rsidRDefault="006E0614" w:rsidP="006E0614">
      <w:pPr>
        <w:rPr>
          <w:lang w:val="es-MX"/>
        </w:rPr>
      </w:pPr>
    </w:p>
    <w:sectPr w:rsidR="006E0614">
      <w:headerReference w:type="default" r:id="rId32"/>
      <w:footerReference w:type="default" r:id="rId3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83079" w14:textId="77777777" w:rsidR="00E01A19" w:rsidRDefault="00E01A19" w:rsidP="009F0C04">
      <w:pPr>
        <w:spacing w:after="0" w:line="240" w:lineRule="auto"/>
      </w:pPr>
      <w:r>
        <w:separator/>
      </w:r>
    </w:p>
  </w:endnote>
  <w:endnote w:type="continuationSeparator" w:id="0">
    <w:p w14:paraId="3951FE46" w14:textId="77777777" w:rsidR="00E01A19" w:rsidRDefault="00E01A19" w:rsidP="009F0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870D4" w14:textId="73DDA9C1" w:rsidR="009F0C04" w:rsidRPr="009F0C04" w:rsidRDefault="009F0C04">
    <w:pPr>
      <w:pStyle w:val="Piedepgina"/>
      <w:rPr>
        <w:lang w:val="es-MX"/>
      </w:rPr>
    </w:pPr>
    <w:r>
      <w:rPr>
        <w:lang w:val="es-MX"/>
      </w:rPr>
      <w:t>Práctica 9</w:t>
    </w:r>
    <w:r>
      <w:rPr>
        <w:lang w:val="es-MX"/>
      </w:rPr>
      <w:tab/>
    </w:r>
    <w:r>
      <w:rPr>
        <w:lang w:val="es-MX"/>
      </w:rPr>
      <w:tab/>
      <w:t>3CV8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494CA" w14:textId="77777777" w:rsidR="00E01A19" w:rsidRDefault="00E01A19" w:rsidP="009F0C04">
      <w:pPr>
        <w:spacing w:after="0" w:line="240" w:lineRule="auto"/>
      </w:pPr>
      <w:r>
        <w:separator/>
      </w:r>
    </w:p>
  </w:footnote>
  <w:footnote w:type="continuationSeparator" w:id="0">
    <w:p w14:paraId="6617D572" w14:textId="77777777" w:rsidR="00E01A19" w:rsidRDefault="00E01A19" w:rsidP="009F0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DBC5A" w14:textId="6A1CD507" w:rsidR="009F0C04" w:rsidRPr="009F0C04" w:rsidRDefault="009F0C04">
    <w:pPr>
      <w:pStyle w:val="Encabezado"/>
      <w:rPr>
        <w:lang w:val="es-MX"/>
      </w:rPr>
    </w:pPr>
    <w:r>
      <w:rPr>
        <w:lang w:val="es-MX"/>
      </w:rPr>
      <w:t>Arquitectura de Computadoras</w:t>
    </w:r>
    <w:r>
      <w:rPr>
        <w:lang w:val="es-MX"/>
      </w:rPr>
      <w:tab/>
    </w:r>
    <w:r>
      <w:rPr>
        <w:lang w:val="es-MX"/>
      </w:rPr>
      <w:tab/>
      <w:t>Ramos Mesas Edgar Alain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14"/>
    <w:rsid w:val="001224B5"/>
    <w:rsid w:val="002C49BD"/>
    <w:rsid w:val="00350B72"/>
    <w:rsid w:val="003B533A"/>
    <w:rsid w:val="00473BE4"/>
    <w:rsid w:val="006E0614"/>
    <w:rsid w:val="007B7D5E"/>
    <w:rsid w:val="00871D7B"/>
    <w:rsid w:val="00890EE8"/>
    <w:rsid w:val="0099191F"/>
    <w:rsid w:val="009F0C04"/>
    <w:rsid w:val="00A815A7"/>
    <w:rsid w:val="00AC6E99"/>
    <w:rsid w:val="00B7446F"/>
    <w:rsid w:val="00BC5CEE"/>
    <w:rsid w:val="00C85189"/>
    <w:rsid w:val="00CA3B68"/>
    <w:rsid w:val="00D56529"/>
    <w:rsid w:val="00DA6801"/>
    <w:rsid w:val="00DB016A"/>
    <w:rsid w:val="00E01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CDE3"/>
  <w15:chartTrackingRefBased/>
  <w15:docId w15:val="{FCB0BE1D-EBE7-4E45-9CC2-3B2D6F50A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6E0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0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815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614"/>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6E0614"/>
    <w:rPr>
      <w:rFonts w:asciiTheme="majorHAnsi" w:eastAsiaTheme="majorEastAsia" w:hAnsiTheme="majorHAnsi" w:cstheme="majorBidi"/>
      <w:color w:val="2F5496" w:themeColor="accent1" w:themeShade="BF"/>
      <w:sz w:val="26"/>
      <w:szCs w:val="26"/>
      <w:lang w:val="en-US"/>
    </w:rPr>
  </w:style>
  <w:style w:type="paragraph" w:styleId="Encabezado">
    <w:name w:val="header"/>
    <w:basedOn w:val="Normal"/>
    <w:link w:val="EncabezadoCar"/>
    <w:uiPriority w:val="99"/>
    <w:unhideWhenUsed/>
    <w:rsid w:val="009F0C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0C04"/>
    <w:rPr>
      <w:lang w:val="en-US"/>
    </w:rPr>
  </w:style>
  <w:style w:type="paragraph" w:styleId="Piedepgina">
    <w:name w:val="footer"/>
    <w:basedOn w:val="Normal"/>
    <w:link w:val="PiedepginaCar"/>
    <w:uiPriority w:val="99"/>
    <w:unhideWhenUsed/>
    <w:rsid w:val="009F0C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0C04"/>
    <w:rPr>
      <w:lang w:val="en-US"/>
    </w:rPr>
  </w:style>
  <w:style w:type="character" w:customStyle="1" w:styleId="Ttulo3Car">
    <w:name w:val="Título 3 Car"/>
    <w:basedOn w:val="Fuentedeprrafopredeter"/>
    <w:link w:val="Ttulo3"/>
    <w:uiPriority w:val="9"/>
    <w:rsid w:val="00A815A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7</Pages>
  <Words>772</Words>
  <Characters>4250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 Ramos Mesas</dc:creator>
  <cp:keywords/>
  <dc:description/>
  <cp:lastModifiedBy>Edgar A. Ramos Mesas</cp:lastModifiedBy>
  <cp:revision>7</cp:revision>
  <dcterms:created xsi:type="dcterms:W3CDTF">2020-04-27T19:36:00Z</dcterms:created>
  <dcterms:modified xsi:type="dcterms:W3CDTF">2020-04-28T01:34:00Z</dcterms:modified>
</cp:coreProperties>
</file>