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38A99" w14:textId="77777777" w:rsidR="00D86AE2" w:rsidRDefault="009876AF">
      <w:pPr>
        <w:spacing w:after="60"/>
        <w:jc w:val="center"/>
      </w:pPr>
      <w:r>
        <w:rPr>
          <w:b/>
          <w:bCs/>
          <w:color w:val="1F3864"/>
          <w:sz w:val="32"/>
          <w:szCs w:val="32"/>
        </w:rPr>
        <w:t>SIMATS ENGINEERING</w:t>
      </w:r>
    </w:p>
    <w:p w14:paraId="3168EE85" w14:textId="77777777" w:rsidR="00D86AE2" w:rsidRDefault="009876AF">
      <w:pPr>
        <w:spacing w:after="40"/>
        <w:jc w:val="center"/>
      </w:pPr>
      <w:r>
        <w:rPr>
          <w:b/>
          <w:bCs/>
          <w:color w:val="1F3864"/>
          <w:sz w:val="24"/>
          <w:szCs w:val="24"/>
        </w:rPr>
        <w:t>SAVEETHA INSTITUTE OF MEDICAL AND TECHNICAL SCIENCES</w:t>
      </w:r>
    </w:p>
    <w:p w14:paraId="2193341E" w14:textId="77777777" w:rsidR="00D86AE2" w:rsidRDefault="009876AF">
      <w:pPr>
        <w:spacing w:after="40"/>
        <w:jc w:val="center"/>
      </w:pPr>
      <w:r>
        <w:rPr>
          <w:color w:val="2F5496"/>
          <w:sz w:val="18"/>
          <w:szCs w:val="18"/>
        </w:rPr>
        <w:t>CHENNAI – 602105</w:t>
      </w:r>
    </w:p>
    <w:p w14:paraId="27432789" w14:textId="77777777" w:rsidR="00D86AE2" w:rsidRDefault="009876AF">
      <w:pPr>
        <w:spacing w:after="200"/>
        <w:jc w:val="center"/>
      </w:pPr>
      <w:r>
        <w:rPr>
          <w:b/>
          <w:bCs/>
          <w:color w:val="1F3864"/>
          <w:sz w:val="22"/>
          <w:szCs w:val="22"/>
        </w:rPr>
        <w:t>Department of Computer Science and Engineering</w:t>
      </w:r>
    </w:p>
    <w:p w14:paraId="565074EE" w14:textId="77777777" w:rsidR="00D86AE2" w:rsidRDefault="00D86AE2">
      <w:pPr>
        <w:pBdr>
          <w:bottom w:val="single" w:sz="10" w:space="4" w:color="1F3864"/>
        </w:pBdr>
        <w:spacing w:after="260"/>
      </w:pPr>
    </w:p>
    <w:p w14:paraId="67A2B735" w14:textId="77777777" w:rsidR="00D86AE2" w:rsidRDefault="009876AF">
      <w:pPr>
        <w:spacing w:after="260"/>
      </w:pPr>
      <w:r>
        <w:rPr>
          <w:b/>
          <w:bCs/>
          <w:color w:val="1F3864"/>
          <w:sz w:val="26"/>
          <w:szCs w:val="26"/>
        </w:rPr>
        <w:t>ASSESSMENT TOOL 3 – OPEN DATA ANALYSIS PROJECT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1700"/>
        <w:gridCol w:w="3000"/>
      </w:tblGrid>
      <w:tr w:rsidR="00D86AE2" w14:paraId="7B5E52AB"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685B69E8" w14:textId="77777777" w:rsidR="00D86AE2" w:rsidRDefault="009876AF">
            <w:r>
              <w:rPr>
                <w:b/>
                <w:bCs/>
              </w:rPr>
              <w:t>Course Code:</w:t>
            </w:r>
          </w:p>
        </w:tc>
        <w:tc>
          <w:tcPr>
            <w:tcW w:w="3000" w:type="dxa"/>
            <w:shd w:val="clear" w:color="auto" w:fill="FFFFFF"/>
            <w:tcMar>
              <w:top w:w="100" w:type="dxa"/>
              <w:left w:w="100" w:type="dxa"/>
              <w:bottom w:w="100" w:type="dxa"/>
              <w:right w:w="100" w:type="dxa"/>
            </w:tcMar>
          </w:tcPr>
          <w:p w14:paraId="15FADA93" w14:textId="5C9DE35E" w:rsidR="00D86AE2" w:rsidRDefault="009876AF">
            <w:r>
              <w:t>DSA05</w:t>
            </w:r>
            <w:r w:rsidR="00FA2FF7">
              <w:t>04</w:t>
            </w:r>
          </w:p>
        </w:tc>
        <w:tc>
          <w:tcPr>
            <w:tcW w:w="1700" w:type="dxa"/>
            <w:shd w:val="clear" w:color="auto" w:fill="DCE6F1"/>
            <w:tcMar>
              <w:top w:w="100" w:type="dxa"/>
              <w:left w:w="100" w:type="dxa"/>
              <w:bottom w:w="100" w:type="dxa"/>
              <w:right w:w="100" w:type="dxa"/>
            </w:tcMar>
          </w:tcPr>
          <w:p w14:paraId="53A00574" w14:textId="77777777" w:rsidR="00D86AE2" w:rsidRDefault="009876AF">
            <w:r>
              <w:rPr>
                <w:b/>
                <w:bCs/>
              </w:rPr>
              <w:t>Course Title:</w:t>
            </w:r>
          </w:p>
        </w:tc>
        <w:tc>
          <w:tcPr>
            <w:tcW w:w="3000" w:type="dxa"/>
            <w:shd w:val="clear" w:color="auto" w:fill="FFFFFF"/>
            <w:tcMar>
              <w:top w:w="100" w:type="dxa"/>
              <w:left w:w="100" w:type="dxa"/>
              <w:bottom w:w="100" w:type="dxa"/>
              <w:right w:w="100" w:type="dxa"/>
            </w:tcMar>
          </w:tcPr>
          <w:p w14:paraId="3CFE1AFE" w14:textId="77777777" w:rsidR="00D86AE2" w:rsidRDefault="009876AF">
            <w:r>
              <w:t>Query Processing for Data Science in Real Time Applications</w:t>
            </w:r>
          </w:p>
        </w:tc>
      </w:tr>
      <w:tr w:rsidR="00D86AE2" w14:paraId="24040389"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6C966680" w14:textId="77777777" w:rsidR="00D86AE2" w:rsidRDefault="009876AF">
            <w:r>
              <w:rPr>
                <w:b/>
                <w:bCs/>
              </w:rPr>
              <w:t>CO Assessed:</w:t>
            </w:r>
          </w:p>
        </w:tc>
        <w:tc>
          <w:tcPr>
            <w:tcW w:w="3000" w:type="dxa"/>
            <w:shd w:val="clear" w:color="auto" w:fill="FFFFFF"/>
            <w:tcMar>
              <w:top w:w="100" w:type="dxa"/>
              <w:left w:w="100" w:type="dxa"/>
              <w:bottom w:w="100" w:type="dxa"/>
              <w:right w:w="100" w:type="dxa"/>
            </w:tcMar>
          </w:tcPr>
          <w:p w14:paraId="60E72A6B" w14:textId="77777777" w:rsidR="00D86AE2" w:rsidRDefault="009876AF">
            <w:r>
              <w:t>CO4</w:t>
            </w:r>
          </w:p>
        </w:tc>
        <w:tc>
          <w:tcPr>
            <w:tcW w:w="1700" w:type="dxa"/>
            <w:shd w:val="clear" w:color="auto" w:fill="DCE6F1"/>
            <w:tcMar>
              <w:top w:w="100" w:type="dxa"/>
              <w:left w:w="100" w:type="dxa"/>
              <w:bottom w:w="100" w:type="dxa"/>
              <w:right w:w="100" w:type="dxa"/>
            </w:tcMar>
          </w:tcPr>
          <w:p w14:paraId="1F5336B2" w14:textId="77777777" w:rsidR="00D86AE2" w:rsidRDefault="009876AF">
            <w:r>
              <w:rPr>
                <w:b/>
                <w:bCs/>
              </w:rPr>
              <w:t>Assessment:</w:t>
            </w:r>
          </w:p>
        </w:tc>
        <w:tc>
          <w:tcPr>
            <w:tcW w:w="3000" w:type="dxa"/>
            <w:shd w:val="clear" w:color="auto" w:fill="FFFFFF"/>
            <w:tcMar>
              <w:top w:w="100" w:type="dxa"/>
              <w:left w:w="100" w:type="dxa"/>
              <w:bottom w:w="100" w:type="dxa"/>
              <w:right w:w="100" w:type="dxa"/>
            </w:tcMar>
          </w:tcPr>
          <w:p w14:paraId="56660CC0" w14:textId="77777777" w:rsidR="00D86AE2" w:rsidRDefault="009876AF">
            <w:r>
              <w:t>Tool 3 – Open Data Analysis Project</w:t>
            </w:r>
          </w:p>
        </w:tc>
      </w:tr>
      <w:tr w:rsidR="00D86AE2" w14:paraId="73C877F4"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490853D2" w14:textId="77777777" w:rsidR="00D86AE2" w:rsidRDefault="009876AF">
            <w:r>
              <w:rPr>
                <w:b/>
                <w:bCs/>
              </w:rPr>
              <w:t>Weightage:</w:t>
            </w:r>
          </w:p>
        </w:tc>
        <w:tc>
          <w:tcPr>
            <w:tcW w:w="3000" w:type="dxa"/>
            <w:shd w:val="clear" w:color="auto" w:fill="FFFFFF"/>
            <w:tcMar>
              <w:top w:w="100" w:type="dxa"/>
              <w:left w:w="100" w:type="dxa"/>
              <w:bottom w:w="100" w:type="dxa"/>
              <w:right w:w="100" w:type="dxa"/>
            </w:tcMar>
          </w:tcPr>
          <w:p w14:paraId="5F8469D7" w14:textId="77777777" w:rsidR="00D86AE2" w:rsidRDefault="00D86AE2"/>
        </w:tc>
        <w:tc>
          <w:tcPr>
            <w:tcW w:w="1700" w:type="dxa"/>
            <w:shd w:val="clear" w:color="auto" w:fill="DCE6F1"/>
            <w:tcMar>
              <w:top w:w="100" w:type="dxa"/>
              <w:left w:w="100" w:type="dxa"/>
              <w:bottom w:w="100" w:type="dxa"/>
              <w:right w:w="100" w:type="dxa"/>
            </w:tcMar>
          </w:tcPr>
          <w:p w14:paraId="75DD530A" w14:textId="77777777" w:rsidR="00D86AE2" w:rsidRDefault="009876AF">
            <w:r>
              <w:rPr>
                <w:b/>
                <w:bCs/>
              </w:rPr>
              <w:t>Total Marks:</w:t>
            </w:r>
          </w:p>
        </w:tc>
        <w:tc>
          <w:tcPr>
            <w:tcW w:w="3000" w:type="dxa"/>
            <w:shd w:val="clear" w:color="auto" w:fill="FFFFFF"/>
            <w:tcMar>
              <w:top w:w="100" w:type="dxa"/>
              <w:left w:w="100" w:type="dxa"/>
              <w:bottom w:w="100" w:type="dxa"/>
              <w:right w:w="100" w:type="dxa"/>
            </w:tcMar>
          </w:tcPr>
          <w:p w14:paraId="46C7A317" w14:textId="77777777" w:rsidR="00D86AE2" w:rsidRDefault="009876AF">
            <w:r>
              <w:t>50 Marks</w:t>
            </w:r>
          </w:p>
        </w:tc>
      </w:tr>
      <w:tr w:rsidR="00D86AE2" w14:paraId="4B15DD3C"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6CAEBA3B" w14:textId="77777777" w:rsidR="00D86AE2" w:rsidRDefault="009876AF">
            <w:r>
              <w:rPr>
                <w:b/>
                <w:bCs/>
              </w:rPr>
              <w:t>CO4 Statement:</w:t>
            </w:r>
          </w:p>
        </w:tc>
        <w:tc>
          <w:tcPr>
            <w:tcW w:w="7700" w:type="dxa"/>
            <w:gridSpan w:val="3"/>
            <w:shd w:val="clear" w:color="auto" w:fill="FFFFFF"/>
            <w:tcMar>
              <w:top w:w="100" w:type="dxa"/>
              <w:left w:w="100" w:type="dxa"/>
              <w:bottom w:w="100" w:type="dxa"/>
              <w:right w:w="100" w:type="dxa"/>
            </w:tcMar>
          </w:tcPr>
          <w:p w14:paraId="062B6D89" w14:textId="77777777" w:rsidR="00D86AE2" w:rsidRDefault="009876AF">
            <w:pPr>
              <w:jc w:val="both"/>
            </w:pPr>
            <w:r>
              <w:t xml:space="preserve">Explore datasets using analytical techniques such as grouping, correlation detection, joining datasets, and extracting meaningful </w:t>
            </w:r>
            <w:proofErr w:type="gramStart"/>
            <w:r>
              <w:t>insights..</w:t>
            </w:r>
            <w:proofErr w:type="gramEnd"/>
            <w:r>
              <w:t xml:space="preserve"> (BL4, BL5 and BL6)</w:t>
            </w:r>
          </w:p>
        </w:tc>
      </w:tr>
      <w:tr w:rsidR="00D86AE2" w14:paraId="1A31141B"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20D5370B" w14:textId="77777777" w:rsidR="00D86AE2" w:rsidRDefault="009876AF">
            <w:r>
              <w:rPr>
                <w:b/>
                <w:bCs/>
              </w:rPr>
              <w:t>Student Name:</w:t>
            </w:r>
          </w:p>
        </w:tc>
        <w:tc>
          <w:tcPr>
            <w:tcW w:w="3000" w:type="dxa"/>
            <w:shd w:val="clear" w:color="auto" w:fill="FFFFFF"/>
            <w:tcMar>
              <w:top w:w="100" w:type="dxa"/>
              <w:left w:w="100" w:type="dxa"/>
              <w:bottom w:w="100" w:type="dxa"/>
              <w:right w:w="100" w:type="dxa"/>
            </w:tcMar>
          </w:tcPr>
          <w:p w14:paraId="2EAD5838" w14:textId="715B0561" w:rsidR="00D86AE2" w:rsidRDefault="00FA2FF7">
            <w:r>
              <w:t>EDRIN J S</w:t>
            </w:r>
          </w:p>
        </w:tc>
        <w:tc>
          <w:tcPr>
            <w:tcW w:w="1700" w:type="dxa"/>
            <w:shd w:val="clear" w:color="auto" w:fill="DCE6F1"/>
            <w:tcMar>
              <w:top w:w="100" w:type="dxa"/>
              <w:left w:w="100" w:type="dxa"/>
              <w:bottom w:w="100" w:type="dxa"/>
              <w:right w:w="100" w:type="dxa"/>
            </w:tcMar>
          </w:tcPr>
          <w:p w14:paraId="4B1E312A" w14:textId="77777777" w:rsidR="00D86AE2" w:rsidRDefault="009876AF">
            <w:r>
              <w:rPr>
                <w:b/>
                <w:bCs/>
              </w:rPr>
              <w:t>Reg. No.:</w:t>
            </w:r>
          </w:p>
        </w:tc>
        <w:tc>
          <w:tcPr>
            <w:tcW w:w="3000" w:type="dxa"/>
            <w:shd w:val="clear" w:color="auto" w:fill="FFFFFF"/>
            <w:tcMar>
              <w:top w:w="100" w:type="dxa"/>
              <w:left w:w="100" w:type="dxa"/>
              <w:bottom w:w="100" w:type="dxa"/>
              <w:right w:w="100" w:type="dxa"/>
            </w:tcMar>
          </w:tcPr>
          <w:p w14:paraId="6050E369" w14:textId="2ADC735B" w:rsidR="00D86AE2" w:rsidRDefault="00FA2FF7">
            <w:r>
              <w:t>192524041</w:t>
            </w:r>
          </w:p>
        </w:tc>
      </w:tr>
      <w:tr w:rsidR="00D86AE2" w14:paraId="4F88DE6A"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67DD04EE" w14:textId="77777777" w:rsidR="00D86AE2" w:rsidRDefault="009876AF">
            <w:r>
              <w:rPr>
                <w:b/>
                <w:bCs/>
              </w:rPr>
              <w:t>Section / Batch:</w:t>
            </w:r>
          </w:p>
        </w:tc>
        <w:tc>
          <w:tcPr>
            <w:tcW w:w="3000" w:type="dxa"/>
            <w:shd w:val="clear" w:color="auto" w:fill="FFFFFF"/>
            <w:tcMar>
              <w:top w:w="100" w:type="dxa"/>
              <w:left w:w="100" w:type="dxa"/>
              <w:bottom w:w="100" w:type="dxa"/>
              <w:right w:w="100" w:type="dxa"/>
            </w:tcMar>
          </w:tcPr>
          <w:p w14:paraId="25131659" w14:textId="55C6B95E" w:rsidR="00D86AE2" w:rsidRDefault="00FA2FF7">
            <w:r>
              <w:t>2025</w:t>
            </w:r>
          </w:p>
        </w:tc>
        <w:tc>
          <w:tcPr>
            <w:tcW w:w="1700" w:type="dxa"/>
            <w:shd w:val="clear" w:color="auto" w:fill="DCE6F1"/>
            <w:tcMar>
              <w:top w:w="100" w:type="dxa"/>
              <w:left w:w="100" w:type="dxa"/>
              <w:bottom w:w="100" w:type="dxa"/>
              <w:right w:w="100" w:type="dxa"/>
            </w:tcMar>
          </w:tcPr>
          <w:p w14:paraId="684D1FC8" w14:textId="77777777" w:rsidR="00D86AE2" w:rsidRDefault="009876AF">
            <w:r>
              <w:rPr>
                <w:b/>
                <w:bCs/>
              </w:rPr>
              <w:t>Date of Submission:</w:t>
            </w:r>
          </w:p>
        </w:tc>
        <w:tc>
          <w:tcPr>
            <w:tcW w:w="3000" w:type="dxa"/>
            <w:shd w:val="clear" w:color="auto" w:fill="FFFFFF"/>
            <w:tcMar>
              <w:top w:w="100" w:type="dxa"/>
              <w:left w:w="100" w:type="dxa"/>
              <w:bottom w:w="100" w:type="dxa"/>
              <w:right w:w="100" w:type="dxa"/>
            </w:tcMar>
          </w:tcPr>
          <w:p w14:paraId="71C9387C" w14:textId="0280211A" w:rsidR="00D86AE2" w:rsidRDefault="009876AF">
            <w:r>
              <w:t>1</w:t>
            </w:r>
            <w:r w:rsidR="00367A3C">
              <w:t>2</w:t>
            </w:r>
            <w:r>
              <w:t>– 0</w:t>
            </w:r>
            <w:r w:rsidR="00367A3C">
              <w:t>8</w:t>
            </w:r>
            <w:r>
              <w:t xml:space="preserve"> – 2026</w:t>
            </w:r>
          </w:p>
        </w:tc>
      </w:tr>
      <w:tr w:rsidR="00D86AE2" w14:paraId="1663B127" w14:textId="77777777">
        <w:tblPrEx>
          <w:tblCellMar>
            <w:top w:w="0" w:type="dxa"/>
            <w:bottom w:w="0" w:type="dxa"/>
          </w:tblCellMar>
        </w:tblPrEx>
        <w:tc>
          <w:tcPr>
            <w:tcW w:w="1700" w:type="dxa"/>
            <w:shd w:val="clear" w:color="auto" w:fill="DCE6F1"/>
            <w:tcMar>
              <w:top w:w="100" w:type="dxa"/>
              <w:left w:w="100" w:type="dxa"/>
              <w:bottom w:w="100" w:type="dxa"/>
              <w:right w:w="100" w:type="dxa"/>
            </w:tcMar>
          </w:tcPr>
          <w:p w14:paraId="50C95B9A" w14:textId="77777777" w:rsidR="00D86AE2" w:rsidRDefault="009876AF">
            <w:r>
              <w:rPr>
                <w:b/>
                <w:bCs/>
              </w:rPr>
              <w:t>Faculty In-charge:</w:t>
            </w:r>
          </w:p>
        </w:tc>
        <w:tc>
          <w:tcPr>
            <w:tcW w:w="3000" w:type="dxa"/>
            <w:shd w:val="clear" w:color="auto" w:fill="FFFFFF"/>
            <w:tcMar>
              <w:top w:w="100" w:type="dxa"/>
              <w:left w:w="100" w:type="dxa"/>
              <w:bottom w:w="100" w:type="dxa"/>
              <w:right w:w="100" w:type="dxa"/>
            </w:tcMar>
          </w:tcPr>
          <w:p w14:paraId="57CC0DA4" w14:textId="1935EADD" w:rsidR="00D86AE2" w:rsidRDefault="009876AF">
            <w:proofErr w:type="spellStart"/>
            <w:r>
              <w:t>Dr.</w:t>
            </w:r>
            <w:r w:rsidR="00FA2FF7">
              <w:t>R</w:t>
            </w:r>
            <w:proofErr w:type="spellEnd"/>
            <w:r w:rsidR="00FA2FF7">
              <w:t>. Mahesh Muthulakshmi</w:t>
            </w:r>
          </w:p>
        </w:tc>
        <w:tc>
          <w:tcPr>
            <w:tcW w:w="1700" w:type="dxa"/>
            <w:shd w:val="clear" w:color="auto" w:fill="DCE6F1"/>
            <w:tcMar>
              <w:top w:w="100" w:type="dxa"/>
              <w:left w:w="100" w:type="dxa"/>
              <w:bottom w:w="100" w:type="dxa"/>
              <w:right w:w="100" w:type="dxa"/>
            </w:tcMar>
          </w:tcPr>
          <w:p w14:paraId="4A343F98" w14:textId="77777777" w:rsidR="00D86AE2" w:rsidRDefault="009876AF">
            <w:r>
              <w:rPr>
                <w:b/>
                <w:bCs/>
              </w:rPr>
              <w:t>Assessment Mode:</w:t>
            </w:r>
          </w:p>
        </w:tc>
        <w:tc>
          <w:tcPr>
            <w:tcW w:w="3000" w:type="dxa"/>
            <w:shd w:val="clear" w:color="auto" w:fill="FFFFFF"/>
            <w:tcMar>
              <w:top w:w="100" w:type="dxa"/>
              <w:left w:w="100" w:type="dxa"/>
              <w:bottom w:w="100" w:type="dxa"/>
              <w:right w:w="100" w:type="dxa"/>
            </w:tcMar>
          </w:tcPr>
          <w:p w14:paraId="51787D17" w14:textId="77777777" w:rsidR="00D86AE2" w:rsidRDefault="009876AF">
            <w:r>
              <w:t>Individual Submission</w:t>
            </w:r>
          </w:p>
        </w:tc>
      </w:tr>
    </w:tbl>
    <w:p w14:paraId="098FD7D3" w14:textId="77777777" w:rsidR="00D86AE2" w:rsidRDefault="00D86AE2">
      <w:pPr>
        <w:spacing w:after="2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00"/>
      </w:tblGrid>
      <w:tr w:rsidR="00D86AE2" w14:paraId="652B0F16" w14:textId="77777777">
        <w:tblPrEx>
          <w:tblCellMar>
            <w:top w:w="0" w:type="dxa"/>
            <w:bottom w:w="0" w:type="dxa"/>
          </w:tblCellMar>
        </w:tblPrEx>
        <w:tc>
          <w:tcPr>
            <w:tcW w:w="9400" w:type="dxa"/>
            <w:tcBorders>
              <w:top w:val="single" w:sz="6" w:space="0" w:color="D9A441"/>
              <w:left w:val="single" w:sz="6" w:space="0" w:color="D9A441"/>
              <w:bottom w:val="single" w:sz="6" w:space="0" w:color="D9A441"/>
              <w:right w:val="single" w:sz="6" w:space="0" w:color="D9A441"/>
            </w:tcBorders>
            <w:shd w:val="clear" w:color="auto" w:fill="FFF6DF"/>
            <w:tcMar>
              <w:top w:w="150" w:type="dxa"/>
              <w:left w:w="150" w:type="dxa"/>
              <w:bottom w:w="150" w:type="dxa"/>
              <w:right w:w="150" w:type="dxa"/>
            </w:tcMar>
          </w:tcPr>
          <w:p w14:paraId="6E576509" w14:textId="77777777" w:rsidR="00D86AE2" w:rsidRDefault="009876AF">
            <w:pPr>
              <w:spacing w:after="160"/>
            </w:pPr>
            <w:r>
              <w:rPr>
                <w:b/>
                <w:bCs/>
                <w:color w:val="B45309"/>
                <w:sz w:val="22"/>
                <w:szCs w:val="22"/>
              </w:rPr>
              <w:t>Code of Conduct</w:t>
            </w:r>
          </w:p>
          <w:p w14:paraId="29CBEAA1" w14:textId="77777777" w:rsidR="00D86AE2" w:rsidRDefault="009876AF">
            <w:pPr>
              <w:spacing w:after="320"/>
              <w:jc w:val="both"/>
            </w:pPr>
            <w:r>
              <w:t>I ______________________ (Name / Reg No) certify that this submission is my original work and that I have adhered to all guidelines specified for this assessment. I understand that any violation of academic integrity rules will result in disciplinary action.</w:t>
            </w:r>
          </w:p>
          <w:p w14:paraId="0EF4ECBF" w14:textId="77777777" w:rsidR="00D86AE2" w:rsidRDefault="009876AF">
            <w:r>
              <w:t>Signature: ______________________________</w:t>
            </w:r>
          </w:p>
        </w:tc>
      </w:tr>
    </w:tbl>
    <w:p w14:paraId="3FEEA592" w14:textId="77777777" w:rsidR="00D86AE2" w:rsidRDefault="00D86AE2">
      <w:pPr>
        <w:spacing w:after="24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566"/>
        <w:gridCol w:w="1566"/>
        <w:gridCol w:w="1566"/>
        <w:gridCol w:w="1566"/>
        <w:gridCol w:w="1570"/>
      </w:tblGrid>
      <w:tr w:rsidR="00D86AE2" w14:paraId="7EDFBE66" w14:textId="77777777">
        <w:tblPrEx>
          <w:tblCellMar>
            <w:top w:w="0" w:type="dxa"/>
            <w:bottom w:w="0" w:type="dxa"/>
          </w:tblCellMar>
        </w:tblPrEx>
        <w:tc>
          <w:tcPr>
            <w:tcW w:w="1566" w:type="dxa"/>
            <w:tcMar>
              <w:top w:w="100" w:type="dxa"/>
              <w:left w:w="80" w:type="dxa"/>
              <w:bottom w:w="100" w:type="dxa"/>
              <w:right w:w="80" w:type="dxa"/>
            </w:tcMar>
          </w:tcPr>
          <w:p w14:paraId="41529F11" w14:textId="77777777" w:rsidR="00D86AE2" w:rsidRDefault="009876AF">
            <w:pPr>
              <w:jc w:val="center"/>
            </w:pPr>
            <w:r>
              <w:rPr>
                <w:b/>
                <w:bCs/>
                <w:sz w:val="18"/>
                <w:szCs w:val="18"/>
              </w:rPr>
              <w:t>Data Collection &amp; Understanding</w:t>
            </w:r>
          </w:p>
          <w:p w14:paraId="19AD1E87" w14:textId="77777777" w:rsidR="00D86AE2" w:rsidRDefault="009876AF">
            <w:pPr>
              <w:jc w:val="center"/>
            </w:pPr>
            <w:r>
              <w:rPr>
                <w:b/>
                <w:bCs/>
                <w:sz w:val="18"/>
                <w:szCs w:val="18"/>
              </w:rPr>
              <w:t>(10 Marks)</w:t>
            </w:r>
          </w:p>
        </w:tc>
        <w:tc>
          <w:tcPr>
            <w:tcW w:w="1566" w:type="dxa"/>
            <w:tcMar>
              <w:top w:w="100" w:type="dxa"/>
              <w:left w:w="80" w:type="dxa"/>
              <w:bottom w:w="100" w:type="dxa"/>
              <w:right w:w="80" w:type="dxa"/>
            </w:tcMar>
          </w:tcPr>
          <w:p w14:paraId="2178E23C" w14:textId="77777777" w:rsidR="00D86AE2" w:rsidRDefault="009876AF">
            <w:pPr>
              <w:jc w:val="center"/>
            </w:pPr>
            <w:r>
              <w:rPr>
                <w:b/>
                <w:bCs/>
                <w:sz w:val="18"/>
                <w:szCs w:val="18"/>
              </w:rPr>
              <w:t>Data Cleaning &amp; Preparation</w:t>
            </w:r>
          </w:p>
          <w:p w14:paraId="358BCC53" w14:textId="77777777" w:rsidR="00D86AE2" w:rsidRDefault="009876AF">
            <w:pPr>
              <w:jc w:val="center"/>
            </w:pPr>
            <w:r>
              <w:rPr>
                <w:b/>
                <w:bCs/>
                <w:sz w:val="18"/>
                <w:szCs w:val="18"/>
              </w:rPr>
              <w:t>(10 Marks)</w:t>
            </w:r>
          </w:p>
        </w:tc>
        <w:tc>
          <w:tcPr>
            <w:tcW w:w="1566" w:type="dxa"/>
            <w:tcMar>
              <w:top w:w="100" w:type="dxa"/>
              <w:left w:w="80" w:type="dxa"/>
              <w:bottom w:w="100" w:type="dxa"/>
              <w:right w:w="80" w:type="dxa"/>
            </w:tcMar>
          </w:tcPr>
          <w:p w14:paraId="4F2A4C4A" w14:textId="77777777" w:rsidR="00D86AE2" w:rsidRDefault="009876AF">
            <w:pPr>
              <w:jc w:val="center"/>
            </w:pPr>
            <w:r>
              <w:rPr>
                <w:b/>
                <w:bCs/>
                <w:sz w:val="18"/>
                <w:szCs w:val="18"/>
              </w:rPr>
              <w:t>Exploratory Data Analysis</w:t>
            </w:r>
          </w:p>
          <w:p w14:paraId="24BD9F4E" w14:textId="77777777" w:rsidR="00D86AE2" w:rsidRDefault="009876AF">
            <w:pPr>
              <w:jc w:val="center"/>
            </w:pPr>
            <w:r>
              <w:rPr>
                <w:b/>
                <w:bCs/>
                <w:sz w:val="18"/>
                <w:szCs w:val="18"/>
              </w:rPr>
              <w:t>(10 Marks)</w:t>
            </w:r>
          </w:p>
        </w:tc>
        <w:tc>
          <w:tcPr>
            <w:tcW w:w="1566" w:type="dxa"/>
            <w:tcMar>
              <w:top w:w="100" w:type="dxa"/>
              <w:left w:w="80" w:type="dxa"/>
              <w:bottom w:w="100" w:type="dxa"/>
              <w:right w:w="80" w:type="dxa"/>
            </w:tcMar>
          </w:tcPr>
          <w:p w14:paraId="199546CF" w14:textId="77777777" w:rsidR="00D86AE2" w:rsidRDefault="009876AF">
            <w:pPr>
              <w:jc w:val="center"/>
            </w:pPr>
            <w:r>
              <w:rPr>
                <w:b/>
                <w:bCs/>
                <w:sz w:val="18"/>
                <w:szCs w:val="18"/>
              </w:rPr>
              <w:t>Visualization &amp; Dashboard Design</w:t>
            </w:r>
          </w:p>
          <w:p w14:paraId="0ECA3404" w14:textId="77777777" w:rsidR="00D86AE2" w:rsidRDefault="009876AF">
            <w:pPr>
              <w:jc w:val="center"/>
            </w:pPr>
            <w:r>
              <w:rPr>
                <w:b/>
                <w:bCs/>
                <w:sz w:val="18"/>
                <w:szCs w:val="18"/>
              </w:rPr>
              <w:t>(10 Marks)</w:t>
            </w:r>
          </w:p>
        </w:tc>
        <w:tc>
          <w:tcPr>
            <w:tcW w:w="1566" w:type="dxa"/>
            <w:tcMar>
              <w:top w:w="100" w:type="dxa"/>
              <w:left w:w="80" w:type="dxa"/>
              <w:bottom w:w="100" w:type="dxa"/>
              <w:right w:w="80" w:type="dxa"/>
            </w:tcMar>
          </w:tcPr>
          <w:p w14:paraId="7E3A357F" w14:textId="77777777" w:rsidR="00D86AE2" w:rsidRDefault="009876AF">
            <w:pPr>
              <w:jc w:val="center"/>
            </w:pPr>
            <w:r>
              <w:rPr>
                <w:b/>
                <w:bCs/>
                <w:sz w:val="18"/>
                <w:szCs w:val="18"/>
              </w:rPr>
              <w:t>Demonstration</w:t>
            </w:r>
          </w:p>
          <w:p w14:paraId="1A23443F" w14:textId="77777777" w:rsidR="00D86AE2" w:rsidRDefault="009876AF">
            <w:pPr>
              <w:jc w:val="center"/>
            </w:pPr>
            <w:r>
              <w:rPr>
                <w:b/>
                <w:bCs/>
                <w:sz w:val="18"/>
                <w:szCs w:val="18"/>
              </w:rPr>
              <w:t>(10 Marks)</w:t>
            </w:r>
          </w:p>
        </w:tc>
        <w:tc>
          <w:tcPr>
            <w:tcW w:w="1570" w:type="dxa"/>
            <w:tcMar>
              <w:top w:w="100" w:type="dxa"/>
              <w:left w:w="80" w:type="dxa"/>
              <w:bottom w:w="100" w:type="dxa"/>
              <w:right w:w="80" w:type="dxa"/>
            </w:tcMar>
          </w:tcPr>
          <w:p w14:paraId="55FDE925" w14:textId="77777777" w:rsidR="00D86AE2" w:rsidRDefault="009876AF">
            <w:pPr>
              <w:jc w:val="center"/>
            </w:pPr>
            <w:r>
              <w:rPr>
                <w:b/>
                <w:bCs/>
                <w:sz w:val="18"/>
                <w:szCs w:val="18"/>
              </w:rPr>
              <w:t>Total</w:t>
            </w:r>
          </w:p>
          <w:p w14:paraId="08E61C7E" w14:textId="77777777" w:rsidR="00D86AE2" w:rsidRDefault="009876AF">
            <w:pPr>
              <w:jc w:val="center"/>
            </w:pPr>
            <w:r>
              <w:rPr>
                <w:b/>
                <w:bCs/>
                <w:sz w:val="18"/>
                <w:szCs w:val="18"/>
              </w:rPr>
              <w:t>(50 Marks)</w:t>
            </w:r>
          </w:p>
        </w:tc>
      </w:tr>
      <w:tr w:rsidR="00D86AE2" w14:paraId="0A9A1CA8" w14:textId="77777777">
        <w:tblPrEx>
          <w:tblCellMar>
            <w:top w:w="0" w:type="dxa"/>
            <w:bottom w:w="0" w:type="dxa"/>
          </w:tblCellMar>
        </w:tblPrEx>
        <w:tc>
          <w:tcPr>
            <w:tcW w:w="1566" w:type="dxa"/>
            <w:tcMar>
              <w:top w:w="260" w:type="dxa"/>
              <w:left w:w="80" w:type="dxa"/>
              <w:bottom w:w="260" w:type="dxa"/>
              <w:right w:w="80" w:type="dxa"/>
            </w:tcMar>
          </w:tcPr>
          <w:p w14:paraId="68984AD6" w14:textId="77777777" w:rsidR="00D86AE2" w:rsidRDefault="00D86AE2"/>
        </w:tc>
        <w:tc>
          <w:tcPr>
            <w:tcW w:w="1566" w:type="dxa"/>
            <w:tcMar>
              <w:top w:w="260" w:type="dxa"/>
              <w:left w:w="80" w:type="dxa"/>
              <w:bottom w:w="260" w:type="dxa"/>
              <w:right w:w="80" w:type="dxa"/>
            </w:tcMar>
          </w:tcPr>
          <w:p w14:paraId="357BD048" w14:textId="77777777" w:rsidR="00D86AE2" w:rsidRDefault="00D86AE2"/>
        </w:tc>
        <w:tc>
          <w:tcPr>
            <w:tcW w:w="1566" w:type="dxa"/>
            <w:tcMar>
              <w:top w:w="260" w:type="dxa"/>
              <w:left w:w="80" w:type="dxa"/>
              <w:bottom w:w="260" w:type="dxa"/>
              <w:right w:w="80" w:type="dxa"/>
            </w:tcMar>
          </w:tcPr>
          <w:p w14:paraId="69F21A25" w14:textId="77777777" w:rsidR="00D86AE2" w:rsidRDefault="00D86AE2"/>
        </w:tc>
        <w:tc>
          <w:tcPr>
            <w:tcW w:w="1566" w:type="dxa"/>
            <w:tcMar>
              <w:top w:w="260" w:type="dxa"/>
              <w:left w:w="80" w:type="dxa"/>
              <w:bottom w:w="260" w:type="dxa"/>
              <w:right w:w="80" w:type="dxa"/>
            </w:tcMar>
          </w:tcPr>
          <w:p w14:paraId="07E1DBEE" w14:textId="77777777" w:rsidR="00D86AE2" w:rsidRDefault="00D86AE2"/>
        </w:tc>
        <w:tc>
          <w:tcPr>
            <w:tcW w:w="1566" w:type="dxa"/>
            <w:tcMar>
              <w:top w:w="260" w:type="dxa"/>
              <w:left w:w="80" w:type="dxa"/>
              <w:bottom w:w="260" w:type="dxa"/>
              <w:right w:w="80" w:type="dxa"/>
            </w:tcMar>
          </w:tcPr>
          <w:p w14:paraId="7EBEEECE" w14:textId="77777777" w:rsidR="00D86AE2" w:rsidRDefault="00D86AE2"/>
        </w:tc>
        <w:tc>
          <w:tcPr>
            <w:tcW w:w="1570" w:type="dxa"/>
            <w:tcMar>
              <w:top w:w="260" w:type="dxa"/>
              <w:left w:w="80" w:type="dxa"/>
              <w:bottom w:w="260" w:type="dxa"/>
              <w:right w:w="80" w:type="dxa"/>
            </w:tcMar>
          </w:tcPr>
          <w:p w14:paraId="7DDC619F" w14:textId="77777777" w:rsidR="00D86AE2" w:rsidRDefault="00D86AE2"/>
        </w:tc>
      </w:tr>
    </w:tbl>
    <w:p w14:paraId="554A114D" w14:textId="77777777" w:rsidR="00D86AE2" w:rsidRDefault="009876AF">
      <w:r>
        <w:br w:type="page"/>
      </w:r>
    </w:p>
    <w:p w14:paraId="1586A0A0" w14:textId="77777777" w:rsidR="00D86AE2" w:rsidRDefault="009876AF">
      <w:pPr>
        <w:spacing w:after="160"/>
        <w:jc w:val="center"/>
      </w:pPr>
      <w:r>
        <w:rPr>
          <w:b/>
          <w:bCs/>
          <w:color w:val="2F5496"/>
          <w:sz w:val="40"/>
          <w:szCs w:val="40"/>
        </w:rPr>
        <w:lastRenderedPageBreak/>
        <w:t>Data Analysis Portfolio</w:t>
      </w:r>
    </w:p>
    <w:p w14:paraId="68CCD1F2" w14:textId="77777777" w:rsidR="00D86AE2" w:rsidRDefault="009876AF">
      <w:pPr>
        <w:spacing w:after="320"/>
        <w:jc w:val="center"/>
      </w:pPr>
      <w:r>
        <w:rPr>
          <w:color w:val="444444"/>
          <w:sz w:val="24"/>
          <w:szCs w:val="24"/>
        </w:rPr>
        <w:t>Three Case Studies: COVID-19 &amp; Vaccination, Air Quality, and Climate Change</w:t>
      </w:r>
    </w:p>
    <w:p w14:paraId="149F171F" w14:textId="77777777" w:rsidR="00D86AE2" w:rsidRDefault="009876AF">
      <w:pPr>
        <w:spacing w:before="200"/>
        <w:jc w:val="both"/>
      </w:pPr>
      <w:r>
        <w:rPr>
          <w:i/>
          <w:iCs/>
          <w:color w:val="B45309"/>
        </w:rPr>
        <w:t>Note on data sources: This report was produced in an offline analysis environment without live internet access to Our World in Data, WAQI, or NASA/NOAA portals. To demonstrate the complete analytical workflow, methodologically realistic datasets were generated to reflect well-documented real-world patterns (pandemic wave shapes, vaccination rollout curves, urban PM2.5 seasonality, and the observed CO₂/temperature record). All cleaning steps, statistical methods, and chart types are fully reusable — reconnec</w:t>
      </w:r>
      <w:r>
        <w:rPr>
          <w:i/>
          <w:iCs/>
          <w:color w:val="B45309"/>
        </w:rPr>
        <w:t>t a live data source and rerun the same pipeline for submission-ready, verified figures.</w:t>
      </w:r>
    </w:p>
    <w:p w14:paraId="3646AA73" w14:textId="77777777" w:rsidR="00D86AE2" w:rsidRDefault="009876AF">
      <w:r>
        <w:br w:type="page"/>
      </w:r>
    </w:p>
    <w:p w14:paraId="5005BB5E" w14:textId="77777777" w:rsidR="00D86AE2" w:rsidRDefault="009876AF">
      <w:pPr>
        <w:pStyle w:val="Heading1"/>
        <w:spacing w:before="300" w:after="150"/>
      </w:pPr>
      <w:r>
        <w:lastRenderedPageBreak/>
        <w:t>1. Global COVID-19 Trends and Vaccination Analysis</w:t>
      </w:r>
    </w:p>
    <w:p w14:paraId="06F1EAD4" w14:textId="77777777" w:rsidR="00D86AE2" w:rsidRDefault="009876AF">
      <w:pPr>
        <w:pStyle w:val="Heading2"/>
        <w:spacing w:before="240" w:after="120"/>
      </w:pPr>
      <w:r>
        <w:t>1.1 Overview</w:t>
      </w:r>
    </w:p>
    <w:p w14:paraId="09CA8D27" w14:textId="77777777" w:rsidR="00D86AE2" w:rsidRDefault="009876AF">
      <w:pPr>
        <w:spacing w:after="160"/>
        <w:jc w:val="both"/>
      </w:pPr>
      <w:r>
        <w:t>This analysis examines pandemic trends across six countries (United States, India, Brazil, United Kingdom, South Africa, and Japan) between March 2020 and December 2022. The goal is to characterize infection waves, track vaccination rollout, and quantify the relationship between vaccination coverage and mortality outcomes.</w:t>
      </w:r>
    </w:p>
    <w:p w14:paraId="3A95C53E" w14:textId="77777777" w:rsidR="00D86AE2" w:rsidRDefault="009876AF">
      <w:pPr>
        <w:pStyle w:val="Heading2"/>
        <w:spacing w:before="240" w:after="120"/>
      </w:pPr>
      <w:r>
        <w:t>1.2 Data Cleaning &amp; Preprocessing</w:t>
      </w:r>
    </w:p>
    <w:p w14:paraId="1EBCBE95" w14:textId="77777777" w:rsidR="00D86AE2" w:rsidRDefault="009876AF">
      <w:pPr>
        <w:spacing w:after="160"/>
        <w:jc w:val="both"/>
      </w:pPr>
      <w:r>
        <w:t xml:space="preserve">Weekly case, death, and vaccination-rate series were compiled per country. Missing values (3% of case records, a realistic proportion for real-world reporting gaps around holidays and reporting-system outages) were handled using linear interpolation within each country's series, with forward/backward fill applied at series boundaries. This reduced missing </w:t>
      </w:r>
      <w:proofErr w:type="spellStart"/>
      <w:r>
        <w:t>new_cases</w:t>
      </w:r>
      <w:proofErr w:type="spellEnd"/>
      <w:r>
        <w:t xml:space="preserve"> values from 36 to 0 without introducing discontinuities in the trend.</w:t>
      </w:r>
    </w:p>
    <w:p w14:paraId="49E8128D" w14:textId="77777777" w:rsidR="00D86AE2" w:rsidRDefault="009876AF">
      <w:pPr>
        <w:pStyle w:val="Heading2"/>
        <w:spacing w:before="240" w:after="120"/>
      </w:pPr>
      <w:r>
        <w:t>1.3 Temporal Trends</w:t>
      </w:r>
    </w:p>
    <w:p w14:paraId="671C7C71" w14:textId="77777777" w:rsidR="00D86AE2" w:rsidRDefault="009876AF">
      <w:pPr>
        <w:spacing w:before="120" w:after="60"/>
        <w:jc w:val="center"/>
      </w:pPr>
      <w:r>
        <w:rPr>
          <w:noProof/>
        </w:rPr>
        <w:drawing>
          <wp:inline distT="0" distB="0" distL="0" distR="0" wp14:anchorId="3B4DD341" wp14:editId="33AE37EF">
            <wp:extent cx="5524500" cy="3038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038475"/>
                    </a:xfrm>
                    <a:prstGeom prst="rect">
                      <a:avLst/>
                    </a:prstGeom>
                  </pic:spPr>
                </pic:pic>
              </a:graphicData>
            </a:graphic>
          </wp:inline>
        </w:drawing>
      </w:r>
    </w:p>
    <w:p w14:paraId="4ADEF75B" w14:textId="77777777" w:rsidR="00D86AE2" w:rsidRDefault="009876AF">
      <w:pPr>
        <w:spacing w:after="240"/>
        <w:jc w:val="center"/>
      </w:pPr>
      <w:r>
        <w:rPr>
          <w:i/>
          <w:iCs/>
          <w:color w:val="555555"/>
        </w:rPr>
        <w:t>Figure 1.1 — Weekly new COVID-19 cases by country, showing distinct pandemic waves (Alpha, Delta, Omicron periods) with staggered timing and magnitude across regions.</w:t>
      </w:r>
    </w:p>
    <w:p w14:paraId="66C44502" w14:textId="77777777" w:rsidR="00D86AE2" w:rsidRDefault="009876AF">
      <w:pPr>
        <w:spacing w:after="160"/>
        <w:jc w:val="both"/>
      </w:pPr>
      <w:r>
        <w:t>India shows the sharpest single wave (the 2021 Delta surge), while the United States shows the largest sustained wave during the Omicron period in late 2022. Wave timing is staggered by 4–8 weeks across countries, consistent with differing containment policies and variant introduction dates.</w:t>
      </w:r>
    </w:p>
    <w:p w14:paraId="12984D99" w14:textId="77777777" w:rsidR="00D86AE2" w:rsidRDefault="009876AF">
      <w:pPr>
        <w:pStyle w:val="Heading2"/>
        <w:spacing w:before="240" w:after="120"/>
      </w:pPr>
      <w:r>
        <w:t>1.4 Vaccination Rollout</w:t>
      </w:r>
    </w:p>
    <w:p w14:paraId="77E5A153" w14:textId="77777777" w:rsidR="00D86AE2" w:rsidRDefault="009876AF">
      <w:pPr>
        <w:spacing w:before="120" w:after="60"/>
        <w:jc w:val="center"/>
      </w:pPr>
      <w:r>
        <w:rPr>
          <w:noProof/>
        </w:rPr>
        <w:lastRenderedPageBreak/>
        <w:drawing>
          <wp:inline distT="0" distB="0" distL="0" distR="0" wp14:anchorId="3DA4A510" wp14:editId="705D3D76">
            <wp:extent cx="5524500" cy="3038475"/>
            <wp:effectExtent l="0" t="0" r="0" b="0"/>
            <wp:docPr id="1768067131" name="Picture 176806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038475"/>
                    </a:xfrm>
                    <a:prstGeom prst="rect">
                      <a:avLst/>
                    </a:prstGeom>
                  </pic:spPr>
                </pic:pic>
              </a:graphicData>
            </a:graphic>
          </wp:inline>
        </w:drawing>
      </w:r>
    </w:p>
    <w:p w14:paraId="3F6AD694" w14:textId="77777777" w:rsidR="00D86AE2" w:rsidRDefault="009876AF">
      <w:pPr>
        <w:spacing w:after="240"/>
        <w:jc w:val="center"/>
      </w:pPr>
      <w:r>
        <w:rPr>
          <w:i/>
          <w:iCs/>
          <w:color w:val="555555"/>
        </w:rPr>
        <w:t xml:space="preserve">Figure 1.2 — Cumulative vaccination coverage by country, </w:t>
      </w:r>
      <w:proofErr w:type="spellStart"/>
      <w:r>
        <w:rPr>
          <w:i/>
          <w:iCs/>
          <w:color w:val="555555"/>
        </w:rPr>
        <w:t>modeled</w:t>
      </w:r>
      <w:proofErr w:type="spellEnd"/>
      <w:r>
        <w:rPr>
          <w:i/>
          <w:iCs/>
          <w:color w:val="555555"/>
        </w:rPr>
        <w:t xml:space="preserve"> as a logistic rollout curve beginning ~November 2020.</w:t>
      </w:r>
    </w:p>
    <w:p w14:paraId="00B6B520" w14:textId="77777777" w:rsidR="00D86AE2" w:rsidRDefault="009876AF">
      <w:pPr>
        <w:pStyle w:val="Heading2"/>
        <w:spacing w:before="240" w:after="120"/>
      </w:pPr>
      <w:r>
        <w:t>1.5 Regional Comparison</w:t>
      </w:r>
    </w:p>
    <w:p w14:paraId="7C4F396E" w14:textId="77777777" w:rsidR="00D86AE2" w:rsidRDefault="009876AF">
      <w:pPr>
        <w:spacing w:before="120" w:after="60"/>
        <w:jc w:val="center"/>
      </w:pPr>
      <w:r>
        <w:rPr>
          <w:noProof/>
        </w:rPr>
        <w:drawing>
          <wp:inline distT="0" distB="0" distL="0" distR="0" wp14:anchorId="440BD23A" wp14:editId="148CC660">
            <wp:extent cx="5334000" cy="3257550"/>
            <wp:effectExtent l="0" t="0" r="0" b="0"/>
            <wp:docPr id="237332080" name="Picture 23733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57550"/>
                    </a:xfrm>
                    <a:prstGeom prst="rect">
                      <a:avLst/>
                    </a:prstGeom>
                  </pic:spPr>
                </pic:pic>
              </a:graphicData>
            </a:graphic>
          </wp:inline>
        </w:drawing>
      </w:r>
    </w:p>
    <w:p w14:paraId="065B22A2" w14:textId="77777777" w:rsidR="00D86AE2" w:rsidRDefault="009876AF">
      <w:pPr>
        <w:spacing w:after="240"/>
        <w:jc w:val="center"/>
      </w:pPr>
      <w:r>
        <w:rPr>
          <w:i/>
          <w:iCs/>
          <w:color w:val="555555"/>
        </w:rPr>
        <w:t>Figure 1.3 — Total confirmed cases by country over the study period.</w:t>
      </w:r>
    </w:p>
    <w:p w14:paraId="714C4EA1" w14:textId="77777777" w:rsidR="00D86AE2" w:rsidRDefault="009876AF">
      <w:pPr>
        <w:pStyle w:val="Heading2"/>
        <w:spacing w:before="240" w:after="120"/>
      </w:pPr>
      <w:r>
        <w:t>1.6 Vaccination vs. Mortality Relationship</w:t>
      </w:r>
    </w:p>
    <w:p w14:paraId="17717605" w14:textId="77777777" w:rsidR="00D86AE2" w:rsidRDefault="009876AF">
      <w:pPr>
        <w:spacing w:before="120" w:after="60"/>
        <w:jc w:val="center"/>
      </w:pPr>
      <w:r>
        <w:rPr>
          <w:noProof/>
        </w:rPr>
        <w:lastRenderedPageBreak/>
        <w:drawing>
          <wp:inline distT="0" distB="0" distL="0" distR="0" wp14:anchorId="77A31967" wp14:editId="47127E07">
            <wp:extent cx="4762500" cy="3276600"/>
            <wp:effectExtent l="0" t="0" r="0" b="0"/>
            <wp:docPr id="486423666" name="Picture 48642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276600"/>
                    </a:xfrm>
                    <a:prstGeom prst="rect">
                      <a:avLst/>
                    </a:prstGeom>
                  </pic:spPr>
                </pic:pic>
              </a:graphicData>
            </a:graphic>
          </wp:inline>
        </w:drawing>
      </w:r>
    </w:p>
    <w:p w14:paraId="76C95749" w14:textId="77777777" w:rsidR="00D86AE2" w:rsidRDefault="009876AF">
      <w:pPr>
        <w:spacing w:after="240"/>
        <w:jc w:val="center"/>
      </w:pPr>
      <w:r>
        <w:rPr>
          <w:i/>
          <w:iCs/>
          <w:color w:val="555555"/>
        </w:rPr>
        <w:t>Figure 1.4 — Peak vaccination coverage plotted against case fatality ratio (CFR) by country.</w:t>
      </w:r>
    </w:p>
    <w:p w14:paraId="25267193" w14:textId="77777777" w:rsidR="00D86AE2" w:rsidRDefault="009876AF">
      <w:pPr>
        <w:spacing w:after="160"/>
        <w:jc w:val="both"/>
      </w:pPr>
      <w:r>
        <w:t>Country-level summary statistics and the case fatality ratio (CFR = total deaths / total cases) are shown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800"/>
        <w:gridCol w:w="1900"/>
        <w:gridCol w:w="1300"/>
      </w:tblGrid>
      <w:tr w:rsidR="00D86AE2" w14:paraId="5502F71C" w14:textId="77777777">
        <w:tblPrEx>
          <w:tblCellMar>
            <w:top w:w="0" w:type="dxa"/>
            <w:bottom w:w="0" w:type="dxa"/>
          </w:tblCellMar>
        </w:tblPrEx>
        <w:trPr>
          <w:tblHeader/>
        </w:trPr>
        <w:tc>
          <w:tcPr>
            <w:tcW w:w="2400" w:type="dxa"/>
            <w:shd w:val="clear" w:color="auto" w:fill="2F5496"/>
          </w:tcPr>
          <w:p w14:paraId="4EDFD72A" w14:textId="77777777" w:rsidR="00D86AE2" w:rsidRDefault="009876AF">
            <w:r>
              <w:rPr>
                <w:b/>
                <w:bCs/>
                <w:color w:val="FFFFFF"/>
              </w:rPr>
              <w:t>Country</w:t>
            </w:r>
          </w:p>
        </w:tc>
        <w:tc>
          <w:tcPr>
            <w:tcW w:w="2000" w:type="dxa"/>
            <w:shd w:val="clear" w:color="auto" w:fill="2F5496"/>
          </w:tcPr>
          <w:p w14:paraId="7C4E3A06" w14:textId="77777777" w:rsidR="00D86AE2" w:rsidRDefault="009876AF">
            <w:r>
              <w:rPr>
                <w:b/>
                <w:bCs/>
                <w:color w:val="FFFFFF"/>
              </w:rPr>
              <w:t>Total Cases (M)</w:t>
            </w:r>
          </w:p>
        </w:tc>
        <w:tc>
          <w:tcPr>
            <w:tcW w:w="1800" w:type="dxa"/>
            <w:shd w:val="clear" w:color="auto" w:fill="2F5496"/>
          </w:tcPr>
          <w:p w14:paraId="6014FB3A" w14:textId="77777777" w:rsidR="00D86AE2" w:rsidRDefault="009876AF">
            <w:r>
              <w:rPr>
                <w:b/>
                <w:bCs/>
                <w:color w:val="FFFFFF"/>
              </w:rPr>
              <w:t>Total Deaths</w:t>
            </w:r>
          </w:p>
        </w:tc>
        <w:tc>
          <w:tcPr>
            <w:tcW w:w="1900" w:type="dxa"/>
            <w:shd w:val="clear" w:color="auto" w:fill="2F5496"/>
          </w:tcPr>
          <w:p w14:paraId="1FF6D470" w14:textId="77777777" w:rsidR="00D86AE2" w:rsidRDefault="009876AF">
            <w:r>
              <w:rPr>
                <w:b/>
                <w:bCs/>
                <w:color w:val="FFFFFF"/>
              </w:rPr>
              <w:t>Peak Vaccination</w:t>
            </w:r>
          </w:p>
        </w:tc>
        <w:tc>
          <w:tcPr>
            <w:tcW w:w="1300" w:type="dxa"/>
            <w:shd w:val="clear" w:color="auto" w:fill="2F5496"/>
          </w:tcPr>
          <w:p w14:paraId="5B408389" w14:textId="77777777" w:rsidR="00D86AE2" w:rsidRDefault="009876AF">
            <w:r>
              <w:rPr>
                <w:b/>
                <w:bCs/>
                <w:color w:val="FFFFFF"/>
              </w:rPr>
              <w:t>CFR (%)</w:t>
            </w:r>
          </w:p>
        </w:tc>
      </w:tr>
      <w:tr w:rsidR="00D86AE2" w14:paraId="41D55C98" w14:textId="77777777">
        <w:tblPrEx>
          <w:tblCellMar>
            <w:top w:w="0" w:type="dxa"/>
            <w:bottom w:w="0" w:type="dxa"/>
          </w:tblCellMar>
        </w:tblPrEx>
        <w:tc>
          <w:tcPr>
            <w:tcW w:w="2400" w:type="dxa"/>
            <w:shd w:val="clear" w:color="auto" w:fill="F2F2F2"/>
          </w:tcPr>
          <w:p w14:paraId="6DCECCEE" w14:textId="77777777" w:rsidR="00D86AE2" w:rsidRDefault="009876AF">
            <w:r>
              <w:t>United States</w:t>
            </w:r>
          </w:p>
        </w:tc>
        <w:tc>
          <w:tcPr>
            <w:tcW w:w="2000" w:type="dxa"/>
            <w:shd w:val="clear" w:color="auto" w:fill="F2F2F2"/>
          </w:tcPr>
          <w:p w14:paraId="3198A58C" w14:textId="77777777" w:rsidR="00D86AE2" w:rsidRDefault="009876AF">
            <w:r>
              <w:t>4.31</w:t>
            </w:r>
          </w:p>
        </w:tc>
        <w:tc>
          <w:tcPr>
            <w:tcW w:w="1800" w:type="dxa"/>
            <w:shd w:val="clear" w:color="auto" w:fill="F2F2F2"/>
          </w:tcPr>
          <w:p w14:paraId="4813B2AB" w14:textId="77777777" w:rsidR="00D86AE2" w:rsidRDefault="009876AF">
            <w:r>
              <w:t>72,162</w:t>
            </w:r>
          </w:p>
        </w:tc>
        <w:tc>
          <w:tcPr>
            <w:tcW w:w="1900" w:type="dxa"/>
            <w:shd w:val="clear" w:color="auto" w:fill="F2F2F2"/>
          </w:tcPr>
          <w:p w14:paraId="36BA168D" w14:textId="77777777" w:rsidR="00D86AE2" w:rsidRDefault="009876AF">
            <w:r>
              <w:t>73%</w:t>
            </w:r>
          </w:p>
        </w:tc>
        <w:tc>
          <w:tcPr>
            <w:tcW w:w="1300" w:type="dxa"/>
            <w:shd w:val="clear" w:color="auto" w:fill="F2F2F2"/>
          </w:tcPr>
          <w:p w14:paraId="1BFFDD31" w14:textId="77777777" w:rsidR="00D86AE2" w:rsidRDefault="009876AF">
            <w:r>
              <w:t>1.67</w:t>
            </w:r>
          </w:p>
        </w:tc>
      </w:tr>
      <w:tr w:rsidR="00D86AE2" w14:paraId="29045B54" w14:textId="77777777">
        <w:tblPrEx>
          <w:tblCellMar>
            <w:top w:w="0" w:type="dxa"/>
            <w:bottom w:w="0" w:type="dxa"/>
          </w:tblCellMar>
        </w:tblPrEx>
        <w:tc>
          <w:tcPr>
            <w:tcW w:w="2400" w:type="dxa"/>
            <w:shd w:val="clear" w:color="auto" w:fill="FFFFFF"/>
          </w:tcPr>
          <w:p w14:paraId="314E0B1C" w14:textId="77777777" w:rsidR="00D86AE2" w:rsidRDefault="009876AF">
            <w:r>
              <w:t>India</w:t>
            </w:r>
          </w:p>
        </w:tc>
        <w:tc>
          <w:tcPr>
            <w:tcW w:w="2000" w:type="dxa"/>
            <w:shd w:val="clear" w:color="auto" w:fill="FFFFFF"/>
          </w:tcPr>
          <w:p w14:paraId="1A0D0D7C" w14:textId="77777777" w:rsidR="00D86AE2" w:rsidRDefault="009876AF">
            <w:r>
              <w:t>3.69</w:t>
            </w:r>
          </w:p>
        </w:tc>
        <w:tc>
          <w:tcPr>
            <w:tcW w:w="1800" w:type="dxa"/>
            <w:shd w:val="clear" w:color="auto" w:fill="FFFFFF"/>
          </w:tcPr>
          <w:p w14:paraId="01CB1F80" w14:textId="77777777" w:rsidR="00D86AE2" w:rsidRDefault="009876AF">
            <w:r>
              <w:t>45,604</w:t>
            </w:r>
          </w:p>
        </w:tc>
        <w:tc>
          <w:tcPr>
            <w:tcW w:w="1900" w:type="dxa"/>
            <w:shd w:val="clear" w:color="auto" w:fill="FFFFFF"/>
          </w:tcPr>
          <w:p w14:paraId="68840F9E" w14:textId="77777777" w:rsidR="00D86AE2" w:rsidRDefault="009876AF">
            <w:r>
              <w:t>64%</w:t>
            </w:r>
          </w:p>
        </w:tc>
        <w:tc>
          <w:tcPr>
            <w:tcW w:w="1300" w:type="dxa"/>
            <w:shd w:val="clear" w:color="auto" w:fill="FFFFFF"/>
          </w:tcPr>
          <w:p w14:paraId="2D58215B" w14:textId="77777777" w:rsidR="00D86AE2" w:rsidRDefault="009876AF">
            <w:r>
              <w:t>1.24</w:t>
            </w:r>
          </w:p>
        </w:tc>
      </w:tr>
      <w:tr w:rsidR="00D86AE2" w14:paraId="43B990B0" w14:textId="77777777">
        <w:tblPrEx>
          <w:tblCellMar>
            <w:top w:w="0" w:type="dxa"/>
            <w:bottom w:w="0" w:type="dxa"/>
          </w:tblCellMar>
        </w:tblPrEx>
        <w:tc>
          <w:tcPr>
            <w:tcW w:w="2400" w:type="dxa"/>
            <w:shd w:val="clear" w:color="auto" w:fill="F2F2F2"/>
          </w:tcPr>
          <w:p w14:paraId="273072FE" w14:textId="77777777" w:rsidR="00D86AE2" w:rsidRDefault="009876AF">
            <w:r>
              <w:t>Brazil</w:t>
            </w:r>
          </w:p>
        </w:tc>
        <w:tc>
          <w:tcPr>
            <w:tcW w:w="2000" w:type="dxa"/>
            <w:shd w:val="clear" w:color="auto" w:fill="F2F2F2"/>
          </w:tcPr>
          <w:p w14:paraId="08B84D13" w14:textId="77777777" w:rsidR="00D86AE2" w:rsidRDefault="009876AF">
            <w:r>
              <w:t>2.66</w:t>
            </w:r>
          </w:p>
        </w:tc>
        <w:tc>
          <w:tcPr>
            <w:tcW w:w="1800" w:type="dxa"/>
            <w:shd w:val="clear" w:color="auto" w:fill="F2F2F2"/>
          </w:tcPr>
          <w:p w14:paraId="21717A5E" w14:textId="77777777" w:rsidR="00D86AE2" w:rsidRDefault="009876AF">
            <w:r>
              <w:t>42,475</w:t>
            </w:r>
          </w:p>
        </w:tc>
        <w:tc>
          <w:tcPr>
            <w:tcW w:w="1900" w:type="dxa"/>
            <w:shd w:val="clear" w:color="auto" w:fill="F2F2F2"/>
          </w:tcPr>
          <w:p w14:paraId="19701EEC" w14:textId="77777777" w:rsidR="00D86AE2" w:rsidRDefault="009876AF">
            <w:r>
              <w:t>77%</w:t>
            </w:r>
          </w:p>
        </w:tc>
        <w:tc>
          <w:tcPr>
            <w:tcW w:w="1300" w:type="dxa"/>
            <w:shd w:val="clear" w:color="auto" w:fill="F2F2F2"/>
          </w:tcPr>
          <w:p w14:paraId="7D5F151A" w14:textId="77777777" w:rsidR="00D86AE2" w:rsidRDefault="009876AF">
            <w:r>
              <w:t>1.60</w:t>
            </w:r>
          </w:p>
        </w:tc>
      </w:tr>
      <w:tr w:rsidR="00D86AE2" w14:paraId="77D8E60F" w14:textId="77777777">
        <w:tblPrEx>
          <w:tblCellMar>
            <w:top w:w="0" w:type="dxa"/>
            <w:bottom w:w="0" w:type="dxa"/>
          </w:tblCellMar>
        </w:tblPrEx>
        <w:tc>
          <w:tcPr>
            <w:tcW w:w="2400" w:type="dxa"/>
            <w:shd w:val="clear" w:color="auto" w:fill="FFFFFF"/>
          </w:tcPr>
          <w:p w14:paraId="40F08EB9" w14:textId="77777777" w:rsidR="00D86AE2" w:rsidRDefault="009876AF">
            <w:r>
              <w:t>United Kingdom</w:t>
            </w:r>
          </w:p>
        </w:tc>
        <w:tc>
          <w:tcPr>
            <w:tcW w:w="2000" w:type="dxa"/>
            <w:shd w:val="clear" w:color="auto" w:fill="FFFFFF"/>
          </w:tcPr>
          <w:p w14:paraId="67A0206D" w14:textId="77777777" w:rsidR="00D86AE2" w:rsidRDefault="009876AF">
            <w:r>
              <w:t>1.88</w:t>
            </w:r>
          </w:p>
        </w:tc>
        <w:tc>
          <w:tcPr>
            <w:tcW w:w="1800" w:type="dxa"/>
            <w:shd w:val="clear" w:color="auto" w:fill="FFFFFF"/>
          </w:tcPr>
          <w:p w14:paraId="0508F1E8" w14:textId="77777777" w:rsidR="00D86AE2" w:rsidRDefault="009876AF">
            <w:r>
              <w:t>18,093</w:t>
            </w:r>
          </w:p>
        </w:tc>
        <w:tc>
          <w:tcPr>
            <w:tcW w:w="1900" w:type="dxa"/>
            <w:shd w:val="clear" w:color="auto" w:fill="FFFFFF"/>
          </w:tcPr>
          <w:p w14:paraId="433511DF" w14:textId="77777777" w:rsidR="00D86AE2" w:rsidRDefault="009876AF">
            <w:r>
              <w:t>76%</w:t>
            </w:r>
          </w:p>
        </w:tc>
        <w:tc>
          <w:tcPr>
            <w:tcW w:w="1300" w:type="dxa"/>
            <w:shd w:val="clear" w:color="auto" w:fill="FFFFFF"/>
          </w:tcPr>
          <w:p w14:paraId="65FB6184" w14:textId="77777777" w:rsidR="00D86AE2" w:rsidRDefault="009876AF">
            <w:r>
              <w:t>0.96</w:t>
            </w:r>
          </w:p>
        </w:tc>
      </w:tr>
      <w:tr w:rsidR="00D86AE2" w14:paraId="41FA6BF6" w14:textId="77777777">
        <w:tblPrEx>
          <w:tblCellMar>
            <w:top w:w="0" w:type="dxa"/>
            <w:bottom w:w="0" w:type="dxa"/>
          </w:tblCellMar>
        </w:tblPrEx>
        <w:tc>
          <w:tcPr>
            <w:tcW w:w="2400" w:type="dxa"/>
            <w:shd w:val="clear" w:color="auto" w:fill="F2F2F2"/>
          </w:tcPr>
          <w:p w14:paraId="56FEB6DF" w14:textId="77777777" w:rsidR="00D86AE2" w:rsidRDefault="009876AF">
            <w:r>
              <w:t>Japan</w:t>
            </w:r>
          </w:p>
        </w:tc>
        <w:tc>
          <w:tcPr>
            <w:tcW w:w="2000" w:type="dxa"/>
            <w:shd w:val="clear" w:color="auto" w:fill="F2F2F2"/>
          </w:tcPr>
          <w:p w14:paraId="04BA78BC" w14:textId="77777777" w:rsidR="00D86AE2" w:rsidRDefault="009876AF">
            <w:r>
              <w:t>0.64</w:t>
            </w:r>
          </w:p>
        </w:tc>
        <w:tc>
          <w:tcPr>
            <w:tcW w:w="1800" w:type="dxa"/>
            <w:shd w:val="clear" w:color="auto" w:fill="F2F2F2"/>
          </w:tcPr>
          <w:p w14:paraId="00B6711C" w14:textId="77777777" w:rsidR="00D86AE2" w:rsidRDefault="009876AF">
            <w:r>
              <w:t>8,278</w:t>
            </w:r>
          </w:p>
        </w:tc>
        <w:tc>
          <w:tcPr>
            <w:tcW w:w="1900" w:type="dxa"/>
            <w:shd w:val="clear" w:color="auto" w:fill="F2F2F2"/>
          </w:tcPr>
          <w:p w14:paraId="721DE41C" w14:textId="77777777" w:rsidR="00D86AE2" w:rsidRDefault="009876AF">
            <w:r>
              <w:t>81%</w:t>
            </w:r>
          </w:p>
        </w:tc>
        <w:tc>
          <w:tcPr>
            <w:tcW w:w="1300" w:type="dxa"/>
            <w:shd w:val="clear" w:color="auto" w:fill="F2F2F2"/>
          </w:tcPr>
          <w:p w14:paraId="7FC4F510" w14:textId="77777777" w:rsidR="00D86AE2" w:rsidRDefault="009876AF">
            <w:r>
              <w:t>1.30</w:t>
            </w:r>
          </w:p>
        </w:tc>
      </w:tr>
      <w:tr w:rsidR="00D86AE2" w14:paraId="49CE24BD" w14:textId="77777777">
        <w:tblPrEx>
          <w:tblCellMar>
            <w:top w:w="0" w:type="dxa"/>
            <w:bottom w:w="0" w:type="dxa"/>
          </w:tblCellMar>
        </w:tblPrEx>
        <w:tc>
          <w:tcPr>
            <w:tcW w:w="2400" w:type="dxa"/>
            <w:shd w:val="clear" w:color="auto" w:fill="FFFFFF"/>
          </w:tcPr>
          <w:p w14:paraId="3F0C8DAA" w14:textId="77777777" w:rsidR="00D86AE2" w:rsidRDefault="009876AF">
            <w:r>
              <w:t>South Africa</w:t>
            </w:r>
          </w:p>
        </w:tc>
        <w:tc>
          <w:tcPr>
            <w:tcW w:w="2000" w:type="dxa"/>
            <w:shd w:val="clear" w:color="auto" w:fill="FFFFFF"/>
          </w:tcPr>
          <w:p w14:paraId="5FA38FAB" w14:textId="77777777" w:rsidR="00D86AE2" w:rsidRDefault="009876AF">
            <w:r>
              <w:t>0.54</w:t>
            </w:r>
          </w:p>
        </w:tc>
        <w:tc>
          <w:tcPr>
            <w:tcW w:w="1800" w:type="dxa"/>
            <w:shd w:val="clear" w:color="auto" w:fill="FFFFFF"/>
          </w:tcPr>
          <w:p w14:paraId="20CB75F4" w14:textId="77777777" w:rsidR="00D86AE2" w:rsidRDefault="009876AF">
            <w:r>
              <w:t>5,203</w:t>
            </w:r>
          </w:p>
        </w:tc>
        <w:tc>
          <w:tcPr>
            <w:tcW w:w="1900" w:type="dxa"/>
            <w:shd w:val="clear" w:color="auto" w:fill="FFFFFF"/>
          </w:tcPr>
          <w:p w14:paraId="3878DB85" w14:textId="77777777" w:rsidR="00D86AE2" w:rsidRDefault="009876AF">
            <w:r>
              <w:t>47%</w:t>
            </w:r>
          </w:p>
        </w:tc>
        <w:tc>
          <w:tcPr>
            <w:tcW w:w="1300" w:type="dxa"/>
            <w:shd w:val="clear" w:color="auto" w:fill="FFFFFF"/>
          </w:tcPr>
          <w:p w14:paraId="0F8A5AE8" w14:textId="77777777" w:rsidR="00D86AE2" w:rsidRDefault="009876AF">
            <w:r>
              <w:t>0.97</w:t>
            </w:r>
          </w:p>
        </w:tc>
      </w:tr>
    </w:tbl>
    <w:p w14:paraId="046431D1" w14:textId="77777777" w:rsidR="00D86AE2" w:rsidRDefault="00D86AE2">
      <w:pPr>
        <w:spacing w:after="200"/>
      </w:pPr>
    </w:p>
    <w:p w14:paraId="12D7D986" w14:textId="77777777" w:rsidR="00D86AE2" w:rsidRDefault="009876AF">
      <w:pPr>
        <w:pStyle w:val="Heading2"/>
        <w:spacing w:before="240" w:after="120"/>
      </w:pPr>
      <w:r>
        <w:t>1.7 Key Findings</w:t>
      </w:r>
    </w:p>
    <w:p w14:paraId="7DC09ECD" w14:textId="77777777" w:rsidR="00D86AE2" w:rsidRDefault="009876AF">
      <w:pPr>
        <w:pStyle w:val="ListParagraph"/>
        <w:numPr>
          <w:ilvl w:val="0"/>
          <w:numId w:val="2"/>
        </w:numPr>
        <w:spacing w:after="80"/>
      </w:pPr>
      <w:r>
        <w:t>All six countries experienced 3–4 distinct infection waves, with peak weekly case counts ranging from ~12,000 (South Africa) to over 150,000 (India, mid-2021).</w:t>
      </w:r>
    </w:p>
    <w:p w14:paraId="6199165B" w14:textId="77777777" w:rsidR="00D86AE2" w:rsidRDefault="009876AF">
      <w:pPr>
        <w:pStyle w:val="ListParagraph"/>
        <w:numPr>
          <w:ilvl w:val="0"/>
          <w:numId w:val="2"/>
        </w:numPr>
        <w:spacing w:after="80"/>
      </w:pPr>
      <w:r>
        <w:t>Vaccination rollout began in earnest in late 2020/early 2021, reaching plateau coverage (48%–83% of population) by mid-to-late 2021 in most countries.</w:t>
      </w:r>
    </w:p>
    <w:p w14:paraId="48FB92E0" w14:textId="77777777" w:rsidR="00D86AE2" w:rsidRDefault="009876AF">
      <w:pPr>
        <w:pStyle w:val="ListParagraph"/>
        <w:numPr>
          <w:ilvl w:val="0"/>
          <w:numId w:val="2"/>
        </w:numPr>
        <w:spacing w:after="80"/>
      </w:pPr>
      <w:r>
        <w:t>South Africa's lower peak vaccination coverage (47%) coincides with the lowest CFR in this dataset, indicating that CFR is also strongly shaped by factors such as population age structure, healthcare capacity, and testing intensity — not vaccination alone.</w:t>
      </w:r>
    </w:p>
    <w:p w14:paraId="763E71D7" w14:textId="77777777" w:rsidR="00D86AE2" w:rsidRDefault="009876AF">
      <w:pPr>
        <w:pStyle w:val="ListParagraph"/>
        <w:numPr>
          <w:ilvl w:val="0"/>
          <w:numId w:val="2"/>
        </w:numPr>
        <w:spacing w:after="80"/>
      </w:pPr>
      <w:r>
        <w:t>A weak-to-moderate positive correlation (r ≈ 0.49) was observed between peak vaccination coverage and CFR across countries, underscoring that cross-country CFR comparisons are confounded and should not be read as vaccines increasing mortality risk — within-country before/after comparisons are the statistically appropriate test.</w:t>
      </w:r>
    </w:p>
    <w:p w14:paraId="54A23679" w14:textId="77777777" w:rsidR="00D86AE2" w:rsidRDefault="009876AF">
      <w:pPr>
        <w:pStyle w:val="Heading2"/>
        <w:spacing w:before="240" w:after="120"/>
      </w:pPr>
      <w:r>
        <w:t>1.8 Recommendations</w:t>
      </w:r>
    </w:p>
    <w:p w14:paraId="6E10930D" w14:textId="77777777" w:rsidR="00D86AE2" w:rsidRDefault="009876AF">
      <w:pPr>
        <w:pStyle w:val="ListParagraph"/>
        <w:numPr>
          <w:ilvl w:val="0"/>
          <w:numId w:val="2"/>
        </w:numPr>
        <w:spacing w:after="80"/>
      </w:pPr>
      <w:r>
        <w:t>Prioritize within-country, age-stratified before/after vaccination analysis over cross-country CFR comparisons, which are confounded by testing rates, healthcare capacity, and demographics.</w:t>
      </w:r>
    </w:p>
    <w:p w14:paraId="0CE6446D" w14:textId="77777777" w:rsidR="00D86AE2" w:rsidRDefault="009876AF">
      <w:pPr>
        <w:pStyle w:val="ListParagraph"/>
        <w:numPr>
          <w:ilvl w:val="0"/>
          <w:numId w:val="2"/>
        </w:numPr>
        <w:spacing w:after="80"/>
      </w:pPr>
      <w:r>
        <w:t>Build an early-warning dashboard that flags a country's weekly case growth rate exceeding a 2-standard-deviation threshold, enabling faster public health response.</w:t>
      </w:r>
    </w:p>
    <w:p w14:paraId="78DBAFE2" w14:textId="77777777" w:rsidR="00D86AE2" w:rsidRDefault="009876AF">
      <w:pPr>
        <w:pStyle w:val="ListParagraph"/>
        <w:numPr>
          <w:ilvl w:val="0"/>
          <w:numId w:val="2"/>
        </w:numPr>
        <w:spacing w:after="80"/>
      </w:pPr>
      <w:r>
        <w:t>Target vaccination outreach in regions with coverage below 60%, prioritizing high-density urban areas where transmission risk is greatest.</w:t>
      </w:r>
    </w:p>
    <w:p w14:paraId="1EF76A57" w14:textId="77777777" w:rsidR="00D86AE2" w:rsidRDefault="009876AF">
      <w:pPr>
        <w:pStyle w:val="ListParagraph"/>
        <w:numPr>
          <w:ilvl w:val="0"/>
          <w:numId w:val="2"/>
        </w:numPr>
        <w:spacing w:after="80"/>
      </w:pPr>
      <w:r>
        <w:lastRenderedPageBreak/>
        <w:t>Standardize reporting cadence across countries to reduce the data gaps that currently require interpolation.</w:t>
      </w:r>
    </w:p>
    <w:p w14:paraId="14B73B30" w14:textId="77777777" w:rsidR="00D86AE2" w:rsidRDefault="009876AF">
      <w:r>
        <w:br w:type="page"/>
      </w:r>
    </w:p>
    <w:p w14:paraId="54666106" w14:textId="77777777" w:rsidR="00D86AE2" w:rsidRDefault="009876AF">
      <w:pPr>
        <w:pStyle w:val="Heading1"/>
        <w:spacing w:before="300" w:after="150"/>
      </w:pPr>
      <w:r>
        <w:lastRenderedPageBreak/>
        <w:t>2. Air Quality and Environmental Impact Assessment</w:t>
      </w:r>
    </w:p>
    <w:p w14:paraId="76A5130B" w14:textId="77777777" w:rsidR="00D86AE2" w:rsidRDefault="009876AF">
      <w:pPr>
        <w:pStyle w:val="Heading2"/>
        <w:spacing w:before="240" w:after="120"/>
      </w:pPr>
      <w:r>
        <w:t>2.1 Overview</w:t>
      </w:r>
    </w:p>
    <w:p w14:paraId="35D89478" w14:textId="77777777" w:rsidR="00D86AE2" w:rsidRDefault="009876AF">
      <w:pPr>
        <w:spacing w:after="160"/>
        <w:jc w:val="both"/>
      </w:pPr>
      <w:r>
        <w:t xml:space="preserve">This study </w:t>
      </w:r>
      <w:proofErr w:type="spellStart"/>
      <w:r>
        <w:t>analyzes</w:t>
      </w:r>
      <w:proofErr w:type="spellEnd"/>
      <w:r>
        <w:t xml:space="preserve"> monthly air quality across six major cities (Delhi, Beijing, Los Angeles, London, Chennai, São Paulo) throughout 2023, focusing on PM2.5 and NO₂ concentrations, seasonal variation, and their relationship to temperature and humidity.</w:t>
      </w:r>
    </w:p>
    <w:p w14:paraId="50C482A7" w14:textId="77777777" w:rsidR="00D86AE2" w:rsidRDefault="009876AF">
      <w:pPr>
        <w:pStyle w:val="Heading2"/>
        <w:spacing w:before="240" w:after="120"/>
      </w:pPr>
      <w:r>
        <w:t>2.2 Seasonal Patterns</w:t>
      </w:r>
    </w:p>
    <w:p w14:paraId="1DD53050" w14:textId="77777777" w:rsidR="00D86AE2" w:rsidRDefault="009876AF">
      <w:pPr>
        <w:spacing w:before="120" w:after="60"/>
        <w:jc w:val="center"/>
      </w:pPr>
      <w:r>
        <w:rPr>
          <w:noProof/>
        </w:rPr>
        <w:drawing>
          <wp:inline distT="0" distB="0" distL="0" distR="0" wp14:anchorId="2B79A4E4" wp14:editId="74B78A34">
            <wp:extent cx="5524500" cy="3038475"/>
            <wp:effectExtent l="0" t="0" r="0" b="0"/>
            <wp:docPr id="1337076911" name="Picture 133707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38475"/>
                    </a:xfrm>
                    <a:prstGeom prst="rect">
                      <a:avLst/>
                    </a:prstGeom>
                  </pic:spPr>
                </pic:pic>
              </a:graphicData>
            </a:graphic>
          </wp:inline>
        </w:drawing>
      </w:r>
    </w:p>
    <w:p w14:paraId="16AB3944" w14:textId="77777777" w:rsidR="00D86AE2" w:rsidRDefault="009876AF">
      <w:pPr>
        <w:spacing w:after="240"/>
        <w:jc w:val="center"/>
      </w:pPr>
      <w:r>
        <w:rPr>
          <w:i/>
          <w:iCs/>
          <w:color w:val="555555"/>
        </w:rPr>
        <w:t>Figure 2.1 — Monthly PM2.5 concentration by city against the WHO annual guideline of 5 µg/m³.</w:t>
      </w:r>
    </w:p>
    <w:p w14:paraId="41C0B521" w14:textId="77777777" w:rsidR="00D86AE2" w:rsidRDefault="009876AF">
      <w:pPr>
        <w:spacing w:after="160"/>
        <w:jc w:val="both"/>
      </w:pPr>
      <w:r>
        <w:t>Delhi shows the strongest seasonality, with PM2.5 peaking in winter months (November–January) due to a combination of temperature inversions, crop-residue burning, and reduced atmospheric mixing. Coastal and temperate cities (London, São Paulo) show comparatively flat seasonal profiles.</w:t>
      </w:r>
    </w:p>
    <w:p w14:paraId="18F17B26" w14:textId="77777777" w:rsidR="00D86AE2" w:rsidRDefault="009876AF">
      <w:pPr>
        <w:pStyle w:val="Heading2"/>
        <w:spacing w:before="240" w:after="120"/>
      </w:pPr>
      <w:r>
        <w:t>2.3 Pollutant–Meteorology Relationships</w:t>
      </w:r>
    </w:p>
    <w:p w14:paraId="030E1136" w14:textId="77777777" w:rsidR="00D86AE2" w:rsidRDefault="009876AF">
      <w:pPr>
        <w:spacing w:before="120" w:after="60"/>
        <w:jc w:val="center"/>
      </w:pPr>
      <w:r>
        <w:rPr>
          <w:noProof/>
        </w:rPr>
        <w:lastRenderedPageBreak/>
        <w:drawing>
          <wp:inline distT="0" distB="0" distL="0" distR="0" wp14:anchorId="403DE2C1" wp14:editId="2130D551">
            <wp:extent cx="4000500" cy="3352800"/>
            <wp:effectExtent l="0" t="0" r="0" b="0"/>
            <wp:docPr id="1776031217" name="Picture 1776031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352800"/>
                    </a:xfrm>
                    <a:prstGeom prst="rect">
                      <a:avLst/>
                    </a:prstGeom>
                  </pic:spPr>
                </pic:pic>
              </a:graphicData>
            </a:graphic>
          </wp:inline>
        </w:drawing>
      </w:r>
    </w:p>
    <w:p w14:paraId="4DB70521" w14:textId="77777777" w:rsidR="00D86AE2" w:rsidRDefault="009876AF">
      <w:pPr>
        <w:spacing w:after="240"/>
        <w:jc w:val="center"/>
      </w:pPr>
      <w:r>
        <w:rPr>
          <w:i/>
          <w:iCs/>
          <w:color w:val="555555"/>
        </w:rPr>
        <w:t>Figure 2.2 — Correlation matrix between PM2.5, NO₂, temperature, and humidity.</w:t>
      </w:r>
    </w:p>
    <w:p w14:paraId="014CABE5" w14:textId="77777777" w:rsidR="00D86AE2" w:rsidRDefault="009876AF">
      <w:pPr>
        <w:spacing w:after="160"/>
        <w:jc w:val="both"/>
      </w:pPr>
      <w:r>
        <w:t>PM2.5 and NO₂ are strongly correlated (r = 0.97), consistent with shared combustion sources (vehicle traffic, industry). Temperature and humidity show negligible direct correlation with PM2.5 in this dataset, suggesting that emission source strength — not weather alone — is the dominant driver of pollution levels at a monthly resolution.</w:t>
      </w:r>
    </w:p>
    <w:p w14:paraId="756B1FB1" w14:textId="77777777" w:rsidR="00D86AE2" w:rsidRDefault="009876AF">
      <w:pPr>
        <w:pStyle w:val="Heading2"/>
        <w:spacing w:before="240" w:after="120"/>
      </w:pPr>
      <w:r>
        <w:t>2.4 Geographic Distribution</w:t>
      </w:r>
    </w:p>
    <w:p w14:paraId="29ABCFA6" w14:textId="77777777" w:rsidR="00D86AE2" w:rsidRDefault="009876AF">
      <w:pPr>
        <w:spacing w:before="120" w:after="60"/>
        <w:jc w:val="center"/>
      </w:pPr>
      <w:r>
        <w:rPr>
          <w:noProof/>
        </w:rPr>
        <w:drawing>
          <wp:inline distT="0" distB="0" distL="0" distR="0" wp14:anchorId="697437AD" wp14:editId="2A88CAFB">
            <wp:extent cx="5524500" cy="3038475"/>
            <wp:effectExtent l="0" t="0" r="0" b="0"/>
            <wp:docPr id="591703463" name="Picture 59170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038475"/>
                    </a:xfrm>
                    <a:prstGeom prst="rect">
                      <a:avLst/>
                    </a:prstGeom>
                  </pic:spPr>
                </pic:pic>
              </a:graphicData>
            </a:graphic>
          </wp:inline>
        </w:drawing>
      </w:r>
    </w:p>
    <w:p w14:paraId="3F49EC8B" w14:textId="77777777" w:rsidR="00D86AE2" w:rsidRDefault="009876AF">
      <w:pPr>
        <w:spacing w:after="240"/>
        <w:jc w:val="center"/>
      </w:pPr>
      <w:r>
        <w:rPr>
          <w:i/>
          <w:iCs/>
          <w:color w:val="555555"/>
        </w:rPr>
        <w:t xml:space="preserve">Figure 2.3 — Average PM2.5 by city location; marker size and </w:t>
      </w:r>
      <w:proofErr w:type="spellStart"/>
      <w:r>
        <w:rPr>
          <w:i/>
          <w:iCs/>
          <w:color w:val="555555"/>
        </w:rPr>
        <w:t>color</w:t>
      </w:r>
      <w:proofErr w:type="spellEnd"/>
      <w:r>
        <w:rPr>
          <w:i/>
          <w:iCs/>
          <w:color w:val="555555"/>
        </w:rPr>
        <w:t xml:space="preserve"> scale with pollution severity.</w:t>
      </w:r>
    </w:p>
    <w:p w14:paraId="12047727" w14:textId="77777777" w:rsidR="00D86AE2" w:rsidRDefault="009876AF">
      <w:pPr>
        <w:pStyle w:val="Heading2"/>
        <w:spacing w:before="240" w:after="120"/>
      </w:pPr>
      <w:r>
        <w:t>2.5 Benchmarking Against WHO Guidelines</w:t>
      </w:r>
    </w:p>
    <w:p w14:paraId="505BC0CC" w14:textId="77777777" w:rsidR="00D86AE2" w:rsidRDefault="009876AF">
      <w:pPr>
        <w:spacing w:before="120" w:after="60"/>
        <w:jc w:val="center"/>
      </w:pPr>
      <w:r>
        <w:rPr>
          <w:noProof/>
        </w:rPr>
        <w:lastRenderedPageBreak/>
        <w:drawing>
          <wp:inline distT="0" distB="0" distL="0" distR="0" wp14:anchorId="5CDFBE92" wp14:editId="0E9EDA82">
            <wp:extent cx="5334000" cy="3257550"/>
            <wp:effectExtent l="0" t="0" r="0" b="0"/>
            <wp:docPr id="1110810643" name="Picture 11108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257550"/>
                    </a:xfrm>
                    <a:prstGeom prst="rect">
                      <a:avLst/>
                    </a:prstGeom>
                  </pic:spPr>
                </pic:pic>
              </a:graphicData>
            </a:graphic>
          </wp:inline>
        </w:drawing>
      </w:r>
    </w:p>
    <w:p w14:paraId="6B0043B3" w14:textId="77777777" w:rsidR="00D86AE2" w:rsidRDefault="009876AF">
      <w:pPr>
        <w:spacing w:after="240"/>
        <w:jc w:val="center"/>
      </w:pPr>
      <w:r>
        <w:rPr>
          <w:i/>
          <w:iCs/>
          <w:color w:val="555555"/>
        </w:rPr>
        <w:t>Figure 2.4 — Average annual PM2.5 compared to WHO guideline (5 µg/m³) and interim target 1 (35 µg/m³).</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2000"/>
      </w:tblGrid>
      <w:tr w:rsidR="00D86AE2" w14:paraId="48E24284" w14:textId="77777777">
        <w:tblPrEx>
          <w:tblCellMar>
            <w:top w:w="0" w:type="dxa"/>
            <w:bottom w:w="0" w:type="dxa"/>
          </w:tblCellMar>
        </w:tblPrEx>
        <w:trPr>
          <w:tblHeader/>
        </w:trPr>
        <w:tc>
          <w:tcPr>
            <w:tcW w:w="2200" w:type="dxa"/>
            <w:shd w:val="clear" w:color="auto" w:fill="2F5496"/>
          </w:tcPr>
          <w:p w14:paraId="043211F5" w14:textId="77777777" w:rsidR="00D86AE2" w:rsidRDefault="009876AF">
            <w:r>
              <w:rPr>
                <w:b/>
                <w:bCs/>
                <w:color w:val="FFFFFF"/>
              </w:rPr>
              <w:t>City</w:t>
            </w:r>
          </w:p>
        </w:tc>
        <w:tc>
          <w:tcPr>
            <w:tcW w:w="2600" w:type="dxa"/>
            <w:shd w:val="clear" w:color="auto" w:fill="2F5496"/>
          </w:tcPr>
          <w:p w14:paraId="0FE79516" w14:textId="77777777" w:rsidR="00D86AE2" w:rsidRDefault="009876AF">
            <w:proofErr w:type="spellStart"/>
            <w:r>
              <w:rPr>
                <w:b/>
                <w:bCs/>
                <w:color w:val="FFFFFF"/>
              </w:rPr>
              <w:t>Avg</w:t>
            </w:r>
            <w:proofErr w:type="spellEnd"/>
            <w:r>
              <w:rPr>
                <w:b/>
                <w:bCs/>
                <w:color w:val="FFFFFF"/>
              </w:rPr>
              <w:t xml:space="preserve"> PM2.5 (µg/m³)</w:t>
            </w:r>
          </w:p>
        </w:tc>
        <w:tc>
          <w:tcPr>
            <w:tcW w:w="2600" w:type="dxa"/>
            <w:shd w:val="clear" w:color="auto" w:fill="2F5496"/>
          </w:tcPr>
          <w:p w14:paraId="424F1F7E" w14:textId="77777777" w:rsidR="00D86AE2" w:rsidRDefault="009876AF">
            <w:r>
              <w:rPr>
                <w:b/>
                <w:bCs/>
                <w:color w:val="FFFFFF"/>
              </w:rPr>
              <w:t>vs WHO Guideline (5)</w:t>
            </w:r>
          </w:p>
        </w:tc>
        <w:tc>
          <w:tcPr>
            <w:tcW w:w="2000" w:type="dxa"/>
            <w:shd w:val="clear" w:color="auto" w:fill="2F5496"/>
          </w:tcPr>
          <w:p w14:paraId="70780EF2" w14:textId="77777777" w:rsidR="00D86AE2" w:rsidRDefault="009876AF">
            <w:r>
              <w:rPr>
                <w:b/>
                <w:bCs/>
                <w:color w:val="FFFFFF"/>
              </w:rPr>
              <w:t>Status</w:t>
            </w:r>
          </w:p>
        </w:tc>
      </w:tr>
      <w:tr w:rsidR="00D86AE2" w14:paraId="59A7173F" w14:textId="77777777">
        <w:tblPrEx>
          <w:tblCellMar>
            <w:top w:w="0" w:type="dxa"/>
            <w:bottom w:w="0" w:type="dxa"/>
          </w:tblCellMar>
        </w:tblPrEx>
        <w:tc>
          <w:tcPr>
            <w:tcW w:w="2200" w:type="dxa"/>
            <w:shd w:val="clear" w:color="auto" w:fill="F2F2F2"/>
          </w:tcPr>
          <w:p w14:paraId="2B1E8B4F" w14:textId="77777777" w:rsidR="00D86AE2" w:rsidRDefault="009876AF">
            <w:r>
              <w:t>Delhi</w:t>
            </w:r>
          </w:p>
        </w:tc>
        <w:tc>
          <w:tcPr>
            <w:tcW w:w="2600" w:type="dxa"/>
            <w:shd w:val="clear" w:color="auto" w:fill="F2F2F2"/>
          </w:tcPr>
          <w:p w14:paraId="4DD328DE" w14:textId="77777777" w:rsidR="00D86AE2" w:rsidRDefault="009876AF">
            <w:r>
              <w:t>123.1</w:t>
            </w:r>
          </w:p>
        </w:tc>
        <w:tc>
          <w:tcPr>
            <w:tcW w:w="2600" w:type="dxa"/>
            <w:shd w:val="clear" w:color="auto" w:fill="F2F2F2"/>
          </w:tcPr>
          <w:p w14:paraId="38D3BE51" w14:textId="77777777" w:rsidR="00D86AE2" w:rsidRDefault="009876AF">
            <w:r>
              <w:t>24.6× over</w:t>
            </w:r>
          </w:p>
        </w:tc>
        <w:tc>
          <w:tcPr>
            <w:tcW w:w="2000" w:type="dxa"/>
            <w:shd w:val="clear" w:color="auto" w:fill="F2F2F2"/>
          </w:tcPr>
          <w:p w14:paraId="2E38F1F5" w14:textId="77777777" w:rsidR="00D86AE2" w:rsidRDefault="009876AF">
            <w:r>
              <w:t>Severe</w:t>
            </w:r>
          </w:p>
        </w:tc>
      </w:tr>
      <w:tr w:rsidR="00D86AE2" w14:paraId="42ECA019" w14:textId="77777777">
        <w:tblPrEx>
          <w:tblCellMar>
            <w:top w:w="0" w:type="dxa"/>
            <w:bottom w:w="0" w:type="dxa"/>
          </w:tblCellMar>
        </w:tblPrEx>
        <w:tc>
          <w:tcPr>
            <w:tcW w:w="2200" w:type="dxa"/>
            <w:shd w:val="clear" w:color="auto" w:fill="FFFFFF"/>
          </w:tcPr>
          <w:p w14:paraId="7A33C485" w14:textId="77777777" w:rsidR="00D86AE2" w:rsidRDefault="009876AF">
            <w:r>
              <w:t>Beijing</w:t>
            </w:r>
          </w:p>
        </w:tc>
        <w:tc>
          <w:tcPr>
            <w:tcW w:w="2600" w:type="dxa"/>
            <w:shd w:val="clear" w:color="auto" w:fill="FFFFFF"/>
          </w:tcPr>
          <w:p w14:paraId="2F070D17" w14:textId="77777777" w:rsidR="00D86AE2" w:rsidRDefault="009876AF">
            <w:r>
              <w:t>73.9</w:t>
            </w:r>
          </w:p>
        </w:tc>
        <w:tc>
          <w:tcPr>
            <w:tcW w:w="2600" w:type="dxa"/>
            <w:shd w:val="clear" w:color="auto" w:fill="FFFFFF"/>
          </w:tcPr>
          <w:p w14:paraId="3C8DFF0D" w14:textId="77777777" w:rsidR="00D86AE2" w:rsidRDefault="009876AF">
            <w:r>
              <w:t>14.8× over</w:t>
            </w:r>
          </w:p>
        </w:tc>
        <w:tc>
          <w:tcPr>
            <w:tcW w:w="2000" w:type="dxa"/>
            <w:shd w:val="clear" w:color="auto" w:fill="FFFFFF"/>
          </w:tcPr>
          <w:p w14:paraId="2E7E6B71" w14:textId="77777777" w:rsidR="00D86AE2" w:rsidRDefault="009876AF">
            <w:r>
              <w:t>High</w:t>
            </w:r>
          </w:p>
        </w:tc>
      </w:tr>
      <w:tr w:rsidR="00D86AE2" w14:paraId="352BA4D0" w14:textId="77777777">
        <w:tblPrEx>
          <w:tblCellMar>
            <w:top w:w="0" w:type="dxa"/>
            <w:bottom w:w="0" w:type="dxa"/>
          </w:tblCellMar>
        </w:tblPrEx>
        <w:tc>
          <w:tcPr>
            <w:tcW w:w="2200" w:type="dxa"/>
            <w:shd w:val="clear" w:color="auto" w:fill="F2F2F2"/>
          </w:tcPr>
          <w:p w14:paraId="0AC6B4F4" w14:textId="77777777" w:rsidR="00D86AE2" w:rsidRDefault="009876AF">
            <w:r>
              <w:t>Chennai</w:t>
            </w:r>
          </w:p>
        </w:tc>
        <w:tc>
          <w:tcPr>
            <w:tcW w:w="2600" w:type="dxa"/>
            <w:shd w:val="clear" w:color="auto" w:fill="F2F2F2"/>
          </w:tcPr>
          <w:p w14:paraId="0418AE44" w14:textId="77777777" w:rsidR="00D86AE2" w:rsidRDefault="009876AF">
            <w:r>
              <w:t>43.2</w:t>
            </w:r>
          </w:p>
        </w:tc>
        <w:tc>
          <w:tcPr>
            <w:tcW w:w="2600" w:type="dxa"/>
            <w:shd w:val="clear" w:color="auto" w:fill="F2F2F2"/>
          </w:tcPr>
          <w:p w14:paraId="41E20DF7" w14:textId="77777777" w:rsidR="00D86AE2" w:rsidRDefault="009876AF">
            <w:r>
              <w:t>8.6× over</w:t>
            </w:r>
          </w:p>
        </w:tc>
        <w:tc>
          <w:tcPr>
            <w:tcW w:w="2000" w:type="dxa"/>
            <w:shd w:val="clear" w:color="auto" w:fill="F2F2F2"/>
          </w:tcPr>
          <w:p w14:paraId="183E9D77" w14:textId="77777777" w:rsidR="00D86AE2" w:rsidRDefault="009876AF">
            <w:r>
              <w:t>Elevated</w:t>
            </w:r>
          </w:p>
        </w:tc>
      </w:tr>
      <w:tr w:rsidR="00D86AE2" w14:paraId="31956AB7" w14:textId="77777777">
        <w:tblPrEx>
          <w:tblCellMar>
            <w:top w:w="0" w:type="dxa"/>
            <w:bottom w:w="0" w:type="dxa"/>
          </w:tblCellMar>
        </w:tblPrEx>
        <w:tc>
          <w:tcPr>
            <w:tcW w:w="2200" w:type="dxa"/>
            <w:shd w:val="clear" w:color="auto" w:fill="FFFFFF"/>
          </w:tcPr>
          <w:p w14:paraId="665E9D72" w14:textId="77777777" w:rsidR="00D86AE2" w:rsidRDefault="009876AF">
            <w:r>
              <w:t>Los Angeles</w:t>
            </w:r>
          </w:p>
        </w:tc>
        <w:tc>
          <w:tcPr>
            <w:tcW w:w="2600" w:type="dxa"/>
            <w:shd w:val="clear" w:color="auto" w:fill="FFFFFF"/>
          </w:tcPr>
          <w:p w14:paraId="56CB0F1B" w14:textId="77777777" w:rsidR="00D86AE2" w:rsidRDefault="009876AF">
            <w:r>
              <w:t>28.2</w:t>
            </w:r>
          </w:p>
        </w:tc>
        <w:tc>
          <w:tcPr>
            <w:tcW w:w="2600" w:type="dxa"/>
            <w:shd w:val="clear" w:color="auto" w:fill="FFFFFF"/>
          </w:tcPr>
          <w:p w14:paraId="470F5FD7" w14:textId="77777777" w:rsidR="00D86AE2" w:rsidRDefault="009876AF">
            <w:r>
              <w:t>5.6× over</w:t>
            </w:r>
          </w:p>
        </w:tc>
        <w:tc>
          <w:tcPr>
            <w:tcW w:w="2000" w:type="dxa"/>
            <w:shd w:val="clear" w:color="auto" w:fill="FFFFFF"/>
          </w:tcPr>
          <w:p w14:paraId="33DC9D90" w14:textId="77777777" w:rsidR="00D86AE2" w:rsidRDefault="009876AF">
            <w:r>
              <w:t>Elevated</w:t>
            </w:r>
          </w:p>
        </w:tc>
      </w:tr>
      <w:tr w:rsidR="00D86AE2" w14:paraId="796E85B6" w14:textId="77777777">
        <w:tblPrEx>
          <w:tblCellMar>
            <w:top w:w="0" w:type="dxa"/>
            <w:bottom w:w="0" w:type="dxa"/>
          </w:tblCellMar>
        </w:tblPrEx>
        <w:tc>
          <w:tcPr>
            <w:tcW w:w="2200" w:type="dxa"/>
            <w:shd w:val="clear" w:color="auto" w:fill="F2F2F2"/>
          </w:tcPr>
          <w:p w14:paraId="4C2BBA4F" w14:textId="77777777" w:rsidR="00D86AE2" w:rsidRDefault="009876AF">
            <w:r>
              <w:t>São Paulo</w:t>
            </w:r>
          </w:p>
        </w:tc>
        <w:tc>
          <w:tcPr>
            <w:tcW w:w="2600" w:type="dxa"/>
            <w:shd w:val="clear" w:color="auto" w:fill="F2F2F2"/>
          </w:tcPr>
          <w:p w14:paraId="44973BA5" w14:textId="77777777" w:rsidR="00D86AE2" w:rsidRDefault="009876AF">
            <w:r>
              <w:t>22.8</w:t>
            </w:r>
          </w:p>
        </w:tc>
        <w:tc>
          <w:tcPr>
            <w:tcW w:w="2600" w:type="dxa"/>
            <w:shd w:val="clear" w:color="auto" w:fill="F2F2F2"/>
          </w:tcPr>
          <w:p w14:paraId="78D805B3" w14:textId="77777777" w:rsidR="00D86AE2" w:rsidRDefault="009876AF">
            <w:r>
              <w:t>4.6× over</w:t>
            </w:r>
          </w:p>
        </w:tc>
        <w:tc>
          <w:tcPr>
            <w:tcW w:w="2000" w:type="dxa"/>
            <w:shd w:val="clear" w:color="auto" w:fill="F2F2F2"/>
          </w:tcPr>
          <w:p w14:paraId="125F9F4A" w14:textId="77777777" w:rsidR="00D86AE2" w:rsidRDefault="009876AF">
            <w:r>
              <w:t>Moderate</w:t>
            </w:r>
          </w:p>
        </w:tc>
      </w:tr>
      <w:tr w:rsidR="00D86AE2" w14:paraId="104DBAB9" w14:textId="77777777">
        <w:tblPrEx>
          <w:tblCellMar>
            <w:top w:w="0" w:type="dxa"/>
            <w:bottom w:w="0" w:type="dxa"/>
          </w:tblCellMar>
        </w:tblPrEx>
        <w:tc>
          <w:tcPr>
            <w:tcW w:w="2200" w:type="dxa"/>
            <w:shd w:val="clear" w:color="auto" w:fill="FFFFFF"/>
          </w:tcPr>
          <w:p w14:paraId="200CA14A" w14:textId="77777777" w:rsidR="00D86AE2" w:rsidRDefault="009876AF">
            <w:r>
              <w:t>London</w:t>
            </w:r>
          </w:p>
        </w:tc>
        <w:tc>
          <w:tcPr>
            <w:tcW w:w="2600" w:type="dxa"/>
            <w:shd w:val="clear" w:color="auto" w:fill="FFFFFF"/>
          </w:tcPr>
          <w:p w14:paraId="1F944543" w14:textId="77777777" w:rsidR="00D86AE2" w:rsidRDefault="009876AF">
            <w:r>
              <w:t>12.3</w:t>
            </w:r>
          </w:p>
        </w:tc>
        <w:tc>
          <w:tcPr>
            <w:tcW w:w="2600" w:type="dxa"/>
            <w:shd w:val="clear" w:color="auto" w:fill="FFFFFF"/>
          </w:tcPr>
          <w:p w14:paraId="1631E9B8" w14:textId="77777777" w:rsidR="00D86AE2" w:rsidRDefault="009876AF">
            <w:r>
              <w:t>2.5× over</w:t>
            </w:r>
          </w:p>
        </w:tc>
        <w:tc>
          <w:tcPr>
            <w:tcW w:w="2000" w:type="dxa"/>
            <w:shd w:val="clear" w:color="auto" w:fill="FFFFFF"/>
          </w:tcPr>
          <w:p w14:paraId="13DFEB2C" w14:textId="77777777" w:rsidR="00D86AE2" w:rsidRDefault="009876AF">
            <w:r>
              <w:t>Moderate</w:t>
            </w:r>
          </w:p>
        </w:tc>
      </w:tr>
    </w:tbl>
    <w:p w14:paraId="1101067A" w14:textId="77777777" w:rsidR="00D86AE2" w:rsidRDefault="00D86AE2">
      <w:pPr>
        <w:spacing w:after="200"/>
      </w:pPr>
    </w:p>
    <w:p w14:paraId="6F6243CB" w14:textId="77777777" w:rsidR="00D86AE2" w:rsidRDefault="009876AF">
      <w:pPr>
        <w:pStyle w:val="Heading2"/>
        <w:spacing w:before="240" w:after="120"/>
      </w:pPr>
      <w:r>
        <w:t>2.6 Key Findings</w:t>
      </w:r>
    </w:p>
    <w:p w14:paraId="27CFBBE8" w14:textId="77777777" w:rsidR="00D86AE2" w:rsidRDefault="009876AF">
      <w:pPr>
        <w:pStyle w:val="ListParagraph"/>
        <w:numPr>
          <w:ilvl w:val="0"/>
          <w:numId w:val="2"/>
        </w:numPr>
        <w:spacing w:after="80"/>
      </w:pPr>
      <w:r>
        <w:t>Every city in this sample exceeds the WHO annual PM2.5 guideline of 5 µg/m³ — even London, generally regarded as having comparatively good air quality, records levels roughly 2.5× the guideline.</w:t>
      </w:r>
    </w:p>
    <w:p w14:paraId="6768822E" w14:textId="77777777" w:rsidR="00D86AE2" w:rsidRDefault="009876AF">
      <w:pPr>
        <w:pStyle w:val="ListParagraph"/>
        <w:numPr>
          <w:ilvl w:val="0"/>
          <w:numId w:val="2"/>
        </w:numPr>
        <w:spacing w:after="80"/>
      </w:pPr>
      <w:r>
        <w:t>Delhi's average PM2.5 (123 µg/m³) is in the 'severe' category and exceeds the WHO interim target 1 (35 µg/m³) more than three times over.</w:t>
      </w:r>
    </w:p>
    <w:p w14:paraId="2F5702D1" w14:textId="77777777" w:rsidR="00D86AE2" w:rsidRDefault="009876AF">
      <w:pPr>
        <w:pStyle w:val="ListParagraph"/>
        <w:numPr>
          <w:ilvl w:val="0"/>
          <w:numId w:val="2"/>
        </w:numPr>
        <w:spacing w:after="80"/>
      </w:pPr>
      <w:r>
        <w:t>PM2.5 and NO₂ move together almost in lockstep (r = 0.97), pointing to combustion (traffic and industrial) as the dominant shared source in these cities.</w:t>
      </w:r>
    </w:p>
    <w:p w14:paraId="3813D92D" w14:textId="77777777" w:rsidR="00D86AE2" w:rsidRDefault="009876AF">
      <w:pPr>
        <w:pStyle w:val="ListParagraph"/>
        <w:numPr>
          <w:ilvl w:val="0"/>
          <w:numId w:val="2"/>
        </w:numPr>
        <w:spacing w:after="80"/>
      </w:pPr>
      <w:r>
        <w:t>Seasonal amplitude varies widely: Delhi and Beijing show winter peaks roughly 1.5–2× their summer minimums, while London and São Paulo are comparatively stable year-round.</w:t>
      </w:r>
    </w:p>
    <w:p w14:paraId="6C7F7799" w14:textId="77777777" w:rsidR="00D86AE2" w:rsidRDefault="009876AF">
      <w:pPr>
        <w:pStyle w:val="Heading2"/>
        <w:spacing w:before="240" w:after="120"/>
      </w:pPr>
      <w:r>
        <w:t>2.7 Recommendations</w:t>
      </w:r>
    </w:p>
    <w:p w14:paraId="711C2A21" w14:textId="77777777" w:rsidR="00D86AE2" w:rsidRDefault="009876AF">
      <w:pPr>
        <w:pStyle w:val="ListParagraph"/>
        <w:numPr>
          <w:ilvl w:val="0"/>
          <w:numId w:val="2"/>
        </w:numPr>
        <w:spacing w:after="80"/>
      </w:pPr>
      <w:r>
        <w:t>In high-seasonality cities (Delhi, Beijing), implement seasonal traffic and industrial-emission restrictions timed to the November–January peak window.</w:t>
      </w:r>
    </w:p>
    <w:p w14:paraId="60893670" w14:textId="77777777" w:rsidR="00D86AE2" w:rsidRDefault="009876AF">
      <w:pPr>
        <w:pStyle w:val="ListParagraph"/>
        <w:numPr>
          <w:ilvl w:val="0"/>
          <w:numId w:val="2"/>
        </w:numPr>
        <w:spacing w:after="80"/>
      </w:pPr>
      <w:r>
        <w:t>Because PM2.5 and NO₂ are so tightly correlated, prioritize traffic-emission interventions (low-emission zones, public transit incentives) as a lever that should move both pollutants together.</w:t>
      </w:r>
    </w:p>
    <w:p w14:paraId="0AFA49AC" w14:textId="77777777" w:rsidR="00D86AE2" w:rsidRDefault="009876AF">
      <w:pPr>
        <w:pStyle w:val="ListParagraph"/>
        <w:numPr>
          <w:ilvl w:val="0"/>
          <w:numId w:val="2"/>
        </w:numPr>
        <w:spacing w:after="80"/>
      </w:pPr>
      <w:r>
        <w:t>Deploy denser ground-level monitoring in cities currently relying on sparse station networks, to catch localized anomalies that citywide averages can mask.</w:t>
      </w:r>
    </w:p>
    <w:p w14:paraId="3EE8FCF0" w14:textId="77777777" w:rsidR="00D86AE2" w:rsidRDefault="009876AF">
      <w:pPr>
        <w:pStyle w:val="ListParagraph"/>
        <w:numPr>
          <w:ilvl w:val="0"/>
          <w:numId w:val="2"/>
        </w:numPr>
        <w:spacing w:after="80"/>
      </w:pPr>
      <w:r>
        <w:t>Publish a public-facing real-time AQI dashboard with WHO-guideline context, similar to Figure 2.4, to raise public health awareness.</w:t>
      </w:r>
    </w:p>
    <w:p w14:paraId="0B3C5889" w14:textId="77777777" w:rsidR="00D86AE2" w:rsidRDefault="009876AF">
      <w:r>
        <w:br w:type="page"/>
      </w:r>
    </w:p>
    <w:p w14:paraId="251D2EFA" w14:textId="77777777" w:rsidR="00D86AE2" w:rsidRDefault="009876AF">
      <w:pPr>
        <w:pStyle w:val="Heading1"/>
        <w:spacing w:before="300" w:after="150"/>
      </w:pPr>
      <w:r>
        <w:lastRenderedPageBreak/>
        <w:t>3. Climate Change and Global Temperature Analysis</w:t>
      </w:r>
    </w:p>
    <w:p w14:paraId="6B9FF0EE" w14:textId="77777777" w:rsidR="00D86AE2" w:rsidRDefault="009876AF">
      <w:pPr>
        <w:pStyle w:val="Heading2"/>
        <w:spacing w:before="240" w:after="120"/>
      </w:pPr>
      <w:r>
        <w:t>3.1 Overview</w:t>
      </w:r>
    </w:p>
    <w:p w14:paraId="71EAB891" w14:textId="77777777" w:rsidR="00D86AE2" w:rsidRDefault="009876AF">
      <w:pPr>
        <w:spacing w:after="160"/>
        <w:jc w:val="both"/>
      </w:pPr>
      <w:r>
        <w:t>This analysis explores the long-term relationship between global temperature anomalies and atmospheric CO₂ concentration from 1900 to 2023, identifying the pace of warming acceleration and its correlation with greenhouse gas trends.</w:t>
      </w:r>
    </w:p>
    <w:p w14:paraId="54B79846" w14:textId="77777777" w:rsidR="00D86AE2" w:rsidRDefault="009876AF">
      <w:pPr>
        <w:pStyle w:val="Heading2"/>
        <w:spacing w:before="240" w:after="120"/>
      </w:pPr>
      <w:r>
        <w:t>3.2 Long-Term Temperature Trend</w:t>
      </w:r>
    </w:p>
    <w:p w14:paraId="22598A2D" w14:textId="77777777" w:rsidR="00D86AE2" w:rsidRDefault="009876AF">
      <w:pPr>
        <w:spacing w:before="120" w:after="60"/>
        <w:jc w:val="center"/>
      </w:pPr>
      <w:r>
        <w:rPr>
          <w:noProof/>
        </w:rPr>
        <w:drawing>
          <wp:inline distT="0" distB="0" distL="0" distR="0" wp14:anchorId="7F315D2D" wp14:editId="23D09125">
            <wp:extent cx="5524500" cy="3038475"/>
            <wp:effectExtent l="0" t="0" r="0" b="0"/>
            <wp:docPr id="501652042" name="Picture 50165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038475"/>
                    </a:xfrm>
                    <a:prstGeom prst="rect">
                      <a:avLst/>
                    </a:prstGeom>
                  </pic:spPr>
                </pic:pic>
              </a:graphicData>
            </a:graphic>
          </wp:inline>
        </w:drawing>
      </w:r>
    </w:p>
    <w:p w14:paraId="6016A488" w14:textId="77777777" w:rsidR="00D86AE2" w:rsidRDefault="009876AF">
      <w:pPr>
        <w:spacing w:after="240"/>
        <w:jc w:val="center"/>
      </w:pPr>
      <w:r>
        <w:rPr>
          <w:i/>
          <w:iCs/>
          <w:color w:val="555555"/>
        </w:rPr>
        <w:t>Figure 3.1 — Global temperature anomaly relative to the 1951–1980 baseline, with a 5-year smoothed trend line.</w:t>
      </w:r>
    </w:p>
    <w:p w14:paraId="5FB2DA7C" w14:textId="77777777" w:rsidR="00D86AE2" w:rsidRDefault="009876AF">
      <w:pPr>
        <w:spacing w:after="160"/>
        <w:jc w:val="both"/>
      </w:pPr>
      <w:r>
        <w:t>The global temperature anomaly rose from approximately −0.05°C in 1900 to +1.04°C in 2023, with the rate of warming clearly accelerating after 1975. A statistical outlier year (1998, an exceptionally strong El Niño year) shows an unusually large year-over-year jump, consistent with well-documented short-term natural variability layered on top of the long-term trend.</w:t>
      </w:r>
    </w:p>
    <w:p w14:paraId="6B74A228" w14:textId="77777777" w:rsidR="00D86AE2" w:rsidRDefault="009876AF">
      <w:pPr>
        <w:pStyle w:val="Heading2"/>
        <w:spacing w:before="240" w:after="120"/>
      </w:pPr>
      <w:r>
        <w:t>3.3 Greenhouse Gas Trends</w:t>
      </w:r>
    </w:p>
    <w:p w14:paraId="747DD3EF" w14:textId="77777777" w:rsidR="00D86AE2" w:rsidRDefault="009876AF">
      <w:pPr>
        <w:spacing w:before="120" w:after="60"/>
        <w:jc w:val="center"/>
      </w:pPr>
      <w:r>
        <w:rPr>
          <w:noProof/>
        </w:rPr>
        <w:drawing>
          <wp:inline distT="0" distB="0" distL="0" distR="0" wp14:anchorId="135CED6B" wp14:editId="6F0CE574">
            <wp:extent cx="5524500" cy="3038475"/>
            <wp:effectExtent l="0" t="0" r="0" b="0"/>
            <wp:docPr id="1601409930" name="Picture 160140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038475"/>
                    </a:xfrm>
                    <a:prstGeom prst="rect">
                      <a:avLst/>
                    </a:prstGeom>
                  </pic:spPr>
                </pic:pic>
              </a:graphicData>
            </a:graphic>
          </wp:inline>
        </w:drawing>
      </w:r>
    </w:p>
    <w:p w14:paraId="1A387E53" w14:textId="77777777" w:rsidR="00D86AE2" w:rsidRDefault="009876AF">
      <w:pPr>
        <w:spacing w:after="240"/>
        <w:jc w:val="center"/>
      </w:pPr>
      <w:r>
        <w:rPr>
          <w:i/>
          <w:iCs/>
          <w:color w:val="555555"/>
        </w:rPr>
        <w:lastRenderedPageBreak/>
        <w:t>Figure 3.2 — Atmospheric CO₂ concentration, 1900–2023.</w:t>
      </w:r>
    </w:p>
    <w:p w14:paraId="0452EB6E" w14:textId="77777777" w:rsidR="00D86AE2" w:rsidRDefault="009876AF">
      <w:pPr>
        <w:spacing w:after="160"/>
        <w:jc w:val="both"/>
      </w:pPr>
      <w:r>
        <w:t>CO₂ concentration rose from roughly 295 ppm in 1900 to approximately 420 ppm in 2023 — a 42% increase — and has been above the widely-cited 350 ppm threshold since the late 1980s.</w:t>
      </w:r>
    </w:p>
    <w:p w14:paraId="7C1E940E" w14:textId="77777777" w:rsidR="00D86AE2" w:rsidRDefault="009876AF">
      <w:pPr>
        <w:pStyle w:val="Heading2"/>
        <w:spacing w:before="240" w:after="120"/>
      </w:pPr>
      <w:r>
        <w:t>3.4 Temperature–CO₂ Relationship</w:t>
      </w:r>
    </w:p>
    <w:p w14:paraId="3C22C6A9" w14:textId="77777777" w:rsidR="00D86AE2" w:rsidRDefault="009876AF">
      <w:pPr>
        <w:spacing w:before="120" w:after="60"/>
        <w:jc w:val="center"/>
      </w:pPr>
      <w:r>
        <w:rPr>
          <w:noProof/>
        </w:rPr>
        <w:drawing>
          <wp:inline distT="0" distB="0" distL="0" distR="0" wp14:anchorId="5CCB8D33" wp14:editId="07F4B353">
            <wp:extent cx="5524500" cy="3038475"/>
            <wp:effectExtent l="0" t="0" r="0" b="0"/>
            <wp:docPr id="2066048129" name="Picture 206604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038475"/>
                    </a:xfrm>
                    <a:prstGeom prst="rect">
                      <a:avLst/>
                    </a:prstGeom>
                  </pic:spPr>
                </pic:pic>
              </a:graphicData>
            </a:graphic>
          </wp:inline>
        </w:drawing>
      </w:r>
    </w:p>
    <w:p w14:paraId="1D2C18B0" w14:textId="77777777" w:rsidR="00D86AE2" w:rsidRDefault="009876AF">
      <w:pPr>
        <w:spacing w:after="240"/>
        <w:jc w:val="center"/>
      </w:pPr>
      <w:r>
        <w:rPr>
          <w:i/>
          <w:iCs/>
          <w:color w:val="555555"/>
        </w:rPr>
        <w:t>Figure 3.3 — Temperature anomaly and CO₂ concentration plotted together on a dual axis, illustrating their close co-movement (r = 0.95).</w:t>
      </w:r>
    </w:p>
    <w:p w14:paraId="3FBBE2DE" w14:textId="77777777" w:rsidR="00D86AE2" w:rsidRDefault="009876AF">
      <w:pPr>
        <w:pStyle w:val="Heading2"/>
        <w:spacing w:before="240" w:after="120"/>
      </w:pPr>
      <w:r>
        <w:t>3.5 Decadal Patterns</w:t>
      </w:r>
    </w:p>
    <w:p w14:paraId="25FB2AB4" w14:textId="77777777" w:rsidR="00D86AE2" w:rsidRDefault="009876AF">
      <w:pPr>
        <w:spacing w:before="120" w:after="60"/>
        <w:jc w:val="center"/>
      </w:pPr>
      <w:r>
        <w:rPr>
          <w:noProof/>
        </w:rPr>
        <w:drawing>
          <wp:inline distT="0" distB="0" distL="0" distR="0" wp14:anchorId="519029CE" wp14:editId="22A09596">
            <wp:extent cx="5524500" cy="3038475"/>
            <wp:effectExtent l="0" t="0" r="0" b="0"/>
            <wp:docPr id="2088204629" name="Picture 208820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038475"/>
                    </a:xfrm>
                    <a:prstGeom prst="rect">
                      <a:avLst/>
                    </a:prstGeom>
                  </pic:spPr>
                </pic:pic>
              </a:graphicData>
            </a:graphic>
          </wp:inline>
        </w:drawing>
      </w:r>
    </w:p>
    <w:p w14:paraId="2FA1FCE1" w14:textId="77777777" w:rsidR="00D86AE2" w:rsidRDefault="009876AF">
      <w:pPr>
        <w:spacing w:after="240"/>
        <w:jc w:val="center"/>
      </w:pPr>
      <w:r>
        <w:rPr>
          <w:i/>
          <w:iCs/>
          <w:color w:val="555555"/>
        </w:rPr>
        <w:t>Figure 3.4 — Average temperature anomaly by decade, showing consistent acceleration since the 1970s.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400"/>
      </w:tblGrid>
      <w:tr w:rsidR="00D86AE2" w14:paraId="7D48002E" w14:textId="77777777">
        <w:tblPrEx>
          <w:tblCellMar>
            <w:top w:w="0" w:type="dxa"/>
            <w:bottom w:w="0" w:type="dxa"/>
          </w:tblCellMar>
        </w:tblPrEx>
        <w:trPr>
          <w:tblHeader/>
        </w:trPr>
        <w:tc>
          <w:tcPr>
            <w:tcW w:w="2000" w:type="dxa"/>
            <w:shd w:val="clear" w:color="auto" w:fill="2F5496"/>
          </w:tcPr>
          <w:p w14:paraId="746F1422" w14:textId="77777777" w:rsidR="00D86AE2" w:rsidRDefault="009876AF">
            <w:r>
              <w:rPr>
                <w:b/>
                <w:bCs/>
                <w:color w:val="FFFFFF"/>
              </w:rPr>
              <w:t>Decade</w:t>
            </w:r>
          </w:p>
        </w:tc>
        <w:tc>
          <w:tcPr>
            <w:tcW w:w="2400" w:type="dxa"/>
            <w:shd w:val="clear" w:color="auto" w:fill="2F5496"/>
          </w:tcPr>
          <w:p w14:paraId="646458BB" w14:textId="77777777" w:rsidR="00D86AE2" w:rsidRDefault="009876AF">
            <w:proofErr w:type="spellStart"/>
            <w:r>
              <w:rPr>
                <w:b/>
                <w:bCs/>
                <w:color w:val="FFFFFF"/>
              </w:rPr>
              <w:t>Avg</w:t>
            </w:r>
            <w:proofErr w:type="spellEnd"/>
            <w:r>
              <w:rPr>
                <w:b/>
                <w:bCs/>
                <w:color w:val="FFFFFF"/>
              </w:rPr>
              <w:t xml:space="preserve"> Temp Anomaly (°C)</w:t>
            </w:r>
          </w:p>
        </w:tc>
        <w:tc>
          <w:tcPr>
            <w:tcW w:w="2000" w:type="dxa"/>
            <w:shd w:val="clear" w:color="auto" w:fill="2F5496"/>
          </w:tcPr>
          <w:p w14:paraId="78ACEBDA" w14:textId="77777777" w:rsidR="00D86AE2" w:rsidRDefault="009876AF">
            <w:r>
              <w:rPr>
                <w:b/>
                <w:bCs/>
                <w:color w:val="FFFFFF"/>
              </w:rPr>
              <w:t>Decade</w:t>
            </w:r>
          </w:p>
        </w:tc>
        <w:tc>
          <w:tcPr>
            <w:tcW w:w="2400" w:type="dxa"/>
            <w:shd w:val="clear" w:color="auto" w:fill="2F5496"/>
          </w:tcPr>
          <w:p w14:paraId="1CE0F5F2" w14:textId="77777777" w:rsidR="00D86AE2" w:rsidRDefault="009876AF">
            <w:proofErr w:type="spellStart"/>
            <w:r>
              <w:rPr>
                <w:b/>
                <w:bCs/>
                <w:color w:val="FFFFFF"/>
              </w:rPr>
              <w:t>Avg</w:t>
            </w:r>
            <w:proofErr w:type="spellEnd"/>
            <w:r>
              <w:rPr>
                <w:b/>
                <w:bCs/>
                <w:color w:val="FFFFFF"/>
              </w:rPr>
              <w:t xml:space="preserve"> Temp Anomaly (°C)</w:t>
            </w:r>
          </w:p>
        </w:tc>
      </w:tr>
      <w:tr w:rsidR="00D86AE2" w14:paraId="5B822842" w14:textId="77777777">
        <w:tblPrEx>
          <w:tblCellMar>
            <w:top w:w="0" w:type="dxa"/>
            <w:bottom w:w="0" w:type="dxa"/>
          </w:tblCellMar>
        </w:tblPrEx>
        <w:tc>
          <w:tcPr>
            <w:tcW w:w="2000" w:type="dxa"/>
            <w:shd w:val="clear" w:color="auto" w:fill="F2F2F2"/>
          </w:tcPr>
          <w:p w14:paraId="4E3BD88D" w14:textId="77777777" w:rsidR="00D86AE2" w:rsidRDefault="009876AF">
            <w:r>
              <w:t>1900s</w:t>
            </w:r>
          </w:p>
        </w:tc>
        <w:tc>
          <w:tcPr>
            <w:tcW w:w="2400" w:type="dxa"/>
            <w:shd w:val="clear" w:color="auto" w:fill="F2F2F2"/>
          </w:tcPr>
          <w:p w14:paraId="68EF6C2B" w14:textId="77777777" w:rsidR="00D86AE2" w:rsidRDefault="009876AF">
            <w:r>
              <w:t>-0.05</w:t>
            </w:r>
          </w:p>
        </w:tc>
        <w:tc>
          <w:tcPr>
            <w:tcW w:w="2000" w:type="dxa"/>
            <w:shd w:val="clear" w:color="auto" w:fill="F2F2F2"/>
          </w:tcPr>
          <w:p w14:paraId="44158A62" w14:textId="77777777" w:rsidR="00D86AE2" w:rsidRDefault="009876AF">
            <w:r>
              <w:t>1970s</w:t>
            </w:r>
          </w:p>
        </w:tc>
        <w:tc>
          <w:tcPr>
            <w:tcW w:w="2400" w:type="dxa"/>
            <w:shd w:val="clear" w:color="auto" w:fill="F2F2F2"/>
          </w:tcPr>
          <w:p w14:paraId="096AA680" w14:textId="77777777" w:rsidR="00D86AE2" w:rsidRDefault="009876AF">
            <w:r>
              <w:t>0.16</w:t>
            </w:r>
          </w:p>
        </w:tc>
      </w:tr>
      <w:tr w:rsidR="00D86AE2" w14:paraId="24E50C17" w14:textId="77777777">
        <w:tblPrEx>
          <w:tblCellMar>
            <w:top w:w="0" w:type="dxa"/>
            <w:bottom w:w="0" w:type="dxa"/>
          </w:tblCellMar>
        </w:tblPrEx>
        <w:tc>
          <w:tcPr>
            <w:tcW w:w="2000" w:type="dxa"/>
            <w:shd w:val="clear" w:color="auto" w:fill="FFFFFF"/>
          </w:tcPr>
          <w:p w14:paraId="2B4F48D0" w14:textId="77777777" w:rsidR="00D86AE2" w:rsidRDefault="009876AF">
            <w:r>
              <w:t>1930s</w:t>
            </w:r>
          </w:p>
        </w:tc>
        <w:tc>
          <w:tcPr>
            <w:tcW w:w="2400" w:type="dxa"/>
            <w:shd w:val="clear" w:color="auto" w:fill="FFFFFF"/>
          </w:tcPr>
          <w:p w14:paraId="1BA92F6D" w14:textId="77777777" w:rsidR="00D86AE2" w:rsidRDefault="009876AF">
            <w:r>
              <w:t>0.04</w:t>
            </w:r>
          </w:p>
        </w:tc>
        <w:tc>
          <w:tcPr>
            <w:tcW w:w="2000" w:type="dxa"/>
            <w:shd w:val="clear" w:color="auto" w:fill="FFFFFF"/>
          </w:tcPr>
          <w:p w14:paraId="448D3699" w14:textId="77777777" w:rsidR="00D86AE2" w:rsidRDefault="009876AF">
            <w:r>
              <w:t>1990s</w:t>
            </w:r>
          </w:p>
        </w:tc>
        <w:tc>
          <w:tcPr>
            <w:tcW w:w="2400" w:type="dxa"/>
            <w:shd w:val="clear" w:color="auto" w:fill="FFFFFF"/>
          </w:tcPr>
          <w:p w14:paraId="787468CA" w14:textId="77777777" w:rsidR="00D86AE2" w:rsidRDefault="009876AF">
            <w:r>
              <w:t>0.47</w:t>
            </w:r>
          </w:p>
        </w:tc>
      </w:tr>
      <w:tr w:rsidR="00D86AE2" w14:paraId="6F6DC668" w14:textId="77777777">
        <w:tblPrEx>
          <w:tblCellMar>
            <w:top w:w="0" w:type="dxa"/>
            <w:bottom w:w="0" w:type="dxa"/>
          </w:tblCellMar>
        </w:tblPrEx>
        <w:tc>
          <w:tcPr>
            <w:tcW w:w="2000" w:type="dxa"/>
            <w:shd w:val="clear" w:color="auto" w:fill="F2F2F2"/>
          </w:tcPr>
          <w:p w14:paraId="020D87D4" w14:textId="77777777" w:rsidR="00D86AE2" w:rsidRDefault="009876AF">
            <w:r>
              <w:lastRenderedPageBreak/>
              <w:t>1950s</w:t>
            </w:r>
          </w:p>
        </w:tc>
        <w:tc>
          <w:tcPr>
            <w:tcW w:w="2400" w:type="dxa"/>
            <w:shd w:val="clear" w:color="auto" w:fill="F2F2F2"/>
          </w:tcPr>
          <w:p w14:paraId="5C208FB4" w14:textId="77777777" w:rsidR="00D86AE2" w:rsidRDefault="009876AF">
            <w:r>
              <w:t>0.09</w:t>
            </w:r>
          </w:p>
        </w:tc>
        <w:tc>
          <w:tcPr>
            <w:tcW w:w="2000" w:type="dxa"/>
            <w:shd w:val="clear" w:color="auto" w:fill="F2F2F2"/>
          </w:tcPr>
          <w:p w14:paraId="6835D55E" w14:textId="77777777" w:rsidR="00D86AE2" w:rsidRDefault="009876AF">
            <w:r>
              <w:t>2010s</w:t>
            </w:r>
          </w:p>
        </w:tc>
        <w:tc>
          <w:tcPr>
            <w:tcW w:w="2400" w:type="dxa"/>
            <w:shd w:val="clear" w:color="auto" w:fill="F2F2F2"/>
          </w:tcPr>
          <w:p w14:paraId="744753FB" w14:textId="77777777" w:rsidR="00D86AE2" w:rsidRDefault="009876AF">
            <w:r>
              <w:t>0.80</w:t>
            </w:r>
          </w:p>
        </w:tc>
      </w:tr>
      <w:tr w:rsidR="00D86AE2" w14:paraId="73DA45E3" w14:textId="77777777">
        <w:tblPrEx>
          <w:tblCellMar>
            <w:top w:w="0" w:type="dxa"/>
            <w:bottom w:w="0" w:type="dxa"/>
          </w:tblCellMar>
        </w:tblPrEx>
        <w:tc>
          <w:tcPr>
            <w:tcW w:w="2000" w:type="dxa"/>
            <w:shd w:val="clear" w:color="auto" w:fill="FFFFFF"/>
          </w:tcPr>
          <w:p w14:paraId="6161784B" w14:textId="77777777" w:rsidR="00D86AE2" w:rsidRDefault="009876AF">
            <w:r>
              <w:t>1960s</w:t>
            </w:r>
          </w:p>
        </w:tc>
        <w:tc>
          <w:tcPr>
            <w:tcW w:w="2400" w:type="dxa"/>
            <w:shd w:val="clear" w:color="auto" w:fill="FFFFFF"/>
          </w:tcPr>
          <w:p w14:paraId="7350C077" w14:textId="77777777" w:rsidR="00D86AE2" w:rsidRDefault="009876AF">
            <w:r>
              <w:t>0.10</w:t>
            </w:r>
          </w:p>
        </w:tc>
        <w:tc>
          <w:tcPr>
            <w:tcW w:w="2000" w:type="dxa"/>
            <w:shd w:val="clear" w:color="auto" w:fill="FFFFFF"/>
          </w:tcPr>
          <w:p w14:paraId="7BF492A8" w14:textId="77777777" w:rsidR="00D86AE2" w:rsidRDefault="009876AF">
            <w:r>
              <w:t>2020s</w:t>
            </w:r>
          </w:p>
        </w:tc>
        <w:tc>
          <w:tcPr>
            <w:tcW w:w="2400" w:type="dxa"/>
            <w:shd w:val="clear" w:color="auto" w:fill="FFFFFF"/>
          </w:tcPr>
          <w:p w14:paraId="70AB39EE" w14:textId="77777777" w:rsidR="00D86AE2" w:rsidRDefault="009876AF">
            <w:r>
              <w:t>0.94</w:t>
            </w:r>
          </w:p>
        </w:tc>
      </w:tr>
    </w:tbl>
    <w:p w14:paraId="17B7FAFF" w14:textId="77777777" w:rsidR="00D86AE2" w:rsidRDefault="00D86AE2">
      <w:pPr>
        <w:spacing w:after="200"/>
      </w:pPr>
    </w:p>
    <w:p w14:paraId="0824C0E9" w14:textId="77777777" w:rsidR="00D86AE2" w:rsidRDefault="009876AF">
      <w:pPr>
        <w:pStyle w:val="Heading2"/>
        <w:spacing w:before="240" w:after="120"/>
      </w:pPr>
      <w:r>
        <w:t>3.6 Key Findings</w:t>
      </w:r>
    </w:p>
    <w:p w14:paraId="05096DEF" w14:textId="77777777" w:rsidR="00D86AE2" w:rsidRDefault="009876AF">
      <w:pPr>
        <w:pStyle w:val="ListParagraph"/>
        <w:numPr>
          <w:ilvl w:val="0"/>
          <w:numId w:val="2"/>
        </w:numPr>
        <w:spacing w:after="80"/>
      </w:pPr>
      <w:r>
        <w:t>Global temperature anomaly and CO₂ concentration are very strongly correlated (r = 0.95) across the full 1900–2023 record.</w:t>
      </w:r>
    </w:p>
    <w:p w14:paraId="55CB21A5" w14:textId="77777777" w:rsidR="00D86AE2" w:rsidRDefault="009876AF">
      <w:pPr>
        <w:pStyle w:val="ListParagraph"/>
        <w:numPr>
          <w:ilvl w:val="0"/>
          <w:numId w:val="2"/>
        </w:numPr>
        <w:spacing w:after="80"/>
      </w:pPr>
      <w:r>
        <w:t>Warming has clearly accelerated: the average anomaly increased by only ~0.15°C between the 1900s and 1970s (70 years), but by ~0.78°C between the 1970s and 2020s (50 years).</w:t>
      </w:r>
    </w:p>
    <w:p w14:paraId="6CD69D24" w14:textId="77777777" w:rsidR="00D86AE2" w:rsidRDefault="009876AF">
      <w:pPr>
        <w:pStyle w:val="ListParagraph"/>
        <w:numPr>
          <w:ilvl w:val="0"/>
          <w:numId w:val="2"/>
        </w:numPr>
        <w:spacing w:after="80"/>
      </w:pPr>
      <w:r>
        <w:t xml:space="preserve">The </w:t>
      </w:r>
      <w:proofErr w:type="gramStart"/>
      <w:r>
        <w:t>2020s decade</w:t>
      </w:r>
      <w:proofErr w:type="gramEnd"/>
      <w:r>
        <w:t xml:space="preserve"> average (+0.94°C) is now approaching the 1.0°C mark relative to the pre-1975 baseline period, with individual years already exceeding +1.0°C.</w:t>
      </w:r>
    </w:p>
    <w:p w14:paraId="005764FE" w14:textId="77777777" w:rsidR="00D86AE2" w:rsidRDefault="009876AF">
      <w:pPr>
        <w:pStyle w:val="ListParagraph"/>
        <w:numPr>
          <w:ilvl w:val="0"/>
          <w:numId w:val="2"/>
        </w:numPr>
        <w:spacing w:after="80"/>
      </w:pPr>
      <w:r>
        <w:t>1998 stands out as a statistical outlier year, illustrating that natural variability (e.g., El Niño/La Niña cycles) can temporarily amplify or mask the underlying warming trend in any single year — a reason to rely on multi-year smoothing rather than single-year readings.</w:t>
      </w:r>
    </w:p>
    <w:p w14:paraId="33CA21F1" w14:textId="77777777" w:rsidR="00D86AE2" w:rsidRDefault="009876AF">
      <w:pPr>
        <w:pStyle w:val="Heading2"/>
        <w:spacing w:before="240" w:after="120"/>
      </w:pPr>
      <w:r>
        <w:t>3.7 Recommendations</w:t>
      </w:r>
    </w:p>
    <w:p w14:paraId="6C84E0D5" w14:textId="77777777" w:rsidR="00D86AE2" w:rsidRDefault="009876AF">
      <w:pPr>
        <w:pStyle w:val="ListParagraph"/>
        <w:numPr>
          <w:ilvl w:val="0"/>
          <w:numId w:val="2"/>
        </w:numPr>
        <w:spacing w:after="80"/>
      </w:pPr>
      <w:r>
        <w:t>Communicate climate trends using decadal and multi-year smoothed averages (as in Figures 3.1 and 3.4) rather than single-year figures, to avoid misleading conclusions driven by natural variability like El Niño.</w:t>
      </w:r>
    </w:p>
    <w:p w14:paraId="40B24224" w14:textId="77777777" w:rsidR="00D86AE2" w:rsidRDefault="009876AF">
      <w:pPr>
        <w:pStyle w:val="ListParagraph"/>
        <w:numPr>
          <w:ilvl w:val="0"/>
          <w:numId w:val="2"/>
        </w:numPr>
        <w:spacing w:after="80"/>
      </w:pPr>
      <w:r>
        <w:t>Given the tight coupling between CO₂ and temperature, prioritize emissions-reduction policy evaluation using CO₂ concentration trajectory as a leading indicator of future warming.</w:t>
      </w:r>
    </w:p>
    <w:p w14:paraId="11A0352D" w14:textId="77777777" w:rsidR="00D86AE2" w:rsidRDefault="009876AF">
      <w:pPr>
        <w:pStyle w:val="ListParagraph"/>
        <w:numPr>
          <w:ilvl w:val="0"/>
          <w:numId w:val="2"/>
        </w:numPr>
        <w:spacing w:after="80"/>
      </w:pPr>
      <w:r>
        <w:t>Track the rate of decadal change (not just the absolute anomaly) as an early-warning metric, since the acceleration itself is the most policy-relevant signal in this data.</w:t>
      </w:r>
    </w:p>
    <w:p w14:paraId="4A24A782" w14:textId="77777777" w:rsidR="00D86AE2" w:rsidRDefault="009876AF">
      <w:pPr>
        <w:pStyle w:val="ListParagraph"/>
        <w:numPr>
          <w:ilvl w:val="0"/>
          <w:numId w:val="2"/>
        </w:numPr>
        <w:spacing w:after="80"/>
      </w:pPr>
      <w:r>
        <w:t>Extend this analysis with regional breakdowns and precipitation/extreme-event data to support localized climate adaptation planning.</w:t>
      </w:r>
    </w:p>
    <w:p w14:paraId="7B3B0DD9" w14:textId="77777777" w:rsidR="00D86AE2" w:rsidRDefault="009876AF">
      <w:r>
        <w:br w:type="page"/>
      </w:r>
    </w:p>
    <w:p w14:paraId="238F460E" w14:textId="77777777" w:rsidR="00D86AE2" w:rsidRDefault="009876AF">
      <w:pPr>
        <w:pStyle w:val="Heading1"/>
        <w:spacing w:before="300" w:after="150"/>
      </w:pPr>
      <w:r>
        <w:lastRenderedPageBreak/>
        <w:t>Appendix: Methodology Notes</w:t>
      </w:r>
    </w:p>
    <w:p w14:paraId="4A7F4341" w14:textId="77777777" w:rsidR="00D86AE2" w:rsidRDefault="009876AF">
      <w:pPr>
        <w:spacing w:after="160"/>
        <w:jc w:val="both"/>
      </w:pPr>
      <w:r>
        <w:t>All three analyses follow a consistent pipeline: (1) data acquisition, (2) cleaning and handling of missing values, (3) exploratory analysis including trend and seasonal decomposition, (4) correlation/relationship analysis between key variables, (5) anomaly/outlier detection, and (6) visualization and findings synthesis. Charts were produced with Python (pandas, NumPy, Matplotlib).</w:t>
      </w:r>
    </w:p>
    <w:p w14:paraId="0F43E8FC" w14:textId="77777777" w:rsidR="00D86AE2" w:rsidRDefault="009876AF">
      <w:pPr>
        <w:spacing w:after="160"/>
        <w:jc w:val="both"/>
      </w:pPr>
      <w:r>
        <w:t>To move from this demonstration to a submission-ready report: replace the generated datasets with live pulls from Our World in Data (COVID-19), the World Air Quality Index Project or a national open-data portal (air quality), and NASA GISTEMP or NOAA's climate data records (climate), then rerun the identical cleaning, analysis, and charting code against the real data.</w:t>
      </w:r>
    </w:p>
    <w:sectPr w:rsidR="00D86AE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50757"/>
    <w:multiLevelType w:val="hybridMultilevel"/>
    <w:tmpl w:val="40EC1994"/>
    <w:lvl w:ilvl="0" w:tplc="C772DA66">
      <w:start w:val="1"/>
      <w:numFmt w:val="bullet"/>
      <w:lvlText w:val="●"/>
      <w:lvlJc w:val="left"/>
      <w:pPr>
        <w:ind w:left="720" w:hanging="360"/>
      </w:pPr>
    </w:lvl>
    <w:lvl w:ilvl="1" w:tplc="2FBA42EE">
      <w:start w:val="1"/>
      <w:numFmt w:val="bullet"/>
      <w:lvlText w:val="○"/>
      <w:lvlJc w:val="left"/>
      <w:pPr>
        <w:ind w:left="1440" w:hanging="360"/>
      </w:pPr>
    </w:lvl>
    <w:lvl w:ilvl="2" w:tplc="04881310">
      <w:start w:val="1"/>
      <w:numFmt w:val="bullet"/>
      <w:lvlText w:val="■"/>
      <w:lvlJc w:val="left"/>
      <w:pPr>
        <w:ind w:left="2160" w:hanging="360"/>
      </w:pPr>
    </w:lvl>
    <w:lvl w:ilvl="3" w:tplc="AAE21D42">
      <w:start w:val="1"/>
      <w:numFmt w:val="bullet"/>
      <w:lvlText w:val="●"/>
      <w:lvlJc w:val="left"/>
      <w:pPr>
        <w:ind w:left="2880" w:hanging="360"/>
      </w:pPr>
    </w:lvl>
    <w:lvl w:ilvl="4" w:tplc="DF766224">
      <w:start w:val="1"/>
      <w:numFmt w:val="bullet"/>
      <w:lvlText w:val="○"/>
      <w:lvlJc w:val="left"/>
      <w:pPr>
        <w:ind w:left="3600" w:hanging="360"/>
      </w:pPr>
    </w:lvl>
    <w:lvl w:ilvl="5" w:tplc="79F89488">
      <w:start w:val="1"/>
      <w:numFmt w:val="bullet"/>
      <w:lvlText w:val="■"/>
      <w:lvlJc w:val="left"/>
      <w:pPr>
        <w:ind w:left="4320" w:hanging="360"/>
      </w:pPr>
    </w:lvl>
    <w:lvl w:ilvl="6" w:tplc="98D24390">
      <w:start w:val="1"/>
      <w:numFmt w:val="bullet"/>
      <w:lvlText w:val="●"/>
      <w:lvlJc w:val="left"/>
      <w:pPr>
        <w:ind w:left="5040" w:hanging="360"/>
      </w:pPr>
    </w:lvl>
    <w:lvl w:ilvl="7" w:tplc="53B6D406">
      <w:start w:val="1"/>
      <w:numFmt w:val="bullet"/>
      <w:lvlText w:val="●"/>
      <w:lvlJc w:val="left"/>
      <w:pPr>
        <w:ind w:left="5760" w:hanging="360"/>
      </w:pPr>
    </w:lvl>
    <w:lvl w:ilvl="8" w:tplc="7160D59A">
      <w:start w:val="1"/>
      <w:numFmt w:val="bullet"/>
      <w:lvlText w:val="●"/>
      <w:lvlJc w:val="left"/>
      <w:pPr>
        <w:ind w:left="6480" w:hanging="360"/>
      </w:pPr>
    </w:lvl>
  </w:abstractNum>
  <w:abstractNum w:abstractNumId="1" w15:restartNumberingAfterBreak="0">
    <w:nsid w:val="7D53383F"/>
    <w:multiLevelType w:val="hybridMultilevel"/>
    <w:tmpl w:val="F42E0BD6"/>
    <w:lvl w:ilvl="0" w:tplc="8132F7E6">
      <w:start w:val="1"/>
      <w:numFmt w:val="bullet"/>
      <w:lvlText w:val="•"/>
      <w:lvlJc w:val="left"/>
      <w:pPr>
        <w:ind w:left="431" w:hanging="259"/>
      </w:pPr>
    </w:lvl>
    <w:lvl w:ilvl="1" w:tplc="CFD6C8CE">
      <w:numFmt w:val="decimal"/>
      <w:lvlText w:val=""/>
      <w:lvlJc w:val="left"/>
    </w:lvl>
    <w:lvl w:ilvl="2" w:tplc="01289AE8">
      <w:numFmt w:val="decimal"/>
      <w:lvlText w:val=""/>
      <w:lvlJc w:val="left"/>
    </w:lvl>
    <w:lvl w:ilvl="3" w:tplc="56DE0278">
      <w:numFmt w:val="decimal"/>
      <w:lvlText w:val=""/>
      <w:lvlJc w:val="left"/>
    </w:lvl>
    <w:lvl w:ilvl="4" w:tplc="29B0BC5A">
      <w:numFmt w:val="decimal"/>
      <w:lvlText w:val=""/>
      <w:lvlJc w:val="left"/>
    </w:lvl>
    <w:lvl w:ilvl="5" w:tplc="7B201D48">
      <w:numFmt w:val="decimal"/>
      <w:lvlText w:val=""/>
      <w:lvlJc w:val="left"/>
    </w:lvl>
    <w:lvl w:ilvl="6" w:tplc="D5827768">
      <w:numFmt w:val="decimal"/>
      <w:lvlText w:val=""/>
      <w:lvlJc w:val="left"/>
    </w:lvl>
    <w:lvl w:ilvl="7" w:tplc="49FCCF44">
      <w:numFmt w:val="decimal"/>
      <w:lvlText w:val=""/>
      <w:lvlJc w:val="left"/>
    </w:lvl>
    <w:lvl w:ilvl="8" w:tplc="F7D095AC">
      <w:numFmt w:val="decimal"/>
      <w:lvlText w:val=""/>
      <w:lvlJc w:val="left"/>
    </w:lvl>
  </w:abstractNum>
  <w:num w:numId="1" w16cid:durableId="1768699192">
    <w:abstractNumId w:val="0"/>
    <w:lvlOverride w:ilvl="0">
      <w:startOverride w:val="1"/>
    </w:lvlOverride>
  </w:num>
  <w:num w:numId="2" w16cid:durableId="2726348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E2"/>
    <w:rsid w:val="001E01B0"/>
    <w:rsid w:val="00367A3C"/>
    <w:rsid w:val="00560D46"/>
    <w:rsid w:val="009876AF"/>
    <w:rsid w:val="00D86AE2"/>
    <w:rsid w:val="00FA2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C815"/>
  <w15:docId w15:val="{655BE07D-15BD-43C7-9BD4-DB9963CF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1853</Words>
  <Characters>10567</Characters>
  <Application>Microsoft Office Word</Application>
  <DocSecurity>0</DocSecurity>
  <Lines>88</Lines>
  <Paragraphs>24</Paragraphs>
  <ScaleCrop>false</ScaleCrop>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edrin.js16@gmail.com</cp:lastModifiedBy>
  <cp:revision>2</cp:revision>
  <dcterms:created xsi:type="dcterms:W3CDTF">2026-08-14T03:00:00Z</dcterms:created>
  <dcterms:modified xsi:type="dcterms:W3CDTF">2026-08-14T03:00:00Z</dcterms:modified>
</cp:coreProperties>
</file>