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="240" w:lineRule="auto"/>
        <w:jc w:val="center"/>
        <w:rPr>
          <w:rFonts w:ascii="Corbel" w:cs="Corbel" w:eastAsia="Corbel" w:hAnsi="Corbel"/>
          <w:color w:val="000000"/>
        </w:rPr>
      </w:pPr>
      <w:bookmarkStart w:colFirst="0" w:colLast="0" w:name="_heading=h.16x0tdhrjn2i" w:id="0"/>
      <w:bookmarkEnd w:id="0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QLC‑3: Logging Mood Selections (TDD with Mocks)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orbel" w:cs="Corbel" w:eastAsia="Corbel" w:hAnsi="Corbel"/>
          <w:b w:val="1"/>
          <w:sz w:val="26"/>
          <w:szCs w:val="26"/>
        </w:rPr>
      </w:pPr>
      <w:r w:rsidDel="00000000" w:rsidR="00000000" w:rsidRPr="00000000">
        <w:rPr>
          <w:rFonts w:ascii="Corbel" w:cs="Corbel" w:eastAsia="Corbel" w:hAnsi="Corbel"/>
          <w:b w:val="1"/>
          <w:sz w:val="26"/>
          <w:szCs w:val="26"/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Your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must now record every mood the user selects. Rather than writing output directly, it should delegate logging to a separate component.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Write the Test(RED)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Before we can verify that our analytics manager actually calls out to a logger, we need to give our test fixture a mock logger to observe. In your existing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MoodAnalyticsManagerTest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you already have a mocked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 We’ll add a second mock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MoodLogger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and then update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@Before setUp()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pass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both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mocks into the manager’s constructor.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114925" cy="2124075"/>
            <wp:effectExtent b="0" l="0" r="0" t="0"/>
            <wp:docPr id="187462758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With our new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MoodLogger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dependency in place, every instance of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must now be constructed with both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MoodLogger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our test class, we already have a mocked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(annotated with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@Mock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). We’ll do the same for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MoodLogger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so that Mockito can create a fake logger for us to verify against. Then, in the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@Before setUp()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method—which runs before each individual test—we pull our two mocks together and hand them to the manager’s constructor.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change ensures that each test starts with a fresh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MoodAnalyticsManager(selector, logger)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that we can observe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exactly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which moods it tells the logger to record. From here, we’re ready to write our first failing test (the “Red” step): asserting that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no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logging happens until we implement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processMoods()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57825" cy="1438275"/>
            <wp:effectExtent b="0" l="0" r="0" t="0"/>
            <wp:docPr id="18746275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our key test,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shouldDelegateToSelectMoodAndLogEachUniqueMood()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we not only want to confirm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that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selectMood(...)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logMood(...)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are invoked for each distinct mood, but also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when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they happen relative to one another. By using Mockito‑Kotlin’s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inOrder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we can assert the exact interleaving of calls across two mocks: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</w:rPr>
        <w:drawing>
          <wp:inline distB="114300" distT="114300" distL="114300" distR="114300">
            <wp:extent cx="5486400" cy="3136900"/>
            <wp:effectExtent b="0" l="0" r="0" t="0"/>
            <wp:docPr id="187462758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Why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inOrder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verify(...)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would only confirm that each method was called at least once, but wouldn’t guarantee the correct sequencing.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inOrder(selector, logger)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lets us step through each expected call in turn, across both mocks.</w:t>
        <w:br w:type="textWrapping"/>
      </w:r>
    </w:p>
    <w:p w:rsidR="00000000" w:rsidDel="00000000" w:rsidP="00000000" w:rsidRDefault="00000000" w:rsidRPr="00000000" w14:paraId="00000011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Verification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expect that for each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distinct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mood, the manager first delegates to the selector and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then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immediately logs that mood.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By alternating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order.verify(selector)...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order.verify(logger)...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we lock in that per‑mood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Implement the code (GREEN)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Now that our failing test is in place, it’s time to add just enough production code to make it pass. We’ll introduce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MoodLogger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interface, update our manager to accept it, and then implement the loop that both selects and logs each mood.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Define the logging interface: (Create a new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MoodLogger.kt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package):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2867025" cy="914400"/>
            <wp:effectExtent b="0" l="0" r="0" t="0"/>
            <wp:docPr id="18746275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Update the manager’s constructor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MoodAnalyticsManager.kt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add a second parameter for your new interface: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4038600" cy="904875"/>
            <wp:effectExtent b="0" l="0" r="0" t="0"/>
            <wp:docPr id="187462758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Implement the minimal loop -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Replace the empty or selector‑only logic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processMoods(...)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with:</w:t>
      </w: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1809750"/>
            <wp:effectExtent b="0" l="0" r="0" t="0"/>
            <wp:docPr id="18746275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15686" l="0" r="0" t="980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rbel" w:cs="Corbel" w:eastAsia="Corbel" w:hAnsi="Corbel"/>
          <w:b w:val="1"/>
          <w:sz w:val="34"/>
          <w:szCs w:val="34"/>
        </w:rPr>
      </w:pPr>
      <w:r w:rsidDel="00000000" w:rsidR="00000000" w:rsidRPr="00000000">
        <w:rPr>
          <w:rFonts w:ascii="Corbel" w:cs="Corbel" w:eastAsia="Corbel" w:hAnsi="Corbel"/>
          <w:b w:val="1"/>
          <w:sz w:val="34"/>
          <w:szCs w:val="34"/>
          <w:rtl w:val="0"/>
        </w:rPr>
        <w:t xml:space="preserve">QLC‑3.1: (Refactoring &amp; Clean Up)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Check out https://github.com/Edrzapi/Android_tdd_tag_selector/tree/QLC-3.1-ANS for the solution.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sz w:val="34"/>
          <w:szCs w:val="34"/>
          <w:rtl w:val="0"/>
        </w:rPr>
        <w:t xml:space="preserve">QLC‑3.2: (Timestamp Logging)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Check out https://github.com/Edrzapi/Android_tdd_tag_selector/tree/QLC-3.1-ANS for the solution.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16TP1Iklma22RVreXKjIDyrNGQ==">CgMxLjAyDmguMTZ4MHRkaHJqbjJpOAByITFiVDR1NDhyQk51WmJjdFFvNFFWcGN5enFxQzJqZEhSQg==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