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592D6" w14:textId="77777777" w:rsidR="00AC1F16" w:rsidRDefault="00AC1F16" w:rsidP="00AC1F16">
      <w:pPr>
        <w:pStyle w:val="Default"/>
      </w:pPr>
    </w:p>
    <w:p w14:paraId="12755A95" w14:textId="56E04D76" w:rsidR="00E51785" w:rsidRDefault="00AC1F16" w:rsidP="00AC1F16">
      <w:pPr>
        <w:pStyle w:val="Default"/>
        <w:spacing w:after="304"/>
      </w:pPr>
      <w:r w:rsidRPr="00AC1F16">
        <w:t>1 Descrição do Sistema</w:t>
      </w:r>
      <w:r>
        <w:t>:</w:t>
      </w:r>
      <w:r w:rsidR="00E51785">
        <w:br/>
      </w:r>
      <w:r w:rsidR="00E51785">
        <w:rPr>
          <w:rFonts w:ascii="Segoe UI" w:hAnsi="Segoe UI" w:cs="Segoe UI"/>
          <w:color w:val="0D0D0D"/>
          <w:shd w:val="clear" w:color="auto" w:fill="FFFFFF"/>
        </w:rPr>
        <w:t>O Sistema de Controle de Imobiliária é uma aplicação que centraliza e automatiza as atividades administrativas de uma imobiliária, permitindo o cadastro detalhado de imóveis e clientes, facilitando buscas avançadas, gerenciando contratos, pagamentos e comissões, e fornecendo relatórios gerenciais. Essa solução visa aumentar a eficiência operacional, melhorar o atendimento aos clientes e proporcionar uma gestão mais organizada e transparente.</w:t>
      </w:r>
    </w:p>
    <w:p w14:paraId="15B611CD" w14:textId="77777777" w:rsidR="00AC1F16" w:rsidRDefault="00AC1F16" w:rsidP="00AC1F16">
      <w:pPr>
        <w:pStyle w:val="Default"/>
        <w:spacing w:after="304"/>
      </w:pPr>
      <w:r w:rsidRPr="00AC1F16">
        <w:rPr>
          <w:rFonts w:ascii="Arial" w:hAnsi="Arial" w:cs="Arial"/>
          <w:color w:val="FFFFFF"/>
        </w:rPr>
        <w:t>•</w:t>
      </w:r>
      <w:r w:rsidRPr="00AC1F16">
        <w:t>2 Atores do Sistema (Diagrama e conceituação dos atores)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45"/>
        <w:gridCol w:w="7944"/>
      </w:tblGrid>
      <w:tr w:rsidR="00954DDB" w14:paraId="2D1A3498" w14:textId="77777777" w:rsidTr="00954DDB">
        <w:trPr>
          <w:trHeight w:val="687"/>
        </w:trPr>
        <w:tc>
          <w:tcPr>
            <w:tcW w:w="2045" w:type="dxa"/>
          </w:tcPr>
          <w:p w14:paraId="6E2D2E06" w14:textId="3563C804" w:rsidR="00954DDB" w:rsidRDefault="00954DDB" w:rsidP="00AC1F16">
            <w:pPr>
              <w:pStyle w:val="Default"/>
              <w:spacing w:after="304"/>
            </w:pPr>
            <w:r>
              <w:rPr>
                <w:rStyle w:val="Forte"/>
                <w:rFonts w:ascii="Segoe UI" w:hAnsi="Segoe UI" w:cs="Segoe UI"/>
                <w:color w:val="0D0D0D"/>
                <w:bdr w:val="single" w:sz="2" w:space="0" w:color="E3E3E3" w:frame="1"/>
                <w:shd w:val="clear" w:color="auto" w:fill="FFFFFF"/>
              </w:rPr>
              <w:t>Cliente:</w:t>
            </w:r>
          </w:p>
        </w:tc>
        <w:tc>
          <w:tcPr>
            <w:tcW w:w="7944" w:type="dxa"/>
          </w:tcPr>
          <w:p w14:paraId="564B982F" w14:textId="1591DBBC" w:rsidR="00954DDB" w:rsidRDefault="00954DDB" w:rsidP="00AC1F16">
            <w:pPr>
              <w:pStyle w:val="Default"/>
              <w:spacing w:after="304"/>
            </w:pPr>
            <w:r>
              <w:rPr>
                <w:rFonts w:ascii="Segoe UI" w:hAnsi="Segoe UI" w:cs="Segoe UI"/>
                <w:color w:val="0D0D0D"/>
                <w:shd w:val="clear" w:color="auto" w:fill="FFFFFF"/>
              </w:rPr>
              <w:t>Este ator engloba os potenciais compradores ou locatários de imóveis que utilizam a plataforma para buscar imóveis disponíveis, agendar visitas, negociar termos de contratos, efetuar pagamentos e acessar documentos relevantes relacionados às transações imobiliárias.</w:t>
            </w:r>
          </w:p>
        </w:tc>
      </w:tr>
      <w:tr w:rsidR="00954DDB" w14:paraId="7D579C3E" w14:textId="77777777" w:rsidTr="00954DDB">
        <w:trPr>
          <w:trHeight w:val="1012"/>
        </w:trPr>
        <w:tc>
          <w:tcPr>
            <w:tcW w:w="2045" w:type="dxa"/>
          </w:tcPr>
          <w:p w14:paraId="616065D0" w14:textId="5FCB0B26" w:rsidR="00954DDB" w:rsidRDefault="00954DDB" w:rsidP="00AC1F16">
            <w:pPr>
              <w:pStyle w:val="Default"/>
              <w:spacing w:after="304"/>
            </w:pPr>
            <w:r>
              <w:rPr>
                <w:rStyle w:val="Forte"/>
                <w:rFonts w:ascii="Segoe UI" w:hAnsi="Segoe UI" w:cs="Segoe UI"/>
                <w:color w:val="0D0D0D"/>
                <w:bdr w:val="single" w:sz="2" w:space="0" w:color="E3E3E3" w:frame="1"/>
                <w:shd w:val="clear" w:color="auto" w:fill="FFFFFF"/>
              </w:rPr>
              <w:t>Usuário Administrativo:</w:t>
            </w:r>
          </w:p>
        </w:tc>
        <w:tc>
          <w:tcPr>
            <w:tcW w:w="7944" w:type="dxa"/>
          </w:tcPr>
          <w:p w14:paraId="4A2EB80D" w14:textId="0AFBBFB7" w:rsidR="00954DDB" w:rsidRDefault="00954DDB" w:rsidP="00AC1F16">
            <w:pPr>
              <w:pStyle w:val="Default"/>
              <w:spacing w:after="304"/>
            </w:pPr>
            <w:r>
              <w:rPr>
                <w:rFonts w:ascii="Segoe UI" w:hAnsi="Segoe UI" w:cs="Segoe UI"/>
                <w:color w:val="0D0D0D"/>
                <w:shd w:val="clear" w:color="auto" w:fill="FFFFFF"/>
              </w:rPr>
              <w:t>Es</w:t>
            </w:r>
            <w:r>
              <w:rPr>
                <w:rFonts w:ascii="Segoe UI" w:hAnsi="Segoe UI" w:cs="Segoe UI"/>
                <w:color w:val="0D0D0D"/>
                <w:shd w:val="clear" w:color="auto" w:fill="FFFFFF"/>
              </w:rPr>
              <w:t>te ator representa os funcionários administrativos da imobiliária, como gerentes, agentes imobiliários, e pessoal de suporte.</w:t>
            </w:r>
            <w:r>
              <w:rPr>
                <w:rFonts w:ascii="Segoe UI" w:hAnsi="Segoe UI" w:cs="Segoe UI"/>
                <w:color w:val="0D0D0D"/>
                <w:shd w:val="clear" w:color="auto" w:fill="FFFFFF"/>
              </w:rPr>
              <w:t xml:space="preserve"> </w:t>
            </w:r>
            <w:r>
              <w:rPr>
                <w:rFonts w:ascii="Segoe UI" w:hAnsi="Segoe UI" w:cs="Segoe UI"/>
                <w:color w:val="0D0D0D"/>
                <w:shd w:val="clear" w:color="auto" w:fill="FFFFFF"/>
              </w:rPr>
              <w:t>Eles têm acesso completo ao sistema, incluindo a capacidade de cadastrar novos imóveis, gerenciar clientes</w:t>
            </w:r>
            <w:r>
              <w:rPr>
                <w:rFonts w:ascii="Segoe UI" w:hAnsi="Segoe UI" w:cs="Segoe UI"/>
                <w:color w:val="0D0D0D"/>
                <w:shd w:val="clear" w:color="auto" w:fill="FFFFFF"/>
              </w:rPr>
              <w:t>.</w:t>
            </w:r>
          </w:p>
        </w:tc>
      </w:tr>
    </w:tbl>
    <w:p w14:paraId="5DA2A62C" w14:textId="77777777" w:rsidR="00F74D2A" w:rsidRPr="00AC1F16" w:rsidRDefault="00F74D2A" w:rsidP="00AC1F16">
      <w:pPr>
        <w:pStyle w:val="Default"/>
        <w:spacing w:after="304"/>
      </w:pPr>
    </w:p>
    <w:p w14:paraId="04D5B13B" w14:textId="77777777" w:rsidR="00AC1F16" w:rsidRPr="00AC1F16" w:rsidRDefault="00AC1F16" w:rsidP="00AC1F16">
      <w:pPr>
        <w:pStyle w:val="Default"/>
        <w:spacing w:after="304"/>
      </w:pPr>
      <w:r w:rsidRPr="00AC1F16">
        <w:rPr>
          <w:rFonts w:ascii="Arial" w:hAnsi="Arial" w:cs="Arial"/>
          <w:color w:val="FFFFFF"/>
        </w:rPr>
        <w:t>•</w:t>
      </w:r>
      <w:r w:rsidRPr="00AC1F16">
        <w:t>3 Lista de Casos de Uso</w:t>
      </w:r>
    </w:p>
    <w:p w14:paraId="14FCCA0D" w14:textId="77777777" w:rsidR="00AC1F16" w:rsidRPr="00AC1F16" w:rsidRDefault="00AC1F16" w:rsidP="00AC1F16">
      <w:pPr>
        <w:pStyle w:val="Default"/>
        <w:spacing w:after="304"/>
      </w:pPr>
      <w:r w:rsidRPr="00AC1F16">
        <w:rPr>
          <w:rFonts w:ascii="Arial" w:hAnsi="Arial" w:cs="Arial"/>
          <w:color w:val="FFFFFF"/>
        </w:rPr>
        <w:t>•</w:t>
      </w:r>
      <w:r w:rsidRPr="00AC1F16">
        <w:t>4 Lista de Saídas (msg)</w:t>
      </w:r>
    </w:p>
    <w:p w14:paraId="40E00F3E" w14:textId="77777777" w:rsidR="00AC1F16" w:rsidRPr="00AC1F16" w:rsidRDefault="00AC1F16" w:rsidP="00AC1F16">
      <w:pPr>
        <w:pStyle w:val="Default"/>
        <w:spacing w:after="304"/>
      </w:pPr>
      <w:r w:rsidRPr="00AC1F16">
        <w:rPr>
          <w:rFonts w:ascii="Arial" w:hAnsi="Arial" w:cs="Arial"/>
          <w:color w:val="FFFFFF"/>
        </w:rPr>
        <w:t>•</w:t>
      </w:r>
      <w:r w:rsidRPr="00AC1F16">
        <w:t>5 Diagrama de Caso de Uso Geral por atores</w:t>
      </w:r>
    </w:p>
    <w:p w14:paraId="6EB5920A" w14:textId="77777777" w:rsidR="00AC1F16" w:rsidRPr="00AC1F16" w:rsidRDefault="00AC1F16" w:rsidP="00AC1F16">
      <w:pPr>
        <w:pStyle w:val="Default"/>
      </w:pPr>
      <w:r w:rsidRPr="00AC1F16">
        <w:rPr>
          <w:rFonts w:ascii="Arial" w:hAnsi="Arial" w:cs="Arial"/>
          <w:color w:val="FFFFFF"/>
        </w:rPr>
        <w:t>•</w:t>
      </w:r>
      <w:r w:rsidRPr="00AC1F16">
        <w:t>6 Diagrama de Caso de Uso Individual (Diagrama e documentação)</w:t>
      </w:r>
    </w:p>
    <w:p w14:paraId="46B085A4" w14:textId="77777777" w:rsidR="001E61E5" w:rsidRPr="00AC1F16" w:rsidRDefault="001E61E5">
      <w:pPr>
        <w:rPr>
          <w:sz w:val="28"/>
          <w:szCs w:val="28"/>
        </w:rPr>
      </w:pPr>
    </w:p>
    <w:sectPr w:rsidR="001E61E5" w:rsidRPr="00AC1F16" w:rsidSect="00FA179B">
      <w:pgSz w:w="19200" w:h="11300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sterama">
    <w:altName w:val="Posterama"/>
    <w:charset w:val="00"/>
    <w:family w:val="swiss"/>
    <w:pitch w:val="variable"/>
    <w:sig w:usb0="A11526FF" w:usb1="D000204B" w:usb2="0001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F16"/>
    <w:rsid w:val="001E61E5"/>
    <w:rsid w:val="009365AC"/>
    <w:rsid w:val="00954DDB"/>
    <w:rsid w:val="00AC1F16"/>
    <w:rsid w:val="00E51785"/>
    <w:rsid w:val="00F74D2A"/>
    <w:rsid w:val="00FA1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5FB76"/>
  <w15:chartTrackingRefBased/>
  <w15:docId w15:val="{2BB4501F-8119-4758-AFF9-BCC9C1A9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C1F16"/>
    <w:pPr>
      <w:autoSpaceDE w:val="0"/>
      <w:autoSpaceDN w:val="0"/>
      <w:adjustRightInd w:val="0"/>
      <w:spacing w:after="0" w:line="240" w:lineRule="auto"/>
    </w:pPr>
    <w:rPr>
      <w:rFonts w:ascii="Posterama" w:hAnsi="Posterama" w:cs="Posterama"/>
      <w:color w:val="000000"/>
    </w:rPr>
  </w:style>
  <w:style w:type="table" w:styleId="Tabelacomgrade">
    <w:name w:val="Table Grid"/>
    <w:basedOn w:val="Tabelanormal"/>
    <w:uiPriority w:val="39"/>
    <w:rsid w:val="00F74D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954D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44740A-878C-41D9-9C2F-C4B646F5B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191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PEREIRA DE CARVALHO</dc:creator>
  <cp:keywords/>
  <dc:description/>
  <cp:lastModifiedBy>EDSON PEREIRA DE CARVALHO</cp:lastModifiedBy>
  <cp:revision>2</cp:revision>
  <dcterms:created xsi:type="dcterms:W3CDTF">2024-04-01T16:17:00Z</dcterms:created>
  <dcterms:modified xsi:type="dcterms:W3CDTF">2024-04-02T13:09:00Z</dcterms:modified>
</cp:coreProperties>
</file>