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pStyle w:val="Heading1"/>
        <w:tabs>
          <w:tab w:val="left" w:leader="none" w:pos="720"/>
        </w:tabs>
        <w:spacing w:after="0" w:before="240" w:line="240" w:lineRule="auto"/>
        <w:ind w:left="0" w:firstLine="0"/>
        <w:jc w:val="center"/>
        <w:rPr>
          <w:rFonts w:ascii="Times" w:cs="Times" w:eastAsia="Times" w:hAnsi="Times"/>
          <w:sz w:val="32"/>
          <w:szCs w:val="32"/>
        </w:rPr>
      </w:pPr>
      <w:bookmarkStart w:colFirst="0" w:colLast="0" w:name="_bkvgd22ofaku" w:id="0"/>
      <w:bookmarkEnd w:id="0"/>
      <w:r>
        <w:rPr>
          <w:rFonts w:ascii="Times" w:cs="Times" w:eastAsia="Times" w:hAnsi="Times"/>
          <w:sz w:val="32"/>
          <w:szCs w:val="32"/>
          <w:rtl w:val="0"/>
        </w:rPr>
        <w:t xml:space="preserve">Simulação da Propagação de Fitopatógenos e Barreira de Contenção em Plantação de Uvas por Autômatos Celulares Probabilísticos em Ambiente Python</w:t>
      </w:r>
    </w:p>
    <w:p w:rsidR="00000000" w:rsidDel="00000000" w:rsidP="00000000" w:rsidRDefault="00000000" w:rsidRPr="00000000" w14:paraId="00000002">
      <w:pPr>
        <w:tabs>
          <w:tab w:val="left" w:leader="none" w:pos="720"/>
        </w:tabs>
        <w:spacing w:before="240" w:line="240" w:lineRule="auto"/>
        <w:jc w:val="center"/>
        <w:rPr>
          <w:rFonts w:ascii="Times" w:cs="Times" w:eastAsia="Times" w:hAnsi="Times"/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Edson José de Amorim Oliveira</w:t>
      </w:r>
      <w:r w:rsidDel="00000000" w:rsidR="00000000" w:rsidRPr="00000000">
        <w:rPr>
          <w:rFonts w:ascii="Times" w:cs="Times" w:eastAsia="Times" w:hAnsi="Times"/>
          <w:b w:val="1"/>
          <w:bCs w:val="1"/>
          <w:vertAlign w:val="superscript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720"/>
        </w:tabs>
        <w:spacing w:before="240" w:line="240" w:lineRule="auto"/>
        <w:jc w:val="cente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vertAlign w:val="superscript"/>
          <w:rtl w:val="0"/>
        </w:rPr>
        <w:t xml:space="preserve">1</w:t>
      </w:r>
      <w:r w:rsidDel="00000000" w:rsidR="00000000" w:rsidRPr="00000000">
        <w:rPr>
          <w:rFonts w:ascii="Times" w:cs="Times" w:eastAsia="Times" w:hAnsi="Times"/>
          <w:rtl w:val="0"/>
        </w:rPr>
        <w:t xml:space="preserve">Departamento</w:t>
      </w:r>
      <w:r w:rsidDel="00000000" w:rsidR="00000000" w:rsidRPr="00000000">
        <w:rPr>
          <w:rFonts w:ascii="Times" w:cs="Times" w:eastAsia="Times" w:hAnsi="Times"/>
          <w:rtl w:val="0"/>
        </w:rPr>
        <w:t xml:space="preserve"> de Estatística e Informática</w:t>
        <w:br w:type="textWrapping"/>
        <w:t xml:space="preserve">Universidade Federal Rural de Pernambuco – Recife, PE – Brasil</w:t>
      </w:r>
    </w:p>
    <w:p w:rsidR="00000000" w:rsidDel="00000000" w:rsidP="00000000" w:rsidRDefault="00000000" w:rsidRPr="00000000" w14:paraId="00000004">
      <w:pPr>
        <w:tabs>
          <w:tab w:val="left" w:leader="none" w:pos="720"/>
        </w:tabs>
        <w:spacing w:after="120" w:before="120" w:line="240" w:lineRule="auto"/>
        <w:jc w:val="center"/>
        <w:rPr>
          <w:rFonts w:ascii="Courier New" w:cs="Courier New" w:eastAsia="Courier New" w:hAnsi="Courier New"/>
          <w:sz w:val="20"/>
          <w:szCs w:val="20"/>
        </w:rPr>
      </w:pPr>
      <w:hyperlink r:id="rId6">
        <w:r w:rsidDel="00000000" w:rsidR="00000000" w:rsidRPr="00000000">
          <w:rPr>
            <w:rFonts w:ascii="Courier New" w:cs="Courier New" w:eastAsia="Courier New" w:hAnsi="Courier New"/>
            <w:color w:val="0000ee"/>
            <w:sz w:val="20"/>
            <w:szCs w:val="20"/>
            <w:u w:val="single"/>
            <w:rtl w:val="0"/>
          </w:rPr>
          <w:t xml:space="preserve">edson.amorim@ufrpe.br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720"/>
        </w:tabs>
        <w:spacing w:after="120" w:before="120" w:line="240" w:lineRule="auto"/>
        <w:jc w:val="center"/>
        <w:rPr>
          <w:rFonts w:ascii="Courier New" w:cs="Courier New" w:eastAsia="Courier New" w:hAnsi="Courier New"/>
          <w:sz w:val="20"/>
          <w:szCs w:val="20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720"/>
        </w:tabs>
        <w:spacing w:after="120" w:before="120" w:line="240" w:lineRule="auto"/>
        <w:ind w:left="454" w:right="454" w:firstLine="0"/>
        <w:rPr>
          <w:i w:val="1"/>
          <w:iCs w:val="1"/>
        </w:rPr>
      </w:pPr>
      <w:r>
        <w:rPr>
          <w:rFonts w:ascii="Times" w:cs="Times" w:eastAsia="Times" w:hAnsi="Times"/>
          <w:b w:val="1"/>
          <w:i w:val="1"/>
        </w:rPr>
        <w:t xml:space="preserve">Resumo. </w:t>
      </w:r>
      <w:r>
        <w:rPr>
          <w:rFonts w:ascii="Times" w:cs="Times" w:eastAsia="Times" w:hAnsi="Times"/>
          <w:i w:val="1"/>
        </w:rPr>
        <w:t xml:space="preserve">O Brasil destaca-se na produção mundial de uvas de mesa, concentrando na região Nordeste quase a totalidade das exportações nacionais, sobretudo no Vale do São Francisco. Todavia, enfermidades fitossanitárias como o declínio da videira associado a fungos fitopatogênicos (Correia et al., 2011) e o cancro bacteriano causado por Xanthomonas campestris pv. viticola (Nascimento; Mariano, 2004) representam severos desafios à viticultura. Este trabalho apresenta o desenvolvimento de um modelo computacional baseado em Autômatos Celulares Probabilísticos (Peixoto, 2005; Rodrigues, 2011), implementado em Python e validado por Desenvolvimento Orientado a Testes (TDD com Pytest), para analisar a transmissão horizontal por contágio a partir de parreiras contaminadas sobre parreiras próximas e sua posterior recuperação atuando como barreira de contenção fitossanitária. A simulação foi executada ao longo de 50 ciclos temporais em uma grade de 50 por 50 parreiras, modelando a vizinhança de Moore e o bloqueio espacial promovido pelo manejo protetor. Os resultados incluem a análise da curva epidemiológica, validação automatizada por testes unitários e relatórios em formato .txt adaptados para acessibilidade via leitores de tela.</w:t>
      </w:r>
    </w:p>
    <w:p w:rsidR="00000000" w:rsidDel="00000000" w:rsidP="00000000" w:rsidRDefault="00000000" w:rsidRPr="00000000" w14:paraId="00000007">
      <w:pPr>
        <w:pStyle w:val="Heading2"/>
        <w:tabs>
          <w:tab w:val="left" w:leader="none" w:pos="720"/>
        </w:tabs>
        <w:spacing w:after="0" w:before="240" w:line="240" w:lineRule="auto"/>
        <w:jc w:val="left"/>
        <w:rPr>
          <w:rFonts w:ascii="Times" w:cs="Times" w:eastAsia="Times" w:hAnsi="Times"/>
          <w:sz w:val="26"/>
          <w:szCs w:val="26"/>
        </w:rPr>
      </w:pPr>
      <w:bookmarkStart w:colFirst="0" w:colLast="0" w:name="_6jxuttxbquom" w:id="1"/>
      <w:bookmarkEnd w:id="1"/>
      <w:r>
        <w:rPr>
          <w:rFonts w:ascii="Times" w:cs="Times" w:eastAsia="Times" w:hAnsi="Times"/>
          <w:sz w:val="26"/>
          <w:szCs w:val="26"/>
          <w:rtl w:val="0"/>
        </w:rPr>
        <w:t xml:space="preserve">1. Introdução</w:t>
      </w:r>
    </w:p>
    <w:p w:rsidR="00000000" w:rsidDel="00000000" w:rsidP="00000000" w:rsidRDefault="00000000" w:rsidRPr="00000000" w14:paraId="00000008">
      <w:pPr>
        <w:tabs>
          <w:tab w:val="left" w:leader="none" w:pos="720"/>
        </w:tabs>
        <w:rPr/>
      </w:pPr>
      <w:r>
        <w:rPr>
          <w:rtl w:val="0"/>
        </w:rPr>
        <w:tab/>
        <w:t xml:space="preserve">A viticultura possui expressiva relevância socioeconômica no Brasil, especialmente nos polos irrigados do Nordeste, como o Vale do São Francisco e o Vale do Siriji em Pernambuco e o Vale do Assú no Rio Grande do Norte, responsáveis por cerca de 99% da exportação brasileira de uvas de mesa (Correia et al., 2011). Entretanto, a intensificação do cultivo de videira (Vitis vinifera) em áreas contínuas favorece a disseminação de fitopatógenos severos, a exemplo do complexo de fungos causadores do declínio da videira, como Lasiodiplodia theobromae (Correia et al., 2011), e do cancro bacteriano causado por Xanthomonas campestris pv. viticola, cuja transmissão dentro do parreiral ocorre rapidamente entre plantas próximas por respingos de chuva, irrigação e tratos culturais (Nascimento; Mariano, 2004).</w:t>
      </w:r>
    </w:p>
    <w:p w:rsidR="00000000" w:rsidDel="00000000" w:rsidP="00000000" w:rsidRDefault="00000000" w:rsidRPr="00000000" w14:paraId="00000009">
      <w:pPr>
        <w:tabs>
          <w:tab w:val="left" w:leader="none" w:pos="720"/>
        </w:tabs>
        <w:rPr/>
      </w:pPr>
      <w:r>
        <w:rPr>
          <w:rtl w:val="0"/>
        </w:rPr>
        <w:tab/>
        <w:t xml:space="preserve">Para investigar o avanço espaço-temporal de epidemias agrícolas em pomares e talhões, os Autômatos Celulares (AC) constituem um arcabouço discreto no tempo, no espaço e no estado altamente eficaz, no qual cada planta é representada por um sítio do reticulado cujas interações locais determinam o padrão macroscópico emergente (Peixoto, 2005). Sob a ótica da transmissão horizontal por contágio em redes bidimensionais, os Autômatos Celulares Probabilísticos permitem incorporar a estocasticidade inerente ao contato infeccioso entre hospedeiros vizinhos (Rodrigues, 2011). O objetivo deste trabalho é formalizar e testar via TDD (Pytest) um modelo de AC em Python capaz de simular a contaminação entre parreiras próximas e demonstrar como a recuperação das plantas tratadas passa a atuar como barreira física e biológica de contenção no vinhedo.</w:t>
      </w:r>
    </w:p>
    <w:p w:rsidR="00000000" w:rsidDel="00000000" w:rsidP="00000000" w:rsidRDefault="00000000" w:rsidRPr="00000000" w14:paraId="0000000A">
      <w:pPr>
        <w:pStyle w:val="Heading2"/>
        <w:tabs>
          <w:tab w:val="left" w:leader="none" w:pos="720"/>
        </w:tabs>
        <w:spacing w:after="0" w:before="240" w:line="240" w:lineRule="auto"/>
        <w:jc w:val="left"/>
        <w:rPr>
          <w:rFonts w:ascii="Times" w:cs="Times" w:eastAsia="Times" w:hAnsi="Times"/>
          <w:sz w:val="26"/>
          <w:szCs w:val="26"/>
        </w:rPr>
      </w:pPr>
      <w:bookmarkStart w:colFirst="0" w:colLast="0" w:name="_2lj7a17tyyt5" w:id="2"/>
      <w:bookmarkEnd w:id="2"/>
      <w:r>
        <w:rPr>
          <w:rFonts w:ascii="Times" w:cs="Times" w:eastAsia="Times" w:hAnsi="Times"/>
          <w:sz w:val="26"/>
          <w:szCs w:val="26"/>
          <w:rtl w:val="0"/>
        </w:rPr>
        <w:t xml:space="preserve">2. Detalhamento do Modelo Computacional</w:t>
      </w:r>
    </w:p>
    <w:p w:rsidR="00000000" w:rsidDel="00000000" w:rsidP="00000000" w:rsidRDefault="00000000" w:rsidRPr="00000000" w14:paraId="0000000B">
      <w:pPr>
        <w:tabs>
          <w:tab w:val="left" w:leader="none" w:pos="720"/>
        </w:tabs>
        <w:rPr/>
      </w:pPr>
      <w:r>
        <w:rPr>
          <w:rtl w:val="0"/>
        </w:rPr>
        <w:tab/>
        <w:t xml:space="preserve">O modelo foi construído em Python utilizando matrizes bidimensionais (NumPy e Matplotlib/Tkinter) e verificado por testes unitários automatizados com Pytest. Seguindo a formulação espacial para talhões agrícolas descrita por Peixoto (2005) e a atualização síncrona em redes quadradas abordada por Rodrigues (2011), o parreiral é definido como um reticulado discreto de dimensões 50 por 50.</w:t>
      </w:r>
    </w:p>
    <w:p w:rsidR="00000000" w:rsidDel="00000000" w:rsidP="00000000" w:rsidRDefault="00000000" w:rsidRPr="00000000" w14:paraId="0000000C">
      <w:pPr>
        <w:tabs>
          <w:tab w:val="left" w:leader="none" w:pos="720"/>
        </w:tabs>
        <w:rPr/>
      </w:pPr>
      <w:r>
        <w:rPr>
          <w:rtl w:val="0"/>
        </w:rPr>
        <w:tab/>
        <w:t xml:space="preserve">A grade abriga um total de N = 2.500 células, onde cada sítio representa uma parreira localizada na posição (i, j) no instante discreto t com estado E(i, j, t) pertencente ao conjunto {S, I, R}, adaptado do modelo epidemiológico espacial SIR: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720"/>
        </w:tabs>
        <w:spacing w:after="0" w:afterAutospacing="0"/>
        <w:ind w:left="720" w:hanging="360"/>
        <w:rPr>
          <w:u w:val="none"/>
        </w:rPr>
      </w:pPr>
      <w:r>
        <w:rPr>
          <w:rtl w:val="0"/>
        </w:rPr>
        <w:t xml:space="preserve">Saudável / Suscetível (S): Parreira sadia, produtiva e vulnerável à transmissão horizontal por contágio a partir de parreiras adjacentes infectadas na vizinhança de Moore (8 vizinhos mais próximos de raio 1, conforme Peixoto, 2005). Representada graficamente pelo caractere . no relatório impresso.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720"/>
        </w:tabs>
        <w:spacing w:after="0" w:afterAutospacing="0" w:before="0" w:beforeAutospacing="0"/>
        <w:ind w:left="720" w:hanging="360"/>
        <w:rPr>
          <w:u w:val="none"/>
        </w:rPr>
      </w:pPr>
      <w:r>
        <w:rPr>
          <w:rtl w:val="0"/>
        </w:rPr>
        <w:t xml:space="preserve">Contaminada / Infectada (I): Parreira colonizada pelo patógeno (como X. campestris pv. viticola ou fungos de declínio) que transmite a infecção horizontalmente para suas vizinhas próximas com probabilidade p durante seu ciclo infeccioso (Rodrigues, 2011). Representada pelo caractere X.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720"/>
        </w:tabs>
        <w:spacing w:before="0" w:beforeAutospacing="0"/>
        <w:ind w:left="720" w:hanging="360"/>
        <w:rPr>
          <w:u w:val="none"/>
        </w:rPr>
      </w:pPr>
      <w:r>
        <w:rPr>
          <w:rtl w:val="0"/>
        </w:rPr>
        <w:t xml:space="preserve">Recuperada / Barreira de Contenção (R): Parreira que, após o período infeccioso (T_rec = 3 ciclos), passou por intervenção fitossanitária recomendada pela literatura — tal como poda drástica de ramos sintomáticos, pincelamento de cortes com pasta cúprica e aplicação de fungicidas cúpricos ou tiocarbamatos que formam uma película protetora bacteriostática no filoplano, associada a barreiras quebra-vento (Nascimento; Mariano, 2004). No autômato, essa parreira recuperada torna-se imune e atua como barreira mecânica e biológica de contenção, bloqueando a passagem do contágio para as parreiras saudáveis adjacentes. Representada pelo caractere O.</w:t>
      </w:r>
    </w:p>
    <w:p w:rsidR="00000000" w:rsidDel="00000000" w:rsidP="00000000" w:rsidRDefault="00000000" w:rsidRPr="00000000" w14:paraId="00000010">
      <w:pPr>
        <w:pStyle w:val="Heading2"/>
        <w:tabs>
          <w:tab w:val="left" w:leader="none" w:pos="720"/>
        </w:tabs>
        <w:spacing w:after="0" w:before="240" w:line="240" w:lineRule="auto"/>
        <w:jc w:val="left"/>
        <w:rPr>
          <w:rFonts w:ascii="Times" w:cs="Times" w:eastAsia="Times" w:hAnsi="Times"/>
          <w:sz w:val="26"/>
          <w:szCs w:val="26"/>
        </w:rPr>
      </w:pPr>
      <w:bookmarkStart w:colFirst="0" w:colLast="0" w:name="_gby2k9m29uxx" w:id="3"/>
      <w:bookmarkEnd w:id="3"/>
      <w:r>
        <w:rPr>
          <w:rFonts w:ascii="Times" w:cs="Times" w:eastAsia="Times" w:hAnsi="Times"/>
          <w:sz w:val="26"/>
          <w:szCs w:val="26"/>
          <w:rtl w:val="0"/>
        </w:rPr>
        <w:t xml:space="preserve">3. Resultados e Discussão</w:t>
      </w:r>
    </w:p>
    <w:p w:rsidR="00000000" w:rsidDel="00000000" w:rsidP="00000000" w:rsidRDefault="00000000" w:rsidRPr="00000000" w14:paraId="00000011">
      <w:pPr>
        <w:tabs>
          <w:tab w:val="left" w:leader="none" w:pos="720"/>
        </w:tabs>
        <w:rPr/>
      </w:pPr>
      <w:r>
        <w:rPr>
          <w:rtl w:val="0"/>
        </w:rPr>
        <w:tab/>
        <w:t xml:space="preserve">Para avaliar a estabilidade do modelo computacional, a consistência das regras locais validadas via TDD (Pytest) e a dinâmica de transmissão horizontal e contenção na grade de 2.500 parreiras, foram executadas três replicações independentes da simulação sob as mesmas condições iniciais (1% de focos primários, p = 0,35 e T_rec = 3), durante um horizonte temporal fixado em T = 50 ciclos.</w:t>
      </w:r>
    </w:p>
    <w:p w:rsidR="00000000" w:rsidDel="00000000" w:rsidP="00000000" w:rsidRDefault="00000000" w:rsidRPr="00000000" w14:paraId="00000012">
      <w:pPr>
        <w:tabs>
          <w:tab w:val="left" w:leader="none" w:pos="720"/>
        </w:tabs>
        <w:rPr/>
      </w:pPr>
      <w:r>
        <w:rPr>
          <w:rtl w:val="0"/>
        </w:rPr>
        <w:tab/>
        <w:t xml:space="preserve">Os dados empíricos obtidos revelaram uma convergência para o estado livre de doença (extinção da fase infectada I = 0, conforme Rodrigues, 2011) com preservação de parreiras sadias:</w:t>
      </w:r>
    </w:p>
    <w:p w:rsidR="00000000" w:rsidDel="00000000" w:rsidP="00000000" w:rsidRDefault="00000000" w:rsidRPr="00000000" w14:paraId="00000013">
      <w:pPr>
        <w:tabs>
          <w:tab w:val="left" w:leader="none" w:pos="720"/>
        </w:tabs>
        <w:rPr/>
      </w:pPr>
      <w:r>
        <w:rPr>
          <w:rtl w:val="0"/>
        </w:rPr>
        <w:t xml:space="preserve">Encerramento do surto: Em todas as simulações, o ciclo epidemiológico atingiu a extinção (ausência de novas parreiras na condição Contaminada) entre os ciclos 21 e 24, comprovando a contenção espacial.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tabs>
          <w:tab w:val="left" w:leader="none" w:pos="720"/>
        </w:tabs>
        <w:spacing w:after="0" w:afterAutospacing="0"/>
        <w:ind w:left="720" w:hanging="360"/>
        <w:rPr>
          <w:u w:val="none"/>
        </w:rPr>
      </w:pPr>
      <w:r>
        <w:rPr>
          <w:rtl w:val="0"/>
        </w:rPr>
        <w:t xml:space="preserve">Ensaio 1: A propagação encerrou-se no 21º ciclo (341 parreiras saudáveis preservadas e 2.159 recuperadas em barreira).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tabs>
          <w:tab w:val="left" w:leader="none" w:pos="720"/>
        </w:tabs>
        <w:spacing w:after="0" w:afterAutospacing="0" w:before="0" w:beforeAutospacing="0"/>
        <w:ind w:left="720" w:hanging="360"/>
        <w:rPr>
          <w:u w:val="none"/>
        </w:rPr>
      </w:pPr>
      <w:r>
        <w:rPr>
          <w:rtl w:val="0"/>
        </w:rPr>
        <w:t xml:space="preserve">Ensaio 2: A propagação encerrou-se no 22º ciclo (368 parreiras saudáveis preservadas e 2.132 recuperadas em barreira).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tabs>
          <w:tab w:val="left" w:leader="none" w:pos="720"/>
        </w:tabs>
        <w:spacing w:before="0" w:beforeAutospacing="0"/>
        <w:ind w:left="720" w:hanging="360"/>
        <w:rPr>
          <w:u w:val="none"/>
        </w:rPr>
      </w:pPr>
      <w:r>
        <w:rPr>
          <w:rtl w:val="0"/>
        </w:rPr>
        <w:t xml:space="preserve">Ensaio 3: A propagação encerrou-se no 24º ciclo (388 parreiras saudáveis preservadas e 2.112 recuperadas em barreira).</w:t>
      </w:r>
    </w:p>
    <w:p w:rsidR="00000000" w:rsidDel="00000000" w:rsidP="00000000" w:rsidRDefault="00000000" w:rsidRPr="00000000" w14:paraId="00000017">
      <w:pPr>
        <w:tabs>
          <w:tab w:val="left" w:leader="none" w:pos="720"/>
        </w:tabs>
        <w:jc w:val="center"/>
        <w:rPr>
          <w:b w:val="1"/>
          <w:bCs w:val="1"/>
        </w:rPr>
      </w:pPr>
      <w:r>
        <w:rPr>
          <w:b w:val="1"/>
          <w:bCs w:val="1"/>
          <w:rtl w:val="0"/>
        </w:rPr>
        <w:t xml:space="preserve">Resumo dos Ensaios da Simulação (T = 50 ciclos)</w:t>
      </w:r>
    </w:p>
    <w:tbl>
      <w:tblPr>
        <w:tblStyle w:val="Table1"/>
        <w:tblW w:w="883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46"/>
        <w:gridCol w:w="2946"/>
        <w:gridCol w:w="2946"/>
        <w:tblGridChange w:id="0">
          <w:tblGrid>
            <w:gridCol w:w="2946"/>
            <w:gridCol w:w="2946"/>
            <w:gridCol w:w="294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Ensaio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Ciclo de Extinção da Infecção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Duração do surto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Ensaio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Ciclo 21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21 ciclos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Ensaio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Ciclo 22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22 ciclos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Ensaio 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Ciclo 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24 ciclos</w:t>
            </w:r>
          </w:p>
        </w:tc>
      </w:tr>
    </w:tbl>
    <w:p w:rsidR="00000000" w:rsidDel="00000000" w:rsidP="00000000" w:rsidRDefault="00000000" w:rsidRPr="00000000" w14:paraId="00000024">
      <w:pPr>
        <w:tabs>
          <w:tab w:val="left" w:leader="none" w:pos="720"/>
        </w:tabs>
        <w:rPr/>
      </w:pPr>
      <w:r>
        <w:rPr>
          <w:rtl w:val="0"/>
        </w:rPr>
        <w:tab/>
        <w:t xml:space="preserve">A interrupção da transmissão horizontal — ocorrida antes da metade do horizonte temporal estipulado — evidencia o papel determinante da transição para o estado Recuperada / Barreira de Contenção (R) combinada à topologia de Moore (Peixoto, 2005). Conforme preconizado no manejo integrado da videira por Nascimento e Mariano (2004), a detecção precoce dos focos iniciais seguida pela proteção química cúprica e isolamento cultural impede que o patógeno alcance a totalidade do pomar. No reticulado discreto, as parreiras que transitaram para o estado R formaram cinturões protetores que encapsularam as manchas de infecção (I), preservando entre 341 e 388 parreiras Suscetíveis (S) livres de contaminação.</w:t>
      </w:r>
    </w:p>
    <w:p w:rsidR="00000000" w:rsidDel="00000000" w:rsidP="00000000" w:rsidRDefault="00000000" w:rsidRPr="00000000" w14:paraId="00000025">
      <w:pPr>
        <w:pStyle w:val="Heading2"/>
        <w:tabs>
          <w:tab w:val="left" w:leader="none" w:pos="720"/>
        </w:tabs>
        <w:spacing w:after="0" w:before="240" w:line="240" w:lineRule="auto"/>
        <w:jc w:val="left"/>
        <w:rPr>
          <w:rFonts w:ascii="Times" w:cs="Times" w:eastAsia="Times" w:hAnsi="Times"/>
          <w:sz w:val="26"/>
          <w:szCs w:val="26"/>
        </w:rPr>
      </w:pPr>
      <w:bookmarkStart w:colFirst="0" w:colLast="0" w:name="_qxinv237njgf" w:id="4"/>
      <w:bookmarkEnd w:id="4"/>
      <w:r>
        <w:rPr>
          <w:rFonts w:ascii="Times" w:cs="Times" w:eastAsia="Times" w:hAnsi="Times"/>
          <w:sz w:val="26"/>
          <w:szCs w:val="26"/>
          <w:rtl w:val="0"/>
        </w:rPr>
        <w:t xml:space="preserve">4. Conclusão</w:t>
      </w:r>
    </w:p>
    <w:p w:rsidR="00000000" w:rsidDel="00000000" w:rsidP="00000000" w:rsidRDefault="00000000" w:rsidRPr="00000000" w14:paraId="00000026">
      <w:pPr>
        <w:tabs>
          <w:tab w:val="left" w:leader="none" w:pos="720"/>
        </w:tabs>
        <w:rPr/>
      </w:pPr>
      <w:r>
        <w:rPr>
          <w:rtl w:val="0"/>
        </w:rPr>
        <w:tab/>
        <w:t xml:space="preserve">O modelo desenvolvido em Python e validado por testes automatizados em TDD (Pytest) demonstrou eficácia ao representar a dinâmica espacial de contaminação horizontal em plantações de uvas e a formação de barreiras de contenção por parreiras recuperadas. Em consonância com os estudos fitopatológicos de Correia et al. (2011) e Nascimento e Mariano (2004), bem como com a teoria de Autômatos Celulares aplicada a sistemas agrícolas e epidemiológicos (Peixoto, 2005; Rodrigues, 2011), verificou-se que a rápida recuperação e proteção das plantas ao redor dos focos limita a duração do surto ao intervalo entre 21 e 24 ciclos.</w:t>
      </w:r>
    </w:p>
    <w:p w:rsidR="00000000" w:rsidDel="00000000" w:rsidP="00000000" w:rsidRDefault="00000000" w:rsidRPr="00000000" w14:paraId="00000027">
      <w:pPr>
        <w:tabs>
          <w:tab w:val="left" w:leader="none" w:pos="720"/>
        </w:tabs>
        <w:rPr/>
      </w:pPr>
      <w:r>
        <w:rPr>
          <w:rtl w:val="0"/>
        </w:rPr>
        <w:tab/>
        <w:t xml:space="preserve">Adicionalmente, a geração automatizada de relatórios descritivos e matrizes visuais em formato de texto simples (.txt) assegura a plena acessibilidade do software a leitores de tela, promovendo a inclusão científica. Trabalhos futuros poderão incorporar controladores baseados em lógica fuzzy para modelar a influência da velocidade e direção dos ventos na dispersão não-local do patógeno entre fileiras do parreiral, à semelhança da abordagem proposta por Peixoto (2005).</w:t>
      </w:r>
    </w:p>
    <w:p w:rsidR="00000000" w:rsidDel="00000000" w:rsidP="00000000" w:rsidRDefault="00000000" w:rsidRPr="00000000" w14:paraId="00000028">
      <w:pPr>
        <w:tabs>
          <w:tab w:val="left" w:leader="none" w:pos="720"/>
        </w:tabs>
        <w:spacing w:before="12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tabs>
          <w:tab w:val="left" w:leader="none" w:pos="720"/>
        </w:tabs>
        <w:spacing w:after="0" w:before="240" w:line="240" w:lineRule="auto"/>
        <w:jc w:val="left"/>
        <w:rPr>
          <w:rFonts w:ascii="Times" w:cs="Times" w:eastAsia="Times" w:hAnsi="Times"/>
          <w:sz w:val="26"/>
          <w:szCs w:val="26"/>
        </w:rPr>
      </w:pPr>
      <w:bookmarkStart w:colFirst="0" w:colLast="0" w:name="_qxinv237njgf" w:id="4"/>
      <w:bookmarkEnd w:id="4"/>
      <w:r>
        <w:rPr>
          <w:rFonts w:ascii="Times" w:cs="Times" w:eastAsia="Times" w:hAnsi="Times"/>
          <w:sz w:val="26"/>
          <w:szCs w:val="26"/>
          <w:rtl w:val="0"/>
        </w:rPr>
        <w:t xml:space="preserve">5. Referências</w:t>
      </w:r>
    </w:p>
    <w:p w:rsidR="00000000" w:rsidDel="00000000" w:rsidP="00000000" w:rsidRDefault="00000000" w:rsidRPr="00000000" w14:paraId="00000026">
      <w:pPr>
        <w:tabs>
          <w:tab w:val="left" w:leader="none" w:pos="720"/>
        </w:tabs>
        <w:rPr/>
      </w:pPr>
      <w:r>
        <w:rPr>
          <w:rtl w:val="0"/>
        </w:rPr>
        <w:tab/>
        <w:t xml:space="preserve">CORREIA, K. C.; CÂMARA, M. P. S.; BARBOSA, M. A. G.; SALES JR., R.; AGUSTÍ-BRISACH, C.; GRAMAJE, D.; GARCÍA-JIMÉNEZ, J.; ABAD-CAMPOS, P.; ARMENGOL, J.; MICHEREFF, S. J. Fungos associados ao declínio da videira no Nordeste do Brasil. Tropical Plant Pathology, v. 36, Suplemento, p. 909, 2011.</w:t>
      </w:r>
    </w:p>
    <w:p w:rsidR="00000000" w:rsidDel="00000000" w:rsidP="00000000" w:rsidRDefault="00000000" w:rsidRPr="00000000" w14:paraId="00000026">
      <w:pPr>
        <w:tabs>
          <w:tab w:val="left" w:leader="none" w:pos="720"/>
        </w:tabs>
        <w:rPr/>
      </w:pPr>
      <w:r>
        <w:rPr>
          <w:rtl w:val="0"/>
        </w:rPr>
        <w:tab/>
        <w:t xml:space="preserve">NASCIMENTO, A. R. P.; MARIANO, R. L. R. Cancro bacteriano da videira: etiologia, epidemiologia e medidas de controle. Ciência Rural, Santa Maria, v. 34, n. 1, p. 301-307, jan.-fev. 2004.</w:t>
      </w:r>
    </w:p>
    <w:p w:rsidR="00000000" w:rsidDel="00000000" w:rsidP="00000000" w:rsidRDefault="00000000" w:rsidRPr="00000000" w14:paraId="00000026">
      <w:pPr>
        <w:tabs>
          <w:tab w:val="left" w:leader="none" w:pos="720"/>
        </w:tabs>
        <w:rPr/>
      </w:pPr>
      <w:r>
        <w:rPr>
          <w:rtl w:val="0"/>
        </w:rPr>
        <w:tab/>
        <w:t xml:space="preserve">PEIXOTO, M. S. Sistemas Dinâmicos e Controladores Fuzzy: um Estudo da Dispersão da Morte Súbita dos Citros em São Paulo. 2005. 189 f. Tese (Doutorado em Matemática Aplicada) – Instituto de Matemática, Estatística e Computação Científica, Universidade Estadual de Campinas (UNICAMP), Campinas, 2005.</w:t>
      </w:r>
    </w:p>
    <w:p w:rsidR="00000000" w:rsidDel="00000000" w:rsidP="00000000" w:rsidRDefault="00000000" w:rsidRPr="00000000" w14:paraId="00000026">
      <w:pPr>
        <w:tabs>
          <w:tab w:val="left" w:leader="none" w:pos="720"/>
        </w:tabs>
        <w:rPr/>
      </w:pPr>
      <w:r>
        <w:rPr>
          <w:rtl w:val="0"/>
        </w:rPr>
        <w:tab/>
        <w:t xml:space="preserve">RODRIGUES, L. L. F. Transmissão vertical e horizontal de parasitas usando autômatos celulares probabilísticos. 2011. 68 f. Dissertação (Mestrado em Física) – Centro de Ciências Exatas e da Natureza, Universidade Federal da Paraíba (UFPB), João Pessoa, 2011.</w:t>
      </w:r>
    </w:p>
    <w:sectPr>
      <w:type w:val="continuous"/>
      <w:pgSz w:h="15840" w:w="12240" w:orient="portrait"/>
      <w:pgMar w:bottom="1418" w:top="1985" w:left="1701" w:right="1701" w:header="964" w:footer="964"/>
      <w:pgNumType w:start="10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" w:cs="Times" w:eastAsia="Times" w:hAnsi="Times"/>
        <w:sz w:val="24"/>
        <w:szCs w:val="24"/>
        <w:lang w:val="pt_BR"/>
      </w:rPr>
    </w:rPrDefault>
    <w:pPrDefault>
      <w:pPr>
        <w:tabs>
          <w:tab w:val="left" w:leader="none" w:pos="720"/>
        </w:tabs>
        <w:spacing w:before="12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line="360" w:lineRule="auto"/>
    </w:pPr>
    <w:rPr>
      <w:rFonts w:ascii="Calibri" w:cs="Calibri" w:eastAsia="Calibri" w:hAnsi="Calibri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line="360" w:lineRule="auto"/>
    </w:pPr>
    <w:rPr>
      <w:rFonts w:ascii="Calibri" w:cs="Calibri" w:eastAsia="Calibri" w:hAnsi="Calibri"/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120" w:line="360" w:lineRule="auto"/>
    </w:pPr>
    <w:rPr>
      <w:rFonts w:ascii="Calibri" w:cs="Calibri" w:eastAsia="Calibri" w:hAnsi="Calibri"/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00" w:line="360" w:lineRule="auto"/>
      <w:jc w:val="both"/>
    </w:pPr>
    <w:rPr>
      <w:rFonts w:ascii="Calibri" w:cs="Calibri" w:eastAsia="Calibri" w:hAnsi="Calibri"/>
      <w:b w:val="1"/>
      <w:bCs w:val="1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spacing w:after="120" w:before="400" w:line="360" w:lineRule="auto"/>
      <w:jc w:val="both"/>
    </w:pPr>
    <w:rPr>
      <w:rFonts w:ascii="Calibri" w:cs="Calibri" w:eastAsia="Calibri" w:hAnsi="Calibri"/>
      <w:b w:val="1"/>
      <w:bCs w:val="1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edson.amorim@ufrpe.b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