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i w:val="0"/>
          <w:sz w:val="28"/>
        </w:rPr>
        <w:t>Universidad Nacional de San Cristóbal de Huamanga</w:t>
      </w:r>
    </w:p>
    <w:p>
      <w:pPr>
        <w:spacing w:after="120"/>
        <w:jc w:val="center"/>
      </w:pPr>
      <w:r>
        <w:rPr>
          <w:b/>
          <w:i w:val="0"/>
          <w:sz w:val="26"/>
        </w:rPr>
        <w:t>Facultad de Ingeniería de Minas, Geología y Civil</w:t>
      </w:r>
    </w:p>
    <w:p>
      <w:pPr>
        <w:spacing w:after="120"/>
        <w:jc w:val="center"/>
      </w:pPr>
      <w:r>
        <w:rPr>
          <w:b/>
          <w:i w:val="0"/>
          <w:sz w:val="26"/>
        </w:rPr>
        <w:t>Escuela Profesional de Ingeniería de Sistemas</w:t>
      </w:r>
    </w:p>
    <w:p/>
    <w:p/>
    <w:p/>
    <w:p>
      <w:pPr>
        <w:spacing w:after="120"/>
        <w:jc w:val="center"/>
      </w:pPr>
      <w:r>
        <w:rPr>
          <w:b/>
          <w:i w:val="0"/>
          <w:sz w:val="32"/>
        </w:rPr>
        <w:t>INFORME FINAL DEL PROYECTO</w:t>
      </w:r>
    </w:p>
    <w:p>
      <w:pPr>
        <w:spacing w:after="120"/>
        <w:jc w:val="center"/>
      </w:pPr>
      <w:r>
        <w:rPr>
          <w:b/>
          <w:i w:val="0"/>
          <w:sz w:val="26"/>
        </w:rPr>
        <w:t>CURSO DE COMERCIO ELECTRÓNICO (IS-545)</w:t>
      </w:r>
    </w:p>
    <w:p/>
    <w:p/>
    <w:p>
      <w:pPr>
        <w:spacing w:after="120"/>
        <w:jc w:val="center"/>
      </w:pPr>
      <w:r>
        <w:rPr>
          <w:b/>
          <w:i w:val="0"/>
          <w:sz w:val="40"/>
        </w:rPr>
        <w:t>“TrabajaYa Ayacucho”</w:t>
      </w:r>
    </w:p>
    <w:p>
      <w:pPr>
        <w:spacing w:after="120"/>
        <w:jc w:val="center"/>
      </w:pPr>
      <w:r>
        <w:rPr>
          <w:b w:val="0"/>
          <w:i/>
          <w:sz w:val="24"/>
        </w:rPr>
        <w:t>Plataforma web de intermediación laboral flexible entre estudiantes de la UNSCH y empresas de Huamanga</w:t>
      </w:r>
    </w:p>
    <w:p/>
    <w:p/>
    <w:p/>
    <w:p>
      <w:pPr>
        <w:spacing w:after="160" w:before="80"/>
        <w:jc w:val="center"/>
      </w:pPr>
      <w:r>
        <w:rPr>
          <w:b/>
          <w:i/>
          <w:color w:val="B00020"/>
        </w:rPr>
        <w:t>[AQUÍ VA LA LISTA DE INTEGRANTES DEL EQUIPO CON SUS CORREOS INSTITUCIONALES]</w:t>
      </w:r>
    </w:p>
    <w:p/>
    <w:p/>
    <w:p>
      <w:pPr>
        <w:spacing w:after="120"/>
        <w:jc w:val="center"/>
      </w:pPr>
      <w:r>
        <w:rPr>
          <w:b w:val="0"/>
          <w:i w:val="0"/>
        </w:rPr>
        <w:t>Docente: Dr. Manuel A. Lagos Barzola</w:t>
      </w:r>
    </w:p>
    <w:p>
      <w:pPr>
        <w:spacing w:after="120"/>
        <w:jc w:val="center"/>
      </w:pPr>
      <w:r>
        <w:rPr>
          <w:b w:val="0"/>
          <w:i w:val="0"/>
        </w:rPr>
        <w:t>Semestre académico: 2026-I</w:t>
      </w:r>
    </w:p>
    <w:p>
      <w:pPr>
        <w:spacing w:after="120"/>
        <w:jc w:val="center"/>
      </w:pPr>
      <w:r>
        <w:rPr>
          <w:b w:val="0"/>
          <w:i w:val="0"/>
        </w:rPr>
        <w:t>Ayacucho – Perú</w:t>
      </w:r>
    </w:p>
    <w:p>
      <w:r>
        <w:br w:type="page"/>
      </w:r>
    </w:p>
    <w:p>
      <w:pPr>
        <w:pStyle w:val="Heading1"/>
      </w:pPr>
      <w:r>
        <w:t>1. Título del Proyecto</w:t>
      </w:r>
    </w:p>
    <w:p>
      <w:pPr>
        <w:spacing w:after="120"/>
      </w:pPr>
      <w:r>
        <w:rPr>
          <w:b w:val="0"/>
          <w:i w:val="0"/>
        </w:rPr>
        <w:t>“TrabajaYa Ayacucho” es una plataforma web de comercio electrónico de servicios (marketplace de dos lados) que conecta a estudiantes de la Universidad Nacional de San Cristóbal de Huamanga (UNSCH) que buscan trabajos flexibles y remunerados con empresas y emprendimientos de Ayacucho y Huamanga que necesitan contratar mano de obra confiable de forma rápida y verificada.</w:t>
      </w:r>
    </w:p>
    <w:p>
      <w:pPr>
        <w:spacing w:after="120"/>
      </w:pPr>
      <w:r>
        <w:rPr>
          <w:b w:val="0"/>
          <w:i w:val="0"/>
        </w:rPr>
        <w:t>La identidad comercial del proyecto se resume en el nombre “TrabajaYa”, que comunica inmediatamente su propuesta central: encontrar trabajo de forma ágil (“ya”) sin las barreras de los canales informales tradicionales (volantes, recomendaciones de boca en boca, grupos de WhatsApp dispersos).</w:t>
      </w:r>
    </w:p>
    <w:p>
      <w:pPr>
        <w:pStyle w:val="Heading1"/>
      </w:pPr>
      <w:r>
        <w:t>2. Integrantes del Equipo</w:t>
      </w:r>
    </w:p>
    <w:p>
      <w:pPr>
        <w:spacing w:after="160" w:before="80"/>
      </w:pPr>
      <w:r>
        <w:rPr>
          <w:b/>
          <w:i/>
          <w:color w:val="B00020"/>
        </w:rPr>
        <w:t>[AQUÍ VA LA TABLA CON LOS NOMBRES COMPLETOS Y CORREOS INSTITUCIONALES DE TODOS LOS INTEGRANTES DEL EQUIPO]</w:t>
      </w:r>
    </w:p>
    <w:tbl>
      <w:tblPr>
        <w:tblStyle w:val="LightGrid-Accent1"/>
        <w:tblW w:type="auto" w:w="0"/>
        <w:jc w:val="center"/>
        <w:tblLook w:firstColumn="1" w:firstRow="1" w:lastColumn="0" w:lastRow="0" w:noHBand="0" w:noVBand="1" w:val="04A0"/>
      </w:tblPr>
      <w:tblGrid>
        <w:gridCol w:w="3041"/>
        <w:gridCol w:w="3041"/>
        <w:gridCol w:w="3041"/>
      </w:tblGrid>
      <w:tr>
        <w:tc>
          <w:tcPr>
            <w:tcW w:type="dxa" w:w="850"/>
          </w:tcPr>
          <w:p>
            <w:r/>
            <w:r>
              <w:rPr>
                <w:b/>
              </w:rPr>
              <w:t>N°</w:t>
            </w:r>
          </w:p>
        </w:tc>
        <w:tc>
          <w:tcPr>
            <w:tcW w:type="dxa" w:w="3969"/>
          </w:tcPr>
          <w:p>
            <w:r/>
            <w:r>
              <w:rPr>
                <w:b/>
              </w:rPr>
              <w:t>Nombres y apellidos</w:t>
            </w:r>
          </w:p>
        </w:tc>
        <w:tc>
          <w:tcPr>
            <w:tcW w:type="dxa" w:w="3969"/>
          </w:tcPr>
          <w:p>
            <w:r/>
            <w:r>
              <w:rPr>
                <w:b/>
              </w:rPr>
              <w:t>Correo institucional</w:t>
            </w:r>
          </w:p>
        </w:tc>
      </w:tr>
      <w:tr>
        <w:tc>
          <w:tcPr>
            <w:tcW w:type="dxa" w:w="850"/>
          </w:tcPr>
          <w:p>
            <w:r/>
            <w:r>
              <w:t>1</w:t>
            </w:r>
          </w:p>
        </w:tc>
        <w:tc>
          <w:tcPr>
            <w:tcW w:type="dxa" w:w="3969"/>
          </w:tcPr>
          <w:p>
            <w:r/>
            <w:r/>
          </w:p>
        </w:tc>
        <w:tc>
          <w:tcPr>
            <w:tcW w:type="dxa" w:w="3969"/>
          </w:tcPr>
          <w:p>
            <w:r/>
            <w:r/>
          </w:p>
        </w:tc>
      </w:tr>
      <w:tr>
        <w:tc>
          <w:tcPr>
            <w:tcW w:type="dxa" w:w="850"/>
          </w:tcPr>
          <w:p>
            <w:r/>
            <w:r>
              <w:t>2</w:t>
            </w:r>
          </w:p>
        </w:tc>
        <w:tc>
          <w:tcPr>
            <w:tcW w:type="dxa" w:w="3969"/>
          </w:tcPr>
          <w:p>
            <w:r/>
            <w:r/>
          </w:p>
        </w:tc>
        <w:tc>
          <w:tcPr>
            <w:tcW w:type="dxa" w:w="3969"/>
          </w:tcPr>
          <w:p>
            <w:r/>
            <w:r/>
          </w:p>
        </w:tc>
      </w:tr>
      <w:tr>
        <w:tc>
          <w:tcPr>
            <w:tcW w:type="dxa" w:w="850"/>
          </w:tcPr>
          <w:p>
            <w:r/>
            <w:r>
              <w:t>3</w:t>
            </w:r>
          </w:p>
        </w:tc>
        <w:tc>
          <w:tcPr>
            <w:tcW w:type="dxa" w:w="3969"/>
          </w:tcPr>
          <w:p>
            <w:r/>
            <w:r/>
          </w:p>
        </w:tc>
        <w:tc>
          <w:tcPr>
            <w:tcW w:type="dxa" w:w="3969"/>
          </w:tcPr>
          <w:p>
            <w:r/>
            <w:r/>
          </w:p>
        </w:tc>
      </w:tr>
    </w:tbl>
    <w:p>
      <w:pPr>
        <w:spacing w:after="80"/>
      </w:pPr>
    </w:p>
    <w:p>
      <w:pPr>
        <w:pStyle w:val="Heading1"/>
      </w:pPr>
      <w:r>
        <w:t>3. Resumen Ejecutivo</w:t>
      </w:r>
    </w:p>
    <w:p>
      <w:pPr>
        <w:spacing w:after="120"/>
      </w:pPr>
      <w:r>
        <w:rPr>
          <w:b w:val="0"/>
          <w:i w:val="0"/>
        </w:rPr>
        <w:t>En Ayacucho, un porcentaje importante de los estudiantes de la UNSCH necesita generar ingresos propios mientras estudia, pero no cuenta con un canal confiable y centralizado para encontrar trabajos flexibles compatibles con su horario académico. Del otro lado, las empresas y emprendimientos locales —sobre todo en rubros como gastronomía, comercio y eventos— requieren personal temporal de forma recurrente, pero dependen de métodos informales (recomendaciones, volanteo, grupos de redes sociales) que son lentos y no permiten verificar la identidad ni la condición de estudiante de los candidatos.</w:t>
      </w:r>
    </w:p>
    <w:p>
      <w:pPr>
        <w:spacing w:after="120"/>
      </w:pPr>
      <w:r>
        <w:rPr>
          <w:b w:val="0"/>
          <w:i w:val="0"/>
        </w:rPr>
        <w:t>“TrabajaYa Ayacucho” resuelve este problema mediante una plataforma web que conecta directamente a ambos actores: los estudiantes se registran validando su correo institucional (@unsch.edu.pe), arman un perfil con su disponibilidad y postulan a ofertas reales publicadas por empresas verificadas por un administrador; las empresas publican sus ofertas, gestionan candidatos desde un panel propio y pueden pagar para destacar sus publicaciones y ganar mayor visibilidad.</w:t>
      </w:r>
    </w:p>
    <w:p>
      <w:pPr>
        <w:spacing w:after="120"/>
      </w:pPr>
      <w:r>
        <w:rPr>
          <w:b w:val="0"/>
          <w:i w:val="0"/>
        </w:rPr>
        <w:t>El público objetivo son los estudiantes de la UNSCH en Huamanga que buscan empleo de medio tiempo o por proyectos, y las micro y pequeñas empresas locales que requieren personal temporal confiable. El modelo de negocio combina un acceso gratuito a la publicación y postulación básicas con un modelo de monetización por “destacados” de pago (S/ 5.00 por publicación u perfil destacado), procesados mediante la pasarela MercadoPago.</w:t>
      </w:r>
    </w:p>
    <w:p>
      <w:pPr>
        <w:spacing w:after="120"/>
      </w:pPr>
      <w:r>
        <w:rPr>
          <w:b w:val="0"/>
          <w:i w:val="0"/>
        </w:rPr>
        <w:t>La plataforma está construida como una aplicación web moderna de dos capas desacopladas: un backend en Go (Gin + GORM) sobre PostgreSQL que expone una API REST, y un frontend en Next.js/TypeScript que consume dicha API. La autenticación usa sesiones seguras por cookie httpOnly en vez de tokens almacenados en el navegador, y los pagos se procesan de forma segura mediante el SDK oficial de MercadoPago, con verificación criptográfica de las notificaciones de pago (webhooks).</w:t>
      </w:r>
    </w:p>
    <w:p>
      <w:pPr>
        <w:pStyle w:val="Heading1"/>
      </w:pPr>
      <w:r>
        <w:t>4. Descripción del Problema u Oportunidad</w:t>
      </w:r>
    </w:p>
    <w:p>
      <w:pPr>
        <w:spacing w:after="120"/>
      </w:pPr>
      <w:r>
        <w:rPr>
          <w:b w:val="0"/>
          <w:i w:val="0"/>
        </w:rPr>
        <w:t>Ayacucho es una región con una importante población universitaria concentrada en la UNSCH y con una economía local basada en el comercio, la gastronomía, el turismo y los servicios. Sin embargo, no existe en la región una plataforma digital especializada que conecte la oferta de trabajo flexible de las empresas locales con la demanda de ingresos complementarios de los estudiantes universitarios.</w:t>
      </w:r>
    </w:p>
    <w:p>
      <w:pPr>
        <w:pStyle w:val="Heading2"/>
      </w:pPr>
      <w:r>
        <w:t>4.1. El problema desde la perspectiva del estudiante</w:t>
      </w:r>
    </w:p>
    <w:p>
      <w:pPr>
        <w:pStyle w:val="ListBullet"/>
        <w:spacing w:after="60"/>
      </w:pPr>
      <w:r>
        <w:t>Necesita ingresos propios para cubrir gastos personales y académicos, pero su disponibilidad de tiempo es limitada y variable según el ciclo académico.</w:t>
      </w:r>
    </w:p>
    <w:p>
      <w:pPr>
        <w:pStyle w:val="ListBullet"/>
        <w:spacing w:after="60"/>
      </w:pPr>
      <w:r>
        <w:t>Los canales actuales (grupos de Facebook/WhatsApp, avisos físicos, contactos personales) son dispersos, poco confiables y no filtran ofertas serias de estafas o condiciones abusivas.</w:t>
      </w:r>
    </w:p>
    <w:p>
      <w:pPr>
        <w:pStyle w:val="ListBullet"/>
        <w:spacing w:after="60"/>
      </w:pPr>
      <w:r>
        <w:t>No existe un lugar único donde comparar ofertas, postular formalmente y dar seguimiento al estado de sus postulaciones.</w:t>
      </w:r>
    </w:p>
    <w:p>
      <w:pPr>
        <w:pStyle w:val="Heading2"/>
      </w:pPr>
      <w:r>
        <w:t>4.2. El problema desde la perspectiva de la empresa</w:t>
      </w:r>
    </w:p>
    <w:p>
      <w:pPr>
        <w:pStyle w:val="ListBullet"/>
        <w:spacing w:after="60"/>
      </w:pPr>
      <w:r>
        <w:t>Necesita cubrir puestos temporales o de medio tiempo (ferias, campañas, atención al cliente, apoyo administrativo, eventos) de forma rápida.</w:t>
      </w:r>
    </w:p>
    <w:p>
      <w:pPr>
        <w:pStyle w:val="ListBullet"/>
        <w:spacing w:after="60"/>
      </w:pPr>
      <w:r>
        <w:t>No tiene forma sencilla de verificar que un candidato es efectivamente estudiante universitario ni de centralizar y comparar postulantes.</w:t>
      </w:r>
    </w:p>
    <w:p>
      <w:pPr>
        <w:pStyle w:val="ListBullet"/>
        <w:spacing w:after="60"/>
      </w:pPr>
      <w:r>
        <w:t>Las plataformas de empleo nacionales (Computrabajo, Bumeran, Indeed) están orientadas a empleo formal a tiempo completo, con planes de publicación pensados para grandes empresas, no para las necesidades ni el presupuesto de un negocio local pequeño.</w:t>
      </w:r>
    </w:p>
    <w:p>
      <w:pPr>
        <w:pStyle w:val="Heading2"/>
      </w:pPr>
      <w:r>
        <w:t>4.3. La oportunidad</w:t>
      </w:r>
    </w:p>
    <w:p>
      <w:pPr>
        <w:spacing w:after="120"/>
      </w:pPr>
      <w:r>
        <w:rPr>
          <w:b w:val="0"/>
          <w:i w:val="0"/>
        </w:rPr>
        <w:t>Existe una oportunidad clara para una plataforma hiperlocal y verificada institucionalmente: un “marketplace” de trabajo flexible que use el correo @unsch.edu.pe como mecanismo de confianza para el lado de la oferta de mano de obra, y que sea lo suficientemente económica y simple de usar como para que pequeñas empresas de Huamanga la adopten sin fricción. “TrabajaYa Ayacucho” nace exactamente para cubrir ese vacío.</w:t>
      </w:r>
    </w:p>
    <w:p>
      <w:pPr>
        <w:pStyle w:val="Heading1"/>
      </w:pPr>
      <w:r>
        <w:t>5. Modelo de Negocio</w:t>
      </w:r>
    </w:p>
    <w:p>
      <w:pPr>
        <w:spacing w:after="120"/>
      </w:pPr>
      <w:r>
        <w:rPr>
          <w:b w:val="0"/>
          <w:i w:val="0"/>
        </w:rPr>
        <w:t>A continuación se desarrolla el modelo de negocio de “TrabajaYa Ayacucho” utilizando el Lienzo de Modelo de Negocio (Business Model Canvas) de Osterwalder y Pigneur, revisado en el curso. El lienzo visual completo se adjunta en la sección de Anexos.</w:t>
      </w:r>
    </w:p>
    <w:p>
      <w:pPr>
        <w:pStyle w:val="Heading2"/>
      </w:pPr>
      <w:r>
        <w:t>5.1. Segmentos de mercado</w:t>
      </w:r>
    </w:p>
    <w:p>
      <w:pPr>
        <w:pStyle w:val="ListBullet"/>
        <w:spacing w:after="60"/>
      </w:pPr>
      <w:r>
        <w:t>Estudiantes de la UNSCH (Huamanga) que buscan trabajos de medio tiempo, por proyecto o temporada, compatibles con su horario de clases.</w:t>
      </w:r>
    </w:p>
    <w:p>
      <w:pPr>
        <w:pStyle w:val="ListBullet"/>
        <w:spacing w:after="60"/>
      </w:pPr>
      <w:r>
        <w:t>Empresas, emprendimientos y negocios locales de Ayacucho/Huamanga (gastronomía, comercio, eventos, servicios) que necesitan personal temporal confiable.</w:t>
      </w:r>
    </w:p>
    <w:p>
      <w:pPr>
        <w:pStyle w:val="ListBullet"/>
        <w:spacing w:after="60"/>
      </w:pPr>
      <w:r>
        <w:t>De forma indirecta, la propia UNSCH como institución interesada en fomentar la empleabilidad y el bienestar económico de sus estudiantes.</w:t>
      </w:r>
    </w:p>
    <w:p>
      <w:pPr>
        <w:pStyle w:val="Heading2"/>
      </w:pPr>
      <w:r>
        <w:t>5.2. Propuesta de valor</w:t>
      </w:r>
    </w:p>
    <w:p>
      <w:pPr>
        <w:spacing w:after="120"/>
      </w:pPr>
      <w:r>
        <w:rPr>
          <w:b w:val="0"/>
          <w:i w:val="0"/>
        </w:rPr>
        <w:t>Para el estudiante:</w:t>
      </w:r>
    </w:p>
    <w:p>
      <w:pPr>
        <w:pStyle w:val="ListBullet"/>
        <w:spacing w:after="60"/>
      </w:pPr>
      <w:r>
        <w:t>Acceso centralizado a ofertas laborales reales, filtradas y moderadas.</w:t>
      </w:r>
    </w:p>
    <w:p>
      <w:pPr>
        <w:pStyle w:val="ListBullet"/>
        <w:spacing w:after="60"/>
      </w:pPr>
      <w:r>
        <w:t>Postulación en un solo clic, con seguimiento del estado de cada postulación desde su panel personal.</w:t>
      </w:r>
    </w:p>
    <w:p>
      <w:pPr>
        <w:pStyle w:val="ListBullet"/>
        <w:spacing w:after="60"/>
      </w:pPr>
      <w:r>
        <w:t>Posibilidad de destacar su perfil para aumentar su visibilidad ante las empresas.</w:t>
      </w:r>
    </w:p>
    <w:p>
      <w:pPr>
        <w:spacing w:after="120"/>
      </w:pPr>
      <w:r>
        <w:rPr>
          <w:b w:val="0"/>
          <w:i w:val="0"/>
        </w:rPr>
        <w:t>Para la empresa:</w:t>
      </w:r>
    </w:p>
    <w:p>
      <w:pPr>
        <w:pStyle w:val="ListBullet"/>
        <w:spacing w:after="60"/>
      </w:pPr>
      <w:r>
        <w:t>Acceso a un grupo de candidatos verificados institucionalmente por correo @unsch.edu.pe.</w:t>
      </w:r>
    </w:p>
    <w:p>
      <w:pPr>
        <w:pStyle w:val="ListBullet"/>
        <w:spacing w:after="60"/>
      </w:pPr>
      <w:r>
        <w:t>Publicación y gestión de ofertas simple, sin necesidad de planes corporativos costosos.</w:t>
      </w:r>
    </w:p>
    <w:p>
      <w:pPr>
        <w:pStyle w:val="ListBullet"/>
        <w:spacing w:after="60"/>
      </w:pPr>
      <w:r>
        <w:t>Panel de candidatos por oferta y posibilidad de destacar publicaciones por un costo bajo y accesible (S/ 5.00).</w:t>
      </w:r>
    </w:p>
    <w:p>
      <w:pPr>
        <w:pStyle w:val="Heading2"/>
      </w:pPr>
      <w:r>
        <w:t>5.3. Canales</w:t>
      </w:r>
    </w:p>
    <w:p>
      <w:pPr>
        <w:pStyle w:val="ListBullet"/>
        <w:spacing w:after="60"/>
      </w:pPr>
      <w:r>
        <w:t>Sitio web propio, responsivo, accesible desde computadora y celular.</w:t>
      </w:r>
    </w:p>
    <w:p>
      <w:pPr>
        <w:pStyle w:val="ListBullet"/>
        <w:spacing w:after="60"/>
      </w:pPr>
      <w:r>
        <w:t>Redes sociales (Facebook, Instagram, TikTok) orientadas a la comunidad universitaria.</w:t>
      </w:r>
    </w:p>
    <w:p>
      <w:pPr>
        <w:pStyle w:val="ListBullet"/>
        <w:spacing w:after="60"/>
      </w:pPr>
      <w:r>
        <w:t>Difusión boca a boca entre estudiantes y gremios/asociaciones de empresarios locales.</w:t>
      </w:r>
    </w:p>
    <w:p>
      <w:pPr>
        <w:pStyle w:val="ListBullet"/>
        <w:spacing w:after="60"/>
      </w:pPr>
      <w:r>
        <w:t>Correo institucional como canal de verificación y comunicación con el segmento estudiantil.</w:t>
      </w:r>
    </w:p>
    <w:p>
      <w:pPr>
        <w:pStyle w:val="Heading2"/>
      </w:pPr>
      <w:r>
        <w:t>5.4. Relación con clientes</w:t>
      </w:r>
    </w:p>
    <w:p>
      <w:pPr>
        <w:pStyle w:val="ListBullet"/>
        <w:spacing w:after="60"/>
      </w:pPr>
      <w:r>
        <w:t>Autoservicio: registro, publicación y postulación sin intervención humana en el flujo normal.</w:t>
      </w:r>
    </w:p>
    <w:p>
      <w:pPr>
        <w:pStyle w:val="ListBullet"/>
        <w:spacing w:after="60"/>
      </w:pPr>
      <w:r>
        <w:t>Sistema de notificaciones dentro de la plataforma (nuevas postulaciones, cambios de estado, pagos confirmados).</w:t>
      </w:r>
    </w:p>
    <w:p>
      <w:pPr>
        <w:pStyle w:val="ListBullet"/>
        <w:spacing w:after="60"/>
      </w:pPr>
      <w:r>
        <w:t>Soporte y confianza mediada por un rol de administrador que verifica cuentas de empresa y modera las ofertas publicadas.</w:t>
      </w:r>
    </w:p>
    <w:p>
      <w:pPr>
        <w:pStyle w:val="Heading2"/>
      </w:pPr>
      <w:r>
        <w:t>5.5. Fuentes de ingresos</w:t>
      </w:r>
    </w:p>
    <w:p>
      <w:pPr>
        <w:pStyle w:val="ListBullet"/>
        <w:spacing w:after="60"/>
      </w:pPr>
      <w:r>
        <w:t>Pago por “Destacar oferta” (empresas): S/ 5.00 por publicación destacada, vía MercadoPago Checkout Pro.</w:t>
      </w:r>
    </w:p>
    <w:p>
      <w:pPr>
        <w:pStyle w:val="ListBullet"/>
        <w:spacing w:after="60"/>
      </w:pPr>
      <w:r>
        <w:t>Pago por “Destacar perfil” (estudiantes): mismo modelo, mediante formulario de tarjeta embebido (MercadoPago Payment Brick).</w:t>
      </w:r>
    </w:p>
    <w:p>
      <w:pPr>
        <w:spacing w:after="160" w:before="80"/>
      </w:pPr>
      <w:r>
        <w:rPr>
          <w:b/>
          <w:i/>
          <w:color w:val="B00020"/>
        </w:rPr>
        <w:t>[COMPLETAR SI SE DEFINIERON OTRAS FUENTES DE INGRESO A FUTURO, POR EJEMPLO SUSCRIPCIÓN MENSUAL PARA EMPRESAS O COMISIÓN POR CONTRATACIÓN]</w:t>
      </w:r>
    </w:p>
    <w:p>
      <w:pPr>
        <w:pStyle w:val="Heading2"/>
      </w:pPr>
      <w:r>
        <w:t>5.6. Recursos clave</w:t>
      </w:r>
    </w:p>
    <w:p>
      <w:pPr>
        <w:pStyle w:val="ListBullet"/>
        <w:spacing w:after="60"/>
      </w:pPr>
      <w:r>
        <w:t>Plataforma web propia (backend + frontend) y su código fuente.</w:t>
      </w:r>
    </w:p>
    <w:p>
      <w:pPr>
        <w:pStyle w:val="ListBullet"/>
        <w:spacing w:after="60"/>
      </w:pPr>
      <w:r>
        <w:t>Base de datos PostgreSQL con los perfiles, ofertas y postulaciones.</w:t>
      </w:r>
    </w:p>
    <w:p>
      <w:pPr>
        <w:pStyle w:val="ListBullet"/>
        <w:spacing w:after="60"/>
      </w:pPr>
      <w:r>
        <w:t>Integración con la pasarela de pagos MercadoPago.</w:t>
      </w:r>
    </w:p>
    <w:p>
      <w:pPr>
        <w:pStyle w:val="ListBullet"/>
        <w:spacing w:after="60"/>
      </w:pPr>
      <w:r>
        <w:t>El propio correo institucional @unsch.edu.pe como mecanismo de verificación.</w:t>
      </w:r>
    </w:p>
    <w:p>
      <w:pPr>
        <w:pStyle w:val="ListBullet"/>
        <w:spacing w:after="60"/>
      </w:pPr>
      <w:r>
        <w:t>El equipo de desarrollo del proyecto.</w:t>
      </w:r>
    </w:p>
    <w:p>
      <w:pPr>
        <w:pStyle w:val="Heading2"/>
      </w:pPr>
      <w:r>
        <w:t>5.7. Actividades clave</w:t>
      </w:r>
    </w:p>
    <w:p>
      <w:pPr>
        <w:pStyle w:val="ListBullet"/>
        <w:spacing w:after="60"/>
      </w:pPr>
      <w:r>
        <w:t>Desarrollo y mantenimiento continuo de la plataforma.</w:t>
      </w:r>
    </w:p>
    <w:p>
      <w:pPr>
        <w:pStyle w:val="ListBullet"/>
        <w:spacing w:after="60"/>
      </w:pPr>
      <w:r>
        <w:t>Moderación de ofertas y verificación de cuentas de empresa.</w:t>
      </w:r>
    </w:p>
    <w:p>
      <w:pPr>
        <w:pStyle w:val="ListBullet"/>
        <w:spacing w:after="60"/>
      </w:pPr>
      <w:r>
        <w:t>Procesamiento seguro de pagos y confirmación de destacados.</w:t>
      </w:r>
    </w:p>
    <w:p>
      <w:pPr>
        <w:pStyle w:val="ListBullet"/>
        <w:spacing w:after="60"/>
      </w:pPr>
      <w:r>
        <w:t>Marketing y captación de estudiantes y empresas en ambos lados del marketplace.</w:t>
      </w:r>
    </w:p>
    <w:p>
      <w:pPr>
        <w:pStyle w:val="Heading2"/>
      </w:pPr>
      <w:r>
        <w:t>5.8. Socios clave</w:t>
      </w:r>
    </w:p>
    <w:p>
      <w:pPr>
        <w:pStyle w:val="ListBullet"/>
        <w:spacing w:after="60"/>
      </w:pPr>
      <w:r>
        <w:t>La UNSCH, como fuente de verificación institucional y canal potencial de difusión oficial.</w:t>
      </w:r>
    </w:p>
    <w:p>
      <w:pPr>
        <w:pStyle w:val="ListBullet"/>
        <w:spacing w:after="60"/>
      </w:pPr>
      <w:r>
        <w:t>MercadoPago, como pasarela de pagos.</w:t>
      </w:r>
    </w:p>
    <w:p>
      <w:pPr>
        <w:pStyle w:val="ListBullet"/>
        <w:spacing w:after="60"/>
      </w:pPr>
      <w:r>
        <w:t>Empresas locales “ancla” de Huamanga que adoptan la plataforma en sus primeras etapas.</w:t>
      </w:r>
    </w:p>
    <w:p>
      <w:pPr>
        <w:pStyle w:val="Heading2"/>
      </w:pPr>
      <w:r>
        <w:t>5.9. Estructura de costos</w:t>
      </w:r>
    </w:p>
    <w:p>
      <w:pPr>
        <w:pStyle w:val="ListBullet"/>
        <w:spacing w:after="60"/>
      </w:pPr>
      <w:r>
        <w:t>Hosting e infraestructura (servidor de aplicación y base de datos).</w:t>
      </w:r>
    </w:p>
    <w:p>
      <w:pPr>
        <w:pStyle w:val="ListBullet"/>
        <w:spacing w:after="60"/>
      </w:pPr>
      <w:r>
        <w:t>Comisiones cobradas por la pasarela de pagos sobre cada transacción.</w:t>
      </w:r>
    </w:p>
    <w:p>
      <w:pPr>
        <w:pStyle w:val="ListBullet"/>
        <w:spacing w:after="60"/>
      </w:pPr>
      <w:r>
        <w:t>Dominio y certificados de seguridad (HTTPS).</w:t>
      </w:r>
    </w:p>
    <w:p>
      <w:pPr>
        <w:pStyle w:val="ListBullet"/>
        <w:spacing w:after="60"/>
      </w:pPr>
      <w:r>
        <w:t>Desarrollo, mantenimiento técnico y soporte.</w:t>
      </w:r>
    </w:p>
    <w:p>
      <w:pPr>
        <w:pStyle w:val="ListBullet"/>
        <w:spacing w:after="60"/>
      </w:pPr>
      <w:r>
        <w:t>Marketing digital para la captación de usuarios.</w:t>
      </w:r>
    </w:p>
    <w:p>
      <w:pPr>
        <w:pStyle w:val="Heading1"/>
      </w:pPr>
      <w:r>
        <w:t>6. Estrategia Competitiva y de Mercado</w:t>
      </w:r>
    </w:p>
    <w:p>
      <w:pPr>
        <w:pStyle w:val="Heading2"/>
      </w:pPr>
      <w:r>
        <w:t>6.1. Análisis FODA</w:t>
      </w:r>
    </w:p>
    <w:tbl>
      <w:tblPr>
        <w:tblStyle w:val="LightGrid-Accent1"/>
        <w:tblW w:type="auto" w:w="0"/>
        <w:jc w:val="center"/>
        <w:tblLook w:firstColumn="1" w:firstRow="1" w:lastColumn="0" w:lastRow="0" w:noHBand="0" w:noVBand="1" w:val="04A0"/>
      </w:tblPr>
      <w:tblGrid>
        <w:gridCol w:w="4561"/>
        <w:gridCol w:w="4561"/>
      </w:tblGrid>
      <w:tr>
        <w:tc>
          <w:tcPr>
            <w:tcW w:type="dxa" w:w="4819"/>
          </w:tcPr>
          <w:p>
            <w:r/>
            <w:r>
              <w:rPr>
                <w:b/>
              </w:rPr>
              <w:t>Fortalezas</w:t>
            </w:r>
          </w:p>
        </w:tc>
        <w:tc>
          <w:tcPr>
            <w:tcW w:type="dxa" w:w="4819"/>
          </w:tcPr>
          <w:p>
            <w:r/>
            <w:r>
              <w:rPr>
                <w:b/>
              </w:rPr>
              <w:t>Debilidades</w:t>
            </w:r>
          </w:p>
        </w:tc>
      </w:tr>
      <w:tr>
        <w:tc>
          <w:tcPr>
            <w:tcW w:type="dxa" w:w="4819"/>
          </w:tcPr>
          <w:p>
            <w:r/>
            <w:r>
              <w:t>Verificación institucional única mediante correo @unsch.edu.pe, que genera confianza en ambos lados del marketplace.</w:t>
              <w:br/>
              <w:t>Enfoque hiperlocal (Ayacucho/Huamanga) no atendido por los portales de empleo nacionales.</w:t>
              <w:br/>
              <w:t>Plataforma propia con control total sobre la experiencia de usuario y el modelo de monetización.</w:t>
              <w:br/>
              <w:t>Costo de “destacar” muy accesible (S/ 5.00) para pequeñas empresas locales.</w:t>
            </w:r>
          </w:p>
        </w:tc>
        <w:tc>
          <w:tcPr>
            <w:tcW w:type="dxa" w:w="4819"/>
          </w:tcPr>
          <w:p>
            <w:r/>
            <w:r>
              <w:t>Efecto de red inicial bajo: pocos usuarios en ambos lados al momento del lanzamiento (problema clásico de arranque en marketplaces).</w:t>
              <w:br/>
              <w:t>Equipo de desarrollo pequeño y con recursos limitados.</w:t>
              <w:br/>
              <w:t>Verificación de empresas hecha manualmente por un administrador, sin un proceso de KYC más robusto.</w:t>
              <w:br/>
              <w:t>Dependencia de un único proveedor de pagos (MercadoPago) y de su proceso de activación de cuenta.</w:t>
            </w:r>
          </w:p>
        </w:tc>
      </w:tr>
    </w:tbl>
    <w:p>
      <w:pPr>
        <w:spacing w:after="80"/>
      </w:pPr>
    </w:p>
    <w:tbl>
      <w:tblPr>
        <w:tblStyle w:val="LightGrid-Accent1"/>
        <w:tblW w:type="auto" w:w="0"/>
        <w:jc w:val="center"/>
        <w:tblLook w:firstColumn="1" w:firstRow="1" w:lastColumn="0" w:lastRow="0" w:noHBand="0" w:noVBand="1" w:val="04A0"/>
      </w:tblPr>
      <w:tblGrid>
        <w:gridCol w:w="4561"/>
        <w:gridCol w:w="4561"/>
      </w:tblGrid>
      <w:tr>
        <w:tc>
          <w:tcPr>
            <w:tcW w:type="dxa" w:w="4819"/>
          </w:tcPr>
          <w:p>
            <w:r/>
            <w:r>
              <w:rPr>
                <w:b/>
              </w:rPr>
              <w:t>Oportunidades</w:t>
            </w:r>
          </w:p>
        </w:tc>
        <w:tc>
          <w:tcPr>
            <w:tcW w:type="dxa" w:w="4819"/>
          </w:tcPr>
          <w:p>
            <w:r/>
            <w:r>
              <w:rPr>
                <w:b/>
              </w:rPr>
              <w:t>Amenazas</w:t>
            </w:r>
          </w:p>
        </w:tc>
      </w:tr>
      <w:tr>
        <w:tc>
          <w:tcPr>
            <w:tcW w:type="dxa" w:w="4819"/>
          </w:tcPr>
          <w:p>
            <w:r/>
            <w:r>
              <w:t>Alta población estudiantil en la UNSCH sin una plataforma dedicada a trabajo flexible.</w:t>
              <w:br/>
              <w:t>Crecimiento del comercio y la gastronomía local, con demanda recurrente de personal temporal (ferias, eventos, campañas).</w:t>
              <w:br/>
              <w:t>Posibilidad de una alianza formal con la UNSCH (bolsa de trabajo oficial).</w:t>
              <w:br/>
              <w:t>Posible expansión a otras casas de estudio de la región.</w:t>
            </w:r>
          </w:p>
        </w:tc>
        <w:tc>
          <w:tcPr>
            <w:tcW w:type="dxa" w:w="4819"/>
          </w:tcPr>
          <w:p>
            <w:r/>
            <w:r>
              <w:t>Entrada de plataformas nacionales con mayor presupuesto (Bumeran, Computrabajo, Indeed).</w:t>
              <w:br/>
              <w:t>Cultura de informalidad laboral y desconfianza hacia plataformas digitales locales nuevas.</w:t>
              <w:br/>
              <w:t>Cambios regulatorios sobre protección de datos personales.</w:t>
              <w:br/>
              <w:t>Dependencia de la estabilidad y políticas de la pasarela de pago externa.</w:t>
            </w:r>
          </w:p>
        </w:tc>
      </w:tr>
    </w:tbl>
    <w:p>
      <w:pPr>
        <w:spacing w:after="80"/>
      </w:pPr>
    </w:p>
    <w:p>
      <w:pPr>
        <w:pStyle w:val="Heading2"/>
      </w:pPr>
      <w:r>
        <w:t>6.2. Análisis PESTEL</w:t>
      </w:r>
    </w:p>
    <w:tbl>
      <w:tblPr>
        <w:tblStyle w:val="LightGrid-Accent1"/>
        <w:tblW w:type="auto" w:w="0"/>
        <w:jc w:val="center"/>
        <w:tblLook w:firstColumn="1" w:firstRow="1" w:lastColumn="0" w:lastRow="0" w:noHBand="0" w:noVBand="1" w:val="04A0"/>
      </w:tblPr>
      <w:tblGrid>
        <w:gridCol w:w="4561"/>
        <w:gridCol w:w="4561"/>
      </w:tblGrid>
      <w:tr>
        <w:tc>
          <w:tcPr>
            <w:tcW w:type="dxa" w:w="1984"/>
          </w:tcPr>
          <w:p>
            <w:r/>
            <w:r>
              <w:rPr>
                <w:b/>
              </w:rPr>
              <w:t>Factor</w:t>
            </w:r>
          </w:p>
        </w:tc>
        <w:tc>
          <w:tcPr>
            <w:tcW w:type="dxa" w:w="7654"/>
          </w:tcPr>
          <w:p>
            <w:r/>
            <w:r>
              <w:rPr>
                <w:b/>
              </w:rPr>
              <w:t>Análisis</w:t>
            </w:r>
          </w:p>
        </w:tc>
      </w:tr>
      <w:tr>
        <w:tc>
          <w:tcPr>
            <w:tcW w:type="dxa" w:w="1984"/>
          </w:tcPr>
          <w:p>
            <w:r/>
            <w:r>
              <w:t>Político</w:t>
            </w:r>
          </w:p>
        </w:tc>
        <w:tc>
          <w:tcPr>
            <w:tcW w:type="dxa" w:w="7654"/>
          </w:tcPr>
          <w:p>
            <w:r/>
            <w:r>
              <w:t>Marco normativo peruano de comercio electrónico y protección de datos personales (Ley N.° 29733 y su reglamento); posibles políticas universitarias de fomento a la empleabilidad estudiantil.</w:t>
            </w:r>
          </w:p>
        </w:tc>
      </w:tr>
      <w:tr>
        <w:tc>
          <w:tcPr>
            <w:tcW w:type="dxa" w:w="1984"/>
          </w:tcPr>
          <w:p>
            <w:r/>
            <w:r>
              <w:t>Económico</w:t>
            </w:r>
          </w:p>
        </w:tc>
        <w:tc>
          <w:tcPr>
            <w:tcW w:type="dxa" w:w="7654"/>
          </w:tcPr>
          <w:p>
            <w:r/>
            <w:r>
              <w:t>Alta informalidad laboral en Ayacucho; ingresos limitados de los estudiantes que motivan la búsqueda de fuentes de ingreso complementarias; economía local basada en comercio, gastronomía y turismo.</w:t>
            </w:r>
          </w:p>
        </w:tc>
      </w:tr>
      <w:tr>
        <w:tc>
          <w:tcPr>
            <w:tcW w:type="dxa" w:w="1984"/>
          </w:tcPr>
          <w:p>
            <w:r/>
            <w:r>
              <w:t>Social</w:t>
            </w:r>
          </w:p>
        </w:tc>
        <w:tc>
          <w:tcPr>
            <w:tcW w:type="dxa" w:w="7654"/>
          </w:tcPr>
          <w:p>
            <w:r/>
            <w:r>
              <w:t>Cultura de búsqueda de empleo por recomendación y redes sociales informales; alta adopción de smartphones entre jóvenes universitarios; creciente valoración de la autonomía económica estudiantil.</w:t>
            </w:r>
          </w:p>
        </w:tc>
      </w:tr>
      <w:tr>
        <w:tc>
          <w:tcPr>
            <w:tcW w:type="dxa" w:w="1984"/>
          </w:tcPr>
          <w:p>
            <w:r/>
            <w:r>
              <w:t>Tecnológico</w:t>
            </w:r>
          </w:p>
        </w:tc>
        <w:tc>
          <w:tcPr>
            <w:tcW w:type="dxa" w:w="7654"/>
          </w:tcPr>
          <w:p>
            <w:r/>
            <w:r>
              <w:t>Penetración creciente de internet móvil en Ayacucho; adopción de medios de pago digitales (MercadoPago, Yape, Plin); disponibilidad de frameworks modernos (Go, Next.js) que permiten un desarrollo ágil y de bajo costo para un equipo estudiantil.</w:t>
            </w:r>
          </w:p>
        </w:tc>
      </w:tr>
      <w:tr>
        <w:tc>
          <w:tcPr>
            <w:tcW w:type="dxa" w:w="1984"/>
          </w:tcPr>
          <w:p>
            <w:r/>
            <w:r>
              <w:t>Ecológico</w:t>
            </w:r>
          </w:p>
        </w:tc>
        <w:tc>
          <w:tcPr>
            <w:tcW w:type="dxa" w:w="7654"/>
          </w:tcPr>
          <w:p>
            <w:r/>
            <w:r>
              <w:t>Bajo impacto ambiental directo al ser un servicio puramente digital; reduce desplazamientos físicos asociados a la búsqueda tradicional de empleo.</w:t>
            </w:r>
          </w:p>
        </w:tc>
      </w:tr>
      <w:tr>
        <w:tc>
          <w:tcPr>
            <w:tcW w:type="dxa" w:w="1984"/>
          </w:tcPr>
          <w:p>
            <w:r/>
            <w:r>
              <w:t>Legal</w:t>
            </w:r>
          </w:p>
        </w:tc>
        <w:tc>
          <w:tcPr>
            <w:tcW w:type="dxa" w:w="7654"/>
          </w:tcPr>
          <w:p>
            <w:r/>
            <w:r>
              <w:t>Cumplimiento de la Ley de Protección de Datos Personales del Perú; necesidad de términos y condiciones y política de privacidad claros; requisitos futuros de facturación electrónica si el proyecto se formaliza como empresa.</w:t>
            </w:r>
          </w:p>
        </w:tc>
      </w:tr>
    </w:tbl>
    <w:p>
      <w:pPr>
        <w:spacing w:after="80"/>
      </w:pPr>
    </w:p>
    <w:p>
      <w:pPr>
        <w:pStyle w:val="Heading2"/>
      </w:pPr>
      <w:r>
        <w:t>6.3. Estrategia del Océano Azul</w:t>
      </w:r>
    </w:p>
    <w:p>
      <w:pPr>
        <w:spacing w:after="120"/>
      </w:pPr>
      <w:r>
        <w:rPr>
          <w:b w:val="0"/>
          <w:i w:val="0"/>
        </w:rPr>
        <w:t>En lugar de competir directamente con los portales de empleo nacionales genéricos —un espacio ya saturado (“océano rojo”) donde compiten Computrabajo, Bumeran e Indeed por presupuesto de marketing y volumen de publicaciones corporativas—, “TrabajaYa Ayacucho” busca crear un espacio de mercado no disputado: un marketplace hiperlocal y verificado institucionalmente para trabajo flexible estudiantil en Ayacucho. Esto se logra:</w:t>
      </w:r>
    </w:p>
    <w:p>
      <w:pPr>
        <w:pStyle w:val="ListBullet"/>
        <w:spacing w:after="60"/>
      </w:pPr>
      <w:r>
        <w:t>Eliminando la fricción de confianza mediante la verificación por correo institucional, algo que ningún portal nacional ofrece.</w:t>
      </w:r>
    </w:p>
    <w:p>
      <w:pPr>
        <w:pStyle w:val="ListBullet"/>
        <w:spacing w:after="60"/>
      </w:pPr>
      <w:r>
        <w:t>Reduciendo drásticamente el costo de acceso para pequeñas empresas locales (S/ 5.00 por destacado frente a los planes corporativos de los portales nacionales).</w:t>
      </w:r>
    </w:p>
    <w:p>
      <w:pPr>
        <w:pStyle w:val="ListBullet"/>
        <w:spacing w:after="60"/>
      </w:pPr>
      <w:r>
        <w:t>Enfocándose en la flexibilidad y el corto plazo (medio tiempo, proyectos, temporadas) en lugar del empleo formal a tiempo completo, que es el foco de los competidores tradicionales.</w:t>
      </w:r>
    </w:p>
    <w:p>
      <w:pPr>
        <w:pStyle w:val="Heading2"/>
      </w:pPr>
      <w:r>
        <w:t>6.4. Posicionamiento frente a competidores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Pr>
          <w:p>
            <w:r/>
            <w:r>
              <w:rPr>
                <w:b/>
              </w:rPr>
              <w:t>Criterio</w:t>
            </w:r>
          </w:p>
        </w:tc>
        <w:tc>
          <w:tcPr>
            <w:tcW w:type="dxa" w:w="2268"/>
          </w:tcPr>
          <w:p>
            <w:r/>
            <w:r>
              <w:rPr>
                <w:b/>
              </w:rPr>
              <w:t>TrabajaYa Ayacucho</w:t>
            </w:r>
          </w:p>
        </w:tc>
        <w:tc>
          <w:tcPr>
            <w:tcW w:type="dxa" w:w="2835"/>
          </w:tcPr>
          <w:p>
            <w:r/>
            <w:r>
              <w:rPr>
                <w:b/>
              </w:rPr>
              <w:t>Portales nacionales</w:t>
              <w:br/>
              <w:t>(Computrabajo, Bumeran, Indeed)</w:t>
            </w:r>
          </w:p>
        </w:tc>
        <w:tc>
          <w:tcPr>
            <w:tcW w:type="dxa" w:w="2268"/>
          </w:tcPr>
          <w:p>
            <w:r/>
            <w:r>
              <w:rPr>
                <w:b/>
              </w:rPr>
              <w:t>Canales informales</w:t>
              <w:br/>
              <w:t>(WhatsApp, volanteo)</w:t>
            </w:r>
          </w:p>
        </w:tc>
      </w:tr>
      <w:tr>
        <w:tc>
          <w:tcPr>
            <w:tcW w:type="dxa" w:w="2268"/>
          </w:tcPr>
          <w:p>
            <w:r/>
            <w:r>
              <w:t>Verificación de identidad</w:t>
            </w:r>
          </w:p>
        </w:tc>
        <w:tc>
          <w:tcPr>
            <w:tcW w:type="dxa" w:w="2268"/>
          </w:tcPr>
          <w:p>
            <w:r/>
            <w:r>
              <w:t>Sí, por correo institucional @unsch.edu.pe</w:t>
            </w:r>
          </w:p>
        </w:tc>
        <w:tc>
          <w:tcPr>
            <w:tcW w:type="dxa" w:w="2835"/>
          </w:tcPr>
          <w:p>
            <w:r/>
            <w:r>
              <w:t>Limitada o inexistente</w:t>
            </w:r>
          </w:p>
        </w:tc>
        <w:tc>
          <w:tcPr>
            <w:tcW w:type="dxa" w:w="2268"/>
          </w:tcPr>
          <w:p>
            <w:r/>
            <w:r>
              <w:t>Nula</w:t>
            </w:r>
          </w:p>
        </w:tc>
      </w:tr>
      <w:tr>
        <w:tc>
          <w:tcPr>
            <w:tcW w:type="dxa" w:w="2268"/>
          </w:tcPr>
          <w:p>
            <w:r/>
            <w:r>
              <w:t>Enfoque geográfico</w:t>
            </w:r>
          </w:p>
        </w:tc>
        <w:tc>
          <w:tcPr>
            <w:tcW w:type="dxa" w:w="2268"/>
          </w:tcPr>
          <w:p>
            <w:r/>
            <w:r>
              <w:t>Hiperlocal (Ayacucho/Huamanga)</w:t>
            </w:r>
          </w:p>
        </w:tc>
        <w:tc>
          <w:tcPr>
            <w:tcW w:type="dxa" w:w="2835"/>
          </w:tcPr>
          <w:p>
            <w:r/>
            <w:r>
              <w:t>Nacional / genérico</w:t>
            </w:r>
          </w:p>
        </w:tc>
        <w:tc>
          <w:tcPr>
            <w:tcW w:type="dxa" w:w="2268"/>
          </w:tcPr>
          <w:p>
            <w:r/>
            <w:r>
              <w:t>Local pero desorganizado</w:t>
            </w:r>
          </w:p>
        </w:tc>
      </w:tr>
      <w:tr>
        <w:tc>
          <w:tcPr>
            <w:tcW w:type="dxa" w:w="2268"/>
          </w:tcPr>
          <w:p>
            <w:r/>
            <w:r>
              <w:t>Costo para pequeñas empresas</w:t>
            </w:r>
          </w:p>
        </w:tc>
        <w:tc>
          <w:tcPr>
            <w:tcW w:type="dxa" w:w="2268"/>
          </w:tcPr>
          <w:p>
            <w:r/>
            <w:r>
              <w:t>Muy bajo (S/ 5.00 por destacado)</w:t>
            </w:r>
          </w:p>
        </w:tc>
        <w:tc>
          <w:tcPr>
            <w:tcW w:type="dxa" w:w="2835"/>
          </w:tcPr>
          <w:p>
            <w:r/>
            <w:r>
              <w:t>Alto (planes corporativos)</w:t>
            </w:r>
          </w:p>
        </w:tc>
        <w:tc>
          <w:tcPr>
            <w:tcW w:type="dxa" w:w="2268"/>
          </w:tcPr>
          <w:p>
            <w:r/>
            <w:r>
              <w:t>Gratuito pero informal</w:t>
            </w:r>
          </w:p>
        </w:tc>
      </w:tr>
      <w:tr>
        <w:tc>
          <w:tcPr>
            <w:tcW w:type="dxa" w:w="2268"/>
          </w:tcPr>
          <w:p>
            <w:r/>
            <w:r>
              <w:t>Enfoque en trabajo flexible/estudiantil</w:t>
            </w:r>
          </w:p>
        </w:tc>
        <w:tc>
          <w:tcPr>
            <w:tcW w:type="dxa" w:w="2268"/>
          </w:tcPr>
          <w:p>
            <w:r/>
            <w:r>
              <w:t>Sí, es el foco principal</w:t>
            </w:r>
          </w:p>
        </w:tc>
        <w:tc>
          <w:tcPr>
            <w:tcW w:type="dxa" w:w="2835"/>
          </w:tcPr>
          <w:p>
            <w:r/>
            <w:r>
              <w:t>No, orientado a empleo formal</w:t>
            </w:r>
          </w:p>
        </w:tc>
        <w:tc>
          <w:tcPr>
            <w:tcW w:type="dxa" w:w="2268"/>
          </w:tcPr>
          <w:p>
            <w:r/>
            <w:r>
              <w:t>Parcial, sin estructura</w:t>
            </w:r>
          </w:p>
        </w:tc>
      </w:tr>
    </w:tbl>
    <w:p>
      <w:pPr>
        <w:spacing w:after="80"/>
      </w:pPr>
    </w:p>
    <w:p>
      <w:pPr>
        <w:pStyle w:val="Heading1"/>
      </w:pPr>
      <w:r>
        <w:t>7. Desarrollo de la Solución Tecnológica</w:t>
      </w:r>
    </w:p>
    <w:p>
      <w:pPr>
        <w:pStyle w:val="Heading2"/>
      </w:pPr>
      <w:r>
        <w:t>7.1. Arquitectura tecnológica</w:t>
      </w:r>
    </w:p>
    <w:p>
      <w:pPr>
        <w:spacing w:after="120"/>
      </w:pPr>
      <w:r>
        <w:rPr>
          <w:b w:val="0"/>
          <w:i w:val="0"/>
        </w:rPr>
        <w:t>“TrabajaYa Ayacucho” está construido con una arquitectura cliente-servidor desacoplada, expuesta como una API REST consumida por una aplicación web independiente:</w:t>
      </w:r>
    </w:p>
    <w:p>
      <w:pPr>
        <w:pStyle w:val="ListBullet"/>
        <w:spacing w:after="60"/>
      </w:pPr>
      <w:r>
        <w:t>Backend: Go (versión 1.25) con el framework Gin para el enrutamiento HTTP y GORM como ORM sobre una base de datos PostgreSQL relacional.</w:t>
      </w:r>
    </w:p>
    <w:p>
      <w:pPr>
        <w:pStyle w:val="ListBullet"/>
        <w:spacing w:after="60"/>
      </w:pPr>
      <w:r>
        <w:t>Frontend: Next.js 16 (App Router) con TypeScript, Tailwind CSS v4 para los estilos, Zustand para el estado global ligero (caché de sesión de usuario) y React Hook Form junto con Zod para la validación de formularios.</w:t>
      </w:r>
    </w:p>
    <w:p>
      <w:pPr>
        <w:pStyle w:val="ListBullet"/>
        <w:spacing w:after="60"/>
      </w:pPr>
      <w:r>
        <w:t>Organización del código en una arquitectura “atomizada” por funcionalidad (carpetas src/features/&lt;área&gt;/&lt;módulo&gt;), separando claramente los módulos de estudiante, empresa, administrador y público.</w:t>
      </w:r>
    </w:p>
    <w:p>
      <w:pPr>
        <w:pStyle w:val="ListBullet"/>
        <w:spacing w:after="60"/>
      </w:pPr>
      <w:r>
        <w:t>Tres roles de usuario con paneles y rutas protegidas independientes: estudiante, empresa y administrador.</w:t>
      </w:r>
    </w:p>
    <w:p>
      <w:pPr>
        <w:pStyle w:val="Heading2"/>
      </w:pPr>
      <w:r>
        <w:t>7.2. Herramientas y componentes utilizados</w:t>
      </w:r>
    </w:p>
    <w:tbl>
      <w:tblPr>
        <w:tblStyle w:val="LightGrid-Accent1"/>
        <w:tblW w:type="auto" w:w="0"/>
        <w:jc w:val="center"/>
        <w:tblLook w:firstColumn="1" w:firstRow="1" w:lastColumn="0" w:lastRow="0" w:noHBand="0" w:noVBand="1" w:val="04A0"/>
      </w:tblPr>
      <w:tblGrid>
        <w:gridCol w:w="4561"/>
        <w:gridCol w:w="4561"/>
      </w:tblGrid>
      <w:tr>
        <w:tc>
          <w:tcPr>
            <w:tcW w:type="dxa" w:w="3402"/>
          </w:tcPr>
          <w:p>
            <w:r/>
            <w:r>
              <w:rPr>
                <w:b/>
              </w:rPr>
              <w:t>Componente</w:t>
            </w:r>
          </w:p>
        </w:tc>
        <w:tc>
          <w:tcPr>
            <w:tcW w:type="dxa" w:w="6236"/>
          </w:tcPr>
          <w:p>
            <w:r/>
            <w:r>
              <w:rPr>
                <w:b/>
              </w:rPr>
              <w:t>Tecnología</w:t>
            </w:r>
          </w:p>
        </w:tc>
      </w:tr>
      <w:tr>
        <w:tc>
          <w:tcPr>
            <w:tcW w:type="dxa" w:w="3402"/>
          </w:tcPr>
          <w:p>
            <w:r/>
            <w:r>
              <w:t>Lenguaje backend</w:t>
            </w:r>
          </w:p>
        </w:tc>
        <w:tc>
          <w:tcPr>
            <w:tcW w:type="dxa" w:w="6236"/>
          </w:tcPr>
          <w:p>
            <w:r/>
            <w:r>
              <w:t>Go 1.25</w:t>
            </w:r>
          </w:p>
        </w:tc>
      </w:tr>
      <w:tr>
        <w:tc>
          <w:tcPr>
            <w:tcW w:type="dxa" w:w="3402"/>
          </w:tcPr>
          <w:p>
            <w:r/>
            <w:r>
              <w:t>Framework backend</w:t>
            </w:r>
          </w:p>
        </w:tc>
        <w:tc>
          <w:tcPr>
            <w:tcW w:type="dxa" w:w="6236"/>
          </w:tcPr>
          <w:p>
            <w:r/>
            <w:r>
              <w:t>Gin (enrutamiento HTTP)</w:t>
            </w:r>
          </w:p>
        </w:tc>
      </w:tr>
      <w:tr>
        <w:tc>
          <w:tcPr>
            <w:tcW w:type="dxa" w:w="3402"/>
          </w:tcPr>
          <w:p>
            <w:r/>
            <w:r>
              <w:t>ORM / acceso a datos</w:t>
            </w:r>
          </w:p>
        </w:tc>
        <w:tc>
          <w:tcPr>
            <w:tcW w:type="dxa" w:w="6236"/>
          </w:tcPr>
          <w:p>
            <w:r/>
            <w:r>
              <w:t>GORM</w:t>
            </w:r>
          </w:p>
        </w:tc>
      </w:tr>
      <w:tr>
        <w:tc>
          <w:tcPr>
            <w:tcW w:type="dxa" w:w="3402"/>
          </w:tcPr>
          <w:p>
            <w:r/>
            <w:r>
              <w:t>Base de datos</w:t>
            </w:r>
          </w:p>
        </w:tc>
        <w:tc>
          <w:tcPr>
            <w:tcW w:type="dxa" w:w="6236"/>
          </w:tcPr>
          <w:p>
            <w:r/>
            <w:r>
              <w:t>PostgreSQL</w:t>
            </w:r>
          </w:p>
        </w:tc>
      </w:tr>
      <w:tr>
        <w:tc>
          <w:tcPr>
            <w:tcW w:type="dxa" w:w="3402"/>
          </w:tcPr>
          <w:p>
            <w:r/>
            <w:r>
              <w:t>Framework frontend</w:t>
            </w:r>
          </w:p>
        </w:tc>
        <w:tc>
          <w:tcPr>
            <w:tcW w:type="dxa" w:w="6236"/>
          </w:tcPr>
          <w:p>
            <w:r/>
            <w:r>
              <w:t>Next.js 16 (React 19, App Router)</w:t>
            </w:r>
          </w:p>
        </w:tc>
      </w:tr>
      <w:tr>
        <w:tc>
          <w:tcPr>
            <w:tcW w:type="dxa" w:w="3402"/>
          </w:tcPr>
          <w:p>
            <w:r/>
            <w:r>
              <w:t>Lenguaje frontend</w:t>
            </w:r>
          </w:p>
        </w:tc>
        <w:tc>
          <w:tcPr>
            <w:tcW w:type="dxa" w:w="6236"/>
          </w:tcPr>
          <w:p>
            <w:r/>
            <w:r>
              <w:t>TypeScript</w:t>
            </w:r>
          </w:p>
        </w:tc>
      </w:tr>
      <w:tr>
        <w:tc>
          <w:tcPr>
            <w:tcW w:type="dxa" w:w="3402"/>
          </w:tcPr>
          <w:p>
            <w:r/>
            <w:r>
              <w:t>Estilos</w:t>
            </w:r>
          </w:p>
        </w:tc>
        <w:tc>
          <w:tcPr>
            <w:tcW w:type="dxa" w:w="6236"/>
          </w:tcPr>
          <w:p>
            <w:r/>
            <w:r>
              <w:t>Tailwind CSS v4</w:t>
            </w:r>
          </w:p>
        </w:tc>
      </w:tr>
      <w:tr>
        <w:tc>
          <w:tcPr>
            <w:tcW w:type="dxa" w:w="3402"/>
          </w:tcPr>
          <w:p>
            <w:r/>
            <w:r>
              <w:t>Estado global</w:t>
            </w:r>
          </w:p>
        </w:tc>
        <w:tc>
          <w:tcPr>
            <w:tcW w:type="dxa" w:w="6236"/>
          </w:tcPr>
          <w:p>
            <w:r/>
            <w:r>
              <w:t>Zustand</w:t>
            </w:r>
          </w:p>
        </w:tc>
      </w:tr>
      <w:tr>
        <w:tc>
          <w:tcPr>
            <w:tcW w:type="dxa" w:w="3402"/>
          </w:tcPr>
          <w:p>
            <w:r/>
            <w:r>
              <w:t>Formularios y validación</w:t>
            </w:r>
          </w:p>
        </w:tc>
        <w:tc>
          <w:tcPr>
            <w:tcW w:type="dxa" w:w="6236"/>
          </w:tcPr>
          <w:p>
            <w:r/>
            <w:r>
              <w:t>React Hook Form + Zod</w:t>
            </w:r>
          </w:p>
        </w:tc>
      </w:tr>
      <w:tr>
        <w:tc>
          <w:tcPr>
            <w:tcW w:type="dxa" w:w="3402"/>
          </w:tcPr>
          <w:p>
            <w:r/>
            <w:r>
              <w:t>Pasarela de pagos</w:t>
            </w:r>
          </w:p>
        </w:tc>
        <w:tc>
          <w:tcPr>
            <w:tcW w:type="dxa" w:w="6236"/>
          </w:tcPr>
          <w:p>
            <w:r/>
            <w:r>
              <w:t>MercadoPago (SDK oficial Go y React)</w:t>
            </w:r>
          </w:p>
        </w:tc>
      </w:tr>
      <w:tr>
        <w:tc>
          <w:tcPr>
            <w:tcW w:type="dxa" w:w="3402"/>
          </w:tcPr>
          <w:p>
            <w:r/>
            <w:r>
              <w:t>Gestor de paquetes frontend</w:t>
            </w:r>
          </w:p>
        </w:tc>
        <w:tc>
          <w:tcPr>
            <w:tcW w:type="dxa" w:w="6236"/>
          </w:tcPr>
          <w:p>
            <w:r/>
            <w:r>
              <w:t>Bun</w:t>
            </w:r>
          </w:p>
        </w:tc>
      </w:tr>
    </w:tbl>
    <w:p>
      <w:pPr>
        <w:spacing w:after="80"/>
      </w:pPr>
    </w:p>
    <w:p>
      <w:pPr>
        <w:pStyle w:val="Heading2"/>
      </w:pPr>
      <w:r>
        <w:t>7.3. Infraestructura web</w:t>
      </w:r>
    </w:p>
    <w:p>
      <w:pPr>
        <w:spacing w:after="120"/>
      </w:pPr>
      <w:r>
        <w:rPr>
          <w:b w:val="0"/>
          <w:i w:val="0"/>
        </w:rPr>
        <w:t>El backend expone su API bajo el prefijo /api y sirve además los archivos subidos (imágenes de perfil y de empresa) desde una carpeta de almacenamiento local. El frontend corre como una aplicación Next.js independiente que consume dicha API mediante peticiones HTTP con envío de credenciales (cookies).</w:t>
      </w:r>
    </w:p>
    <w:p>
      <w:pPr>
        <w:spacing w:after="160" w:before="80"/>
      </w:pPr>
      <w:r>
        <w:rPr>
          <w:b/>
          <w:i/>
          <w:color w:val="B00020"/>
        </w:rPr>
        <w:t>[COMPLETAR: DOMINIO Y PROVEEDOR DE HOSTING DE PRODUCCIÓN (por ejemplo, VPS, Railway, Render, Vercel para el frontend, etc.) SI YA SE REALIZÓ EL DESPLIEGUE. INDICAR TAMBIÉN EL GESTOR DE BASE DE DATOS EN PRODUCCIÓN.]</w:t>
      </w:r>
    </w:p>
    <w:p>
      <w:pPr>
        <w:pStyle w:val="Heading2"/>
      </w:pPr>
      <w:r>
        <w:t>7.4. Seguridad y privacidad</w:t>
      </w:r>
    </w:p>
    <w:p>
      <w:pPr>
        <w:pStyle w:val="ListBullet"/>
        <w:spacing w:after="60"/>
      </w:pPr>
      <w:r>
        <w:t>Autenticación por sesión de servidor: al iniciar sesión se genera un token aleatorio opaco que se entrega al navegador como una cookie httpOnly (no accesible desde JavaScript, lo que mitiga el robo de sesión vía XSS); en la base de datos solo se guarda el hash SHA-256 de ese token, nunca el valor original.</w:t>
      </w:r>
    </w:p>
    <w:p>
      <w:pPr>
        <w:pStyle w:val="ListBullet"/>
        <w:spacing w:after="60"/>
      </w:pPr>
      <w:r>
        <w:t>Contraseñas de usuario hasheadas con bcrypt; nunca se almacenan en texto plano.</w:t>
      </w:r>
    </w:p>
    <w:p>
      <w:pPr>
        <w:pStyle w:val="ListBullet"/>
        <w:spacing w:after="60"/>
      </w:pPr>
      <w:r>
        <w:t>Verificación de correo institucional (@unsch.edu.pe) obligatoria para el registro de estudiantes, como mecanismo de confianza de la plataforma.</w:t>
      </w:r>
    </w:p>
    <w:p>
      <w:pPr>
        <w:pStyle w:val="ListBullet"/>
        <w:spacing w:after="60"/>
      </w:pPr>
      <w:r>
        <w:t>CORS restringido explícitamente al dominio del frontend autorizado.</w:t>
      </w:r>
    </w:p>
    <w:p>
      <w:pPr>
        <w:pStyle w:val="ListBullet"/>
        <w:spacing w:after="60"/>
      </w:pPr>
      <w:r>
        <w:t>Verificación criptográfica (firma HMAC-SHA256) de las notificaciones de pago (webhooks) enviadas por MercadoPago, para evitar que se falsifiquen confirmaciones de pago.</w:t>
      </w:r>
    </w:p>
    <w:p>
      <w:pPr>
        <w:pStyle w:val="ListBullet"/>
        <w:spacing w:after="60"/>
      </w:pPr>
      <w:r>
        <w:t>Moderación manual de ofertas y verificación de cuentas de empresa por parte de un rol de administrador, como control adicional de confianza.</w:t>
      </w:r>
    </w:p>
    <w:p>
      <w:pPr>
        <w:pStyle w:val="Heading2"/>
      </w:pPr>
      <w:r>
        <w:t>7.5. Métodos de pago habilitados</w:t>
      </w:r>
    </w:p>
    <w:p>
      <w:pPr>
        <w:spacing w:after="120"/>
      </w:pPr>
      <w:r>
        <w:rPr>
          <w:b w:val="0"/>
          <w:i w:val="0"/>
        </w:rPr>
        <w:t>La monetización de la plataforma se procesa íntegramente mediante MercadoPago, usando dos flujos distintos según el segmento de usuario:</w:t>
      </w:r>
    </w:p>
    <w:p>
      <w:pPr>
        <w:pStyle w:val="ListBullet"/>
        <w:spacing w:after="60"/>
      </w:pPr>
      <w:r>
        <w:t>Empresas: flujo “Checkout Pro”, que redirige al usuario a una pasarela de pago externa alojada por MercadoPago para destacar una oferta laboral (S/ 5.00).</w:t>
      </w:r>
    </w:p>
    <w:p>
      <w:pPr>
        <w:pStyle w:val="ListBullet"/>
        <w:spacing w:after="60"/>
      </w:pPr>
      <w:r>
        <w:t>Estudiantes: flujo “Payment Brick”, un formulario de tarjeta embebido y tokenizado directamente en la plataforma, para destacar su perfil.</w:t>
      </w:r>
    </w:p>
    <w:p>
      <w:pPr>
        <w:spacing w:after="120"/>
      </w:pPr>
      <w:r>
        <w:rPr>
          <w:b w:val="0"/>
          <w:i w:val="0"/>
        </w:rPr>
        <w:t>En ambos casos, la confirmación del pago se procesa de dos formas complementarias: cuando el usuario regresa a la plataforma tras pagar, y de forma asíncrona e independiente mediante un webhook firmado que MercadoPago envía al backend, garantizando que el estado “destacado” se active incluso si el usuario cierra la ventana antes de volver.</w:t>
      </w:r>
    </w:p>
    <w:p>
      <w:pPr>
        <w:pStyle w:val="Heading2"/>
      </w:pPr>
      <w:r>
        <w:t>7.6. Capturas de pantalla del sitio funcional</w:t>
      </w:r>
    </w:p>
    <w:p>
      <w:pPr>
        <w:spacing w:after="120"/>
      </w:pPr>
      <w:r>
        <w:rPr>
          <w:b w:val="0"/>
          <w:i w:val="0"/>
        </w:rPr>
        <w:t>A continuación se presentan las capturas de pantalla de las principales pantallas de la plataforma en funcionamiento.</w:t>
      </w:r>
    </w:p>
    <w:p>
      <w:pPr>
        <w:spacing w:after="160" w:before="80"/>
      </w:pPr>
      <w:r>
        <w:rPr>
          <w:b/>
          <w:i/>
          <w:color w:val="B00020"/>
        </w:rPr>
        <w:t>[AQUÍ VA LA IMAGEN DE: Página de inicio (landing) con las últimas ofertas publicadas]</w:t>
      </w:r>
    </w:p>
    <w:p>
      <w:pPr>
        <w:spacing w:after="160" w:before="80"/>
      </w:pPr>
      <w:r>
        <w:rPr>
          <w:b/>
          <w:i/>
          <w:color w:val="B00020"/>
        </w:rPr>
        <w:t>[AQUÍ VA LA IMAGEN DE: Registro de estudiante con verificación de correo institucional]</w:t>
      </w:r>
    </w:p>
    <w:p>
      <w:pPr>
        <w:spacing w:after="160" w:before="80"/>
      </w:pPr>
      <w:r>
        <w:rPr>
          <w:b/>
          <w:i/>
          <w:color w:val="B00020"/>
        </w:rPr>
        <w:t>[AQUÍ VA LA IMAGEN DE: Panel (dashboard) del estudiante]</w:t>
      </w:r>
    </w:p>
    <w:p>
      <w:pPr>
        <w:spacing w:after="160" w:before="80"/>
      </w:pPr>
      <w:r>
        <w:rPr>
          <w:b/>
          <w:i/>
          <w:color w:val="B00020"/>
        </w:rPr>
        <w:t>[AQUÍ VA LA IMAGEN DE: Listado y postulación a ofertas]</w:t>
      </w:r>
    </w:p>
    <w:p>
      <w:pPr>
        <w:spacing w:after="160" w:before="80"/>
      </w:pPr>
      <w:r>
        <w:rPr>
          <w:b/>
          <w:i/>
          <w:color w:val="B00020"/>
        </w:rPr>
        <w:t>[AQUÍ VA LA IMAGEN DE: Panel (dashboard) de la empresa y publicación de una oferta]</w:t>
      </w:r>
    </w:p>
    <w:p>
      <w:pPr>
        <w:spacing w:after="160" w:before="80"/>
      </w:pPr>
      <w:r>
        <w:rPr>
          <w:b/>
          <w:i/>
          <w:color w:val="B00020"/>
        </w:rPr>
        <w:t>[AQUÍ VA LA IMAGEN DE: Panel de candidatos por oferta]</w:t>
      </w:r>
    </w:p>
    <w:p>
      <w:pPr>
        <w:spacing w:after="160" w:before="80"/>
      </w:pPr>
      <w:r>
        <w:rPr>
          <w:b/>
          <w:i/>
          <w:color w:val="B00020"/>
        </w:rPr>
        <w:t>[AQUÍ VA LA IMAGEN DE: Modal de pago para destacar una oferta / perfil]</w:t>
      </w:r>
    </w:p>
    <w:p>
      <w:pPr>
        <w:spacing w:after="160" w:before="80"/>
      </w:pPr>
      <w:r>
        <w:rPr>
          <w:b/>
          <w:i/>
          <w:color w:val="B00020"/>
        </w:rPr>
        <w:t>[AQUÍ VA LA IMAGEN DE: Panel de administración (verificación y moderación)]</w:t>
      </w:r>
    </w:p>
    <w:p>
      <w:pPr>
        <w:pStyle w:val="Heading1"/>
      </w:pPr>
      <w:r>
        <w:t>8. Plan de Marketing Digital</w:t>
      </w:r>
    </w:p>
    <w:p>
      <w:pPr>
        <w:pStyle w:val="Heading2"/>
      </w:pPr>
      <w:r>
        <w:t>8.1. Audiencia objetivo</w:t>
      </w:r>
    </w:p>
    <w:p>
      <w:pPr>
        <w:pStyle w:val="ListBullet"/>
        <w:spacing w:after="60"/>
      </w:pPr>
      <w:r>
        <w:t>Estudiantes de la UNSCH, de entre 18 y 27 años, de todas las facultades, con necesidad de ingresos flexibles compatibles con su horario académico.</w:t>
      </w:r>
    </w:p>
    <w:p>
      <w:pPr>
        <w:pStyle w:val="ListBullet"/>
        <w:spacing w:after="60"/>
      </w:pPr>
      <w:r>
        <w:t>Micro y pequeñas empresas y emprendimientos de Huamanga, principalmente de los rubros de gastronomía, comercio, eventos y servicios.</w:t>
      </w:r>
    </w:p>
    <w:p>
      <w:pPr>
        <w:pStyle w:val="Heading2"/>
      </w:pPr>
      <w:r>
        <w:t>8.2. Canales</w:t>
      </w:r>
    </w:p>
    <w:p>
      <w:pPr>
        <w:pStyle w:val="ListBullet"/>
        <w:spacing w:after="60"/>
      </w:pPr>
      <w:r>
        <w:t>Redes sociales con fuerte presencia estudiantil: Facebook e Instagram (grupos y páginas de la UNSCH), y TikTok para contenido informal dirigido a estudiantes.</w:t>
      </w:r>
    </w:p>
    <w:p>
      <w:pPr>
        <w:pStyle w:val="ListBullet"/>
        <w:spacing w:after="60"/>
      </w:pPr>
      <w:r>
        <w:t>Grupos y canales institucionales de WhatsApp/Facebook por facultad y promoción.</w:t>
      </w:r>
    </w:p>
    <w:p>
      <w:pPr>
        <w:pStyle w:val="ListBullet"/>
        <w:spacing w:after="60"/>
      </w:pPr>
      <w:r>
        <w:t>Alianza con la Oficina de Bienestar Universitario / Bolsa de Trabajo de la UNSCH como canal institucional de difusión.</w:t>
      </w:r>
    </w:p>
    <w:p>
      <w:pPr>
        <w:pStyle w:val="ListBullet"/>
        <w:spacing w:after="60"/>
      </w:pPr>
      <w:r>
        <w:t>Posicionamiento SEO local para búsquedas como “trabajo para estudiantes Ayacucho” o “empleo medio tiempo Huamanga”.</w:t>
      </w:r>
    </w:p>
    <w:p>
      <w:pPr>
        <w:pStyle w:val="ListBullet"/>
        <w:spacing w:after="60"/>
      </w:pPr>
      <w:r>
        <w:t>Marketing boca a boca incentivado mediante referidos entre estudiantes.</w:t>
      </w:r>
    </w:p>
    <w:p>
      <w:pPr>
        <w:spacing w:after="160" w:before="80"/>
      </w:pPr>
      <w:r>
        <w:rPr>
          <w:b/>
          <w:i/>
          <w:color w:val="B00020"/>
        </w:rPr>
        <w:t>[COMPLETAR SI SE UTILIZÓ PUBLICIDAD PAGADA (Meta Ads, Google Ads) E INDICAR PRESUPUESTO Y RESULTADOS OBTENIDOS]</w:t>
      </w:r>
    </w:p>
    <w:p>
      <w:pPr>
        <w:pStyle w:val="Heading2"/>
      </w:pPr>
      <w:r>
        <w:t>8.3. Herramientas de analítica y automatización</w:t>
      </w:r>
    </w:p>
    <w:p>
      <w:pPr>
        <w:spacing w:after="160" w:before="80"/>
      </w:pPr>
      <w:r>
        <w:rPr>
          <w:b/>
          <w:i/>
          <w:color w:val="B00020"/>
        </w:rPr>
        <w:t>[COMPLETAR CON LAS HERRAMIENTAS REALMENTE UTILIZADAS, POR EJEMPLO GOOGLE ANALYTICS, META BUSINESS SUITE, O EL PANEL DE ESTADÍSTICAS PROPIO DE LA PLATAFORMA (/api/stats), Y LAS MÉTRICAS OBSERVADAS: VISITAS, REGISTROS, TASA DE CONVERSIÓN A POSTULACIÓN, ETC.]</w:t>
      </w:r>
    </w:p>
    <w:p>
      <w:pPr>
        <w:pStyle w:val="Heading1"/>
      </w:pPr>
      <w:r>
        <w:t>9. Validación y Pruebas</w:t>
      </w:r>
    </w:p>
    <w:p>
      <w:pPr>
        <w:spacing w:after="120"/>
      </w:pPr>
      <w:r>
        <w:rPr>
          <w:b w:val="0"/>
          <w:i w:val="0"/>
        </w:rPr>
        <w:t>La validación del modelo de negocio y de la usabilidad de la plataforma se realizó combinando pruebas técnicas funcionales sobre la aplicación real y retroalimentación cualitativa de usuarios objetivo (estudiantes y representantes de empresas locales).</w:t>
      </w:r>
    </w:p>
    <w:p>
      <w:pPr>
        <w:pStyle w:val="Heading2"/>
      </w:pPr>
      <w:r>
        <w:t>9.1. Metodología de validación</w:t>
      </w:r>
    </w:p>
    <w:p>
      <w:pPr>
        <w:pStyle w:val="ListBullet"/>
        <w:spacing w:after="60"/>
      </w:pPr>
      <w:r>
        <w:t>Pruebas funcionales de extremo a extremo sobre los flujos críticos: registro y verificación de estudiante, publicación de una oferta, postulación, gestión de candidatos y pago para destacar una publicación.</w:t>
      </w:r>
    </w:p>
    <w:p>
      <w:pPr>
        <w:spacing w:after="160" w:before="80"/>
      </w:pPr>
      <w:r>
        <w:rPr>
          <w:b/>
          <w:i/>
          <w:color w:val="B00020"/>
        </w:rPr>
        <w:t>[COMPLETAR: ENTREVISTAS Y/O ENCUESTAS REALIZADAS A ESTUDIANTES Y EMPRESAS — NÚMERO DE PARTICIPANTES, PREGUNTAS CLAVE Y FECHA DE APLICACIÓN]</w:t>
      </w:r>
    </w:p>
    <w:p>
      <w:pPr>
        <w:spacing w:after="160" w:before="80"/>
      </w:pPr>
      <w:r>
        <w:rPr>
          <w:b/>
          <w:i/>
          <w:color w:val="B00020"/>
        </w:rPr>
        <w:t>[COMPLETAR: PRUEBAS DE USABILIDAD REALIZADAS — A QUIÉNES, QUÉ TAREAS SE LES PIDIÓ COMPLETAR Y QUÉ SE OBSERVÓ]</w:t>
      </w:r>
    </w:p>
    <w:p>
      <w:pPr>
        <w:pStyle w:val="Heading2"/>
      </w:pPr>
      <w:r>
        <w:t>9.2. Hallazgos y ajustes realizados</w:t>
      </w:r>
    </w:p>
    <w:p>
      <w:pPr>
        <w:spacing w:after="120"/>
      </w:pPr>
      <w:r>
        <w:rPr>
          <w:b w:val="0"/>
          <w:i w:val="0"/>
        </w:rPr>
        <w:t>Durante las pruebas técnicas internas se identificaron y corrigieron, entre otros, los siguientes hallazgos relevantes:</w:t>
      </w:r>
    </w:p>
    <w:p>
      <w:pPr>
        <w:pStyle w:val="ListBullet"/>
        <w:spacing w:after="60"/>
      </w:pPr>
      <w:r>
        <w:t>Se detectó que el endpoint para destacar una oferta desde el panel de empresa devolvía un error 404, pese a que la lógica de negocio ya estaba implementada en el backend: la ruta simplemente no había sido registrada en el enrutador. Se corrigió registrando las rutas faltantes de creación de preferencia de pago y de confirmación de pago, tanto para empresas como para estudiantes.</w:t>
      </w:r>
    </w:p>
    <w:p>
      <w:pPr>
        <w:spacing w:after="160" w:before="80"/>
      </w:pPr>
      <w:r>
        <w:rPr>
          <w:b/>
          <w:i/>
          <w:color w:val="B00020"/>
        </w:rPr>
        <w:t>[COMPLETAR CON EL FEEDBACK CUALITATIVO REAL RECIBIDO DE ESTUDIANTES Y EMPRESAS, Y LOS AJUSTES DE PRODUCTO REALIZADOS A PARTIR DE ESE FEEDBACK]</w:t>
      </w:r>
    </w:p>
    <w:p>
      <w:pPr>
        <w:pStyle w:val="Heading1"/>
      </w:pPr>
      <w:r>
        <w:t>10. Resultados y Lecciones Aprendidas</w:t>
      </w:r>
    </w:p>
    <w:p>
      <w:pPr>
        <w:pStyle w:val="Heading2"/>
      </w:pPr>
      <w:r>
        <w:t>10.1. Objetivos alcanzados</w:t>
      </w:r>
    </w:p>
    <w:p>
      <w:pPr>
        <w:pStyle w:val="ListBullet"/>
        <w:spacing w:after="60"/>
      </w:pPr>
      <w:r>
        <w:t>Se implementó un backend completo en Go/Gin/GORM sobre PostgreSQL, con autenticación segura por sesión, gestión de perfiles, ofertas, postulaciones, notificaciones y un panel de administración.</w:t>
      </w:r>
    </w:p>
    <w:p>
      <w:pPr>
        <w:pStyle w:val="ListBullet"/>
        <w:spacing w:after="60"/>
      </w:pPr>
      <w:r>
        <w:t>Se implementó un frontend completo en Next.js/TypeScript con paneles diferenciados para estudiante, empresa y administrador.</w:t>
      </w:r>
    </w:p>
    <w:p>
      <w:pPr>
        <w:pStyle w:val="ListBullet"/>
        <w:spacing w:after="60"/>
      </w:pPr>
      <w:r>
        <w:t>Se integró exitosamente la pasarela de pagos MercadoPago para ambos flujos de monetización (destacar oferta y destacar perfil).</w:t>
      </w:r>
    </w:p>
    <w:p>
      <w:pPr>
        <w:spacing w:after="160" w:before="80"/>
      </w:pPr>
      <w:r>
        <w:rPr>
          <w:b/>
          <w:i/>
          <w:color w:val="B00020"/>
        </w:rPr>
        <w:t>[COMPLETAR CON MÉTRICAS REALES SI SE CUENTA CON ELLAS: NÚMERO DE USUARIOS REGISTRADOS, OFERTAS PUBLICADAS, POSTULACIONES REALIZADAS, ETC.]</w:t>
      </w:r>
    </w:p>
    <w:p>
      <w:pPr>
        <w:pStyle w:val="Heading2"/>
      </w:pPr>
      <w:r>
        <w:t>10.2. Principales retos y cómo se resolvieron</w:t>
      </w:r>
    </w:p>
    <w:p>
      <w:pPr>
        <w:pStyle w:val="ListBullet"/>
        <w:spacing w:after="60"/>
      </w:pPr>
      <w:r>
        <w:t>Migración del esquema de autenticación de tokens JWT almacenados en el navegador hacia un modelo de sesión por cookie httpOnly gestionada en base de datos, para reducir la superficie de ataque frente a robo de sesión.</w:t>
      </w:r>
    </w:p>
    <w:p>
      <w:pPr>
        <w:pStyle w:val="ListBullet"/>
        <w:spacing w:after="60"/>
      </w:pPr>
      <w:r>
        <w:t>Integración de la pasarela de pagos: durante las pruebas se encontró que MercadoPago puede rechazar la creación de una preferencia de pago con el error “PA_UNAUTHORIZED_RESULT_FROM_POLICIES” cuando la cuenta vendedora aún no completó su verificación de identidad (KYC) ante MercadoPago; esto evidenció la importancia de activar y verificar completamente la cuenta comercial antes de operar en producción.</w:t>
      </w:r>
    </w:p>
    <w:p>
      <w:pPr>
        <w:pStyle w:val="ListBullet"/>
        <w:spacing w:after="60"/>
      </w:pPr>
      <w:r>
        <w:t>Coordinación entre dos rutas de pago (Checkout Pro para empresas y Payment Brick para estudiantes) y sus respectivos flujos de confirmación, asegurando que ambos casos actualicen correctamente el estado “destacado” tanto en el retorno del usuario como vía webhook.</w:t>
      </w:r>
    </w:p>
    <w:p>
      <w:pPr>
        <w:pStyle w:val="Heading2"/>
      </w:pPr>
      <w:r>
        <w:t>10.3. Qué mejorarían si reiniciaran el proyecto</w:t>
      </w:r>
    </w:p>
    <w:p>
      <w:pPr>
        <w:pStyle w:val="ListBullet"/>
        <w:spacing w:after="60"/>
      </w:pPr>
      <w:r>
        <w:t>Incorporar pruebas automatizadas (unitarias y de integración) desde el inicio del desarrollo, en lugar de validar los flujos críticos solo de forma manual.</w:t>
      </w:r>
    </w:p>
    <w:p>
      <w:pPr>
        <w:pStyle w:val="ListBullet"/>
        <w:spacing w:after="60"/>
      </w:pPr>
      <w:r>
        <w:t>Iniciar el proceso de activación y verificación de la cuenta de MercadoPago en una etapa más temprana del proyecto, dado el tiempo que puede tomar dicha verificación.</w:t>
      </w:r>
    </w:p>
    <w:p>
      <w:pPr>
        <w:spacing w:after="160" w:before="80"/>
      </w:pPr>
      <w:r>
        <w:rPr>
          <w:b/>
          <w:i/>
          <w:color w:val="B00020"/>
        </w:rPr>
        <w:t>[COMPLETAR CON OTRAS REFLEXIONES PROPIAS DEL EQUIPO]</w:t>
      </w:r>
    </w:p>
    <w:p>
      <w:pPr>
        <w:pStyle w:val="Heading1"/>
      </w:pPr>
      <w:r>
        <w:t>11. Conclusiones y Recomendaciones</w:t>
      </w:r>
    </w:p>
    <w:p>
      <w:pPr>
        <w:pStyle w:val="Heading2"/>
      </w:pPr>
      <w:r>
        <w:t>11.1. Conclusiones</w:t>
      </w:r>
    </w:p>
    <w:p>
      <w:pPr>
        <w:pStyle w:val="ListBullet"/>
        <w:spacing w:after="60"/>
      </w:pPr>
      <w:r>
        <w:t>“TrabajaYa Ayacucho” atiende una necesidad real y desatendida en la región: la falta de un canal confiable y verificado para conectar trabajo flexible estudiantil con la demanda de mano de obra temporal de las empresas locales.</w:t>
      </w:r>
    </w:p>
    <w:p>
      <w:pPr>
        <w:pStyle w:val="ListBullet"/>
        <w:spacing w:after="60"/>
      </w:pPr>
      <w:r>
        <w:t>El modelo de negocio, basado en el acceso gratuito a las funciones básicas y en el pago por destacados de bajo costo, resulta accesible tanto para estudiantes como para pequeñas empresas, y constituye una fuente de ingresos sostenible en la medida en que crezca la base de usuarios.</w:t>
      </w:r>
    </w:p>
    <w:p>
      <w:pPr>
        <w:pStyle w:val="ListBullet"/>
        <w:spacing w:after="60"/>
      </w:pPr>
      <w:r>
        <w:t>La arquitectura tecnológica elegida (Go + Next.js + PostgreSQL, con autenticación por sesión y pagos vía MercadoPago) es robusta, segura y adecuada para el volumen de tráfico esperado en una primera etapa regional.</w:t>
      </w:r>
    </w:p>
    <w:p>
      <w:pPr>
        <w:pStyle w:val="Heading2"/>
      </w:pPr>
      <w:r>
        <w:t>11.2. Recomendaciones para escalamiento y sostenibilidad</w:t>
      </w:r>
    </w:p>
    <w:p>
      <w:pPr>
        <w:pStyle w:val="ListBullet"/>
        <w:spacing w:after="60"/>
      </w:pPr>
      <w:r>
        <w:t>Formalizar una alianza institucional con la UNSCH (por ejemplo, con la Oficina de Bienestar Universitario) para impulsar la adopción inicial y resolver el problema de “arranque en frío” típico de los marketplaces de dos lados.</w:t>
      </w:r>
    </w:p>
    <w:p>
      <w:pPr>
        <w:pStyle w:val="ListBullet"/>
        <w:spacing w:after="60"/>
      </w:pPr>
      <w:r>
        <w:t>Evaluar la incorporación de un modelo de suscripción mensual para empresas con publicaciones frecuentes, como fuente de ingresos complementaria a los destacados individuales.</w:t>
      </w:r>
    </w:p>
    <w:p>
      <w:pPr>
        <w:pStyle w:val="ListBullet"/>
        <w:spacing w:after="60"/>
      </w:pPr>
      <w:r>
        <w:t>Extender el modelo de verificación institucional a otras casas de estudio de la región (institutos y otras universidades) para escalar la base de estudiantes disponibles.</w:t>
      </w:r>
    </w:p>
    <w:p>
      <w:pPr>
        <w:pStyle w:val="ListBullet"/>
        <w:spacing w:after="60"/>
      </w:pPr>
      <w:r>
        <w:t>Incorporar métricas de analítica formales y pruebas automatizadas antes de un despliegue a mayor escala.</w:t>
      </w:r>
    </w:p>
    <w:p>
      <w:pPr>
        <w:pStyle w:val="Heading1"/>
      </w:pPr>
      <w:r>
        <w:t>12. Anexos</w:t>
      </w:r>
    </w:p>
    <w:p>
      <w:pPr>
        <w:pStyle w:val="ListBullet"/>
        <w:spacing w:after="60"/>
      </w:pPr>
      <w:r>
        <w:t>Anexo A: Lienzo de Modelo de Negocio (versión visual/gráfica).</w:t>
      </w:r>
    </w:p>
    <w:p>
      <w:pPr>
        <w:spacing w:after="160" w:before="80"/>
      </w:pPr>
      <w:r>
        <w:rPr>
          <w:b/>
          <w:i/>
          <w:color w:val="B00020"/>
        </w:rPr>
        <w:t>[AQUÍ VA LA IMAGEN DEL LIENZO DE MODELO DE NEGOCIO]</w:t>
      </w:r>
    </w:p>
    <w:p>
      <w:pPr>
        <w:pStyle w:val="ListBullet"/>
        <w:spacing w:after="60"/>
      </w:pPr>
      <w:r>
        <w:t>Anexo B: Evidencias del prototipo, código fuente y base de datos.</w:t>
      </w:r>
    </w:p>
    <w:p>
      <w:pPr>
        <w:spacing w:after="160" w:before="80"/>
      </w:pPr>
      <w:r>
        <w:rPr>
          <w:b/>
          <w:i/>
          <w:color w:val="B00020"/>
        </w:rPr>
        <w:t>[AQUÍ VAN LAS CAPTURAS/EVIDENCIAS DEL REPOSITORIO DE CÓDIGO Y DEL MODELO DE BASE DE DATOS]</w:t>
      </w:r>
    </w:p>
    <w:p>
      <w:pPr>
        <w:pStyle w:val="ListBullet"/>
        <w:spacing w:after="60"/>
      </w:pPr>
      <w:r>
        <w:t>Anexo C: Enlace funcional del sitio web.</w:t>
      </w:r>
    </w:p>
    <w:p>
      <w:pPr>
        <w:spacing w:after="160" w:before="80"/>
      </w:pPr>
      <w:r>
        <w:rPr>
          <w:b/>
          <w:i/>
          <w:color w:val="B00020"/>
        </w:rPr>
        <w:t>[AQUÍ VA EL ENLACE AL SITIO WEB DESPLEGADO, SI YA ESTÁ EN PRODUCCIÓN]</w:t>
      </w:r>
    </w:p>
    <w:p>
      <w:pPr>
        <w:pStyle w:val="ListBullet"/>
        <w:spacing w:after="60"/>
      </w:pPr>
      <w:r>
        <w:t>Anexo D: Instrumentos de validación aplicados.</w:t>
      </w:r>
    </w:p>
    <w:p>
      <w:pPr>
        <w:spacing w:after="160" w:before="80"/>
      </w:pPr>
      <w:r>
        <w:rPr>
          <w:b/>
          <w:i/>
          <w:color w:val="B00020"/>
        </w:rPr>
        <w:t>[AQUÍ VAN LOS CUESTIONARIOS/GUIONES DE ENTREVISTA UTILIZADOS PARA VALIDAR EL PROYECTO CON USUARIOS REALES]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