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2"/>
        </w:rPr>
        <w:t>Tabela 1 — Desempenho comparativo dos algoritmos no conjunto de teste</w:t>
        <w:br/>
        <w:t>TREC 2007 Public Spam Corpus · Recorte de 150 palavras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835"/>
            <w:shd w:val="clear" w:color="auto" w:fill="1C2B4A"/>
            <w:tcBorders>
              <w:top w:val="single" w:sz="4" w:space="0" w:color="1C2B4A"/>
              <w:left w:val="single" w:sz="4" w:space="0" w:color="1C2B4A"/>
              <w:bottom w:val="single" w:sz="4" w:space="0" w:color="1C2B4A"/>
              <w:right w:val="single" w:sz="4" w:space="0" w:color="1C2B4A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Algoritmo</w:t>
            </w:r>
          </w:p>
        </w:tc>
        <w:tc>
          <w:tcPr>
            <w:tcW w:type="dxa" w:w="1247"/>
            <w:shd w:val="clear" w:color="auto" w:fill="1C2B4A"/>
            <w:tcBorders>
              <w:top w:val="single" w:sz="4" w:space="0" w:color="1C2B4A"/>
              <w:left w:val="single" w:sz="4" w:space="0" w:color="1C2B4A"/>
              <w:bottom w:val="single" w:sz="4" w:space="0" w:color="1C2B4A"/>
              <w:right w:val="single" w:sz="4" w:space="0" w:color="1C2B4A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Acurácia</w:t>
            </w:r>
          </w:p>
        </w:tc>
        <w:tc>
          <w:tcPr>
            <w:tcW w:type="dxa" w:w="1247"/>
            <w:shd w:val="clear" w:color="auto" w:fill="1C2B4A"/>
            <w:tcBorders>
              <w:top w:val="single" w:sz="4" w:space="0" w:color="1C2B4A"/>
              <w:left w:val="single" w:sz="4" w:space="0" w:color="1C2B4A"/>
              <w:bottom w:val="single" w:sz="4" w:space="0" w:color="1C2B4A"/>
              <w:right w:val="single" w:sz="4" w:space="0" w:color="1C2B4A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Precisão</w:t>
            </w:r>
          </w:p>
        </w:tc>
        <w:tc>
          <w:tcPr>
            <w:tcW w:type="dxa" w:w="1247"/>
            <w:shd w:val="clear" w:color="auto" w:fill="1C2B4A"/>
            <w:tcBorders>
              <w:top w:val="single" w:sz="4" w:space="0" w:color="1C2B4A"/>
              <w:left w:val="single" w:sz="4" w:space="0" w:color="1C2B4A"/>
              <w:bottom w:val="single" w:sz="4" w:space="0" w:color="1C2B4A"/>
              <w:right w:val="single" w:sz="4" w:space="0" w:color="1C2B4A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247"/>
            <w:shd w:val="clear" w:color="auto" w:fill="1C2B4A"/>
            <w:tcBorders>
              <w:top w:val="single" w:sz="4" w:space="0" w:color="1C2B4A"/>
              <w:left w:val="single" w:sz="4" w:space="0" w:color="1C2B4A"/>
              <w:bottom w:val="single" w:sz="4" w:space="0" w:color="1C2B4A"/>
              <w:right w:val="single" w:sz="4" w:space="0" w:color="1C2B4A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2835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Random Forest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0,9930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0,9932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0,9962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0,9947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SVM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0,9927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0,9932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0,9957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0,9944</w:t>
            </w:r>
          </w:p>
        </w:tc>
      </w:tr>
      <w:tr>
        <w:tc>
          <w:tcPr>
            <w:tcW w:type="dxa" w:w="2835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Regressão Logística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0,9894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0,9888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0,9951</w:t>
            </w:r>
          </w:p>
        </w:tc>
        <w:tc>
          <w:tcPr>
            <w:tcW w:type="dxa" w:w="1247"/>
            <w:shd w:val="clear" w:color="auto" w:fill="F0F4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0,9919</w:t>
            </w:r>
          </w:p>
        </w:tc>
      </w:tr>
      <w:tr>
        <w:tc>
          <w:tcPr>
            <w:tcW w:type="dxa" w:w="2835"/>
            <w:shd w:val="clear" w:color="auto" w:fill="FEF2F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Naive Bayes</w:t>
            </w:r>
          </w:p>
        </w:tc>
        <w:tc>
          <w:tcPr>
            <w:tcW w:type="dxa" w:w="1247"/>
            <w:shd w:val="clear" w:color="auto" w:fill="FEF2F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0,9528</w:t>
            </w:r>
          </w:p>
        </w:tc>
        <w:tc>
          <w:tcPr>
            <w:tcW w:type="dxa" w:w="1247"/>
            <w:shd w:val="clear" w:color="auto" w:fill="FEF2F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0,9948</w:t>
            </w:r>
          </w:p>
        </w:tc>
        <w:tc>
          <w:tcPr>
            <w:tcW w:type="dxa" w:w="1247"/>
            <w:shd w:val="clear" w:color="auto" w:fill="FEF2F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0,9331</w:t>
            </w:r>
          </w:p>
        </w:tc>
        <w:tc>
          <w:tcPr>
            <w:tcW w:type="dxa" w:w="1247"/>
            <w:shd w:val="clear" w:color="auto" w:fill="FEF2F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0,9630</w:t>
            </w:r>
          </w:p>
        </w:tc>
      </w:tr>
    </w:tbl>
    <w:p>
      <w:pPr>
        <w:jc w:val="center"/>
      </w:pPr>
      <w:r>
        <w:rPr>
          <w:rFonts w:ascii="Times New Roman" w:hAnsi="Times New Roman"/>
          <w:i/>
          <w:sz w:val="18"/>
        </w:rPr>
        <w:t>Fonte: Elaborado pelo autor.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