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CSU-12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- Gerar Relatório de fluxo de Caixa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Principal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Importância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60 (Risco Baixo e Prioridade Baixa)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Realizar relatórios contendo todas as informações relacionadas ao fluxo do caixa do hotel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secundário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-Ter realizado rotina de autenticação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CSU-01 Autenticar Usuário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-Visualização de informações em formato de relatório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234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Ator seleciona aba Relatórios na tela Principal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02 (Tela Principal - Quartos - Livres), Tela 03 (Tela Principal - Quartos - Ocupados), Tela 04 (Tela Principal - Quartos - Todos)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Ator seleciona a opção Fluxo de Caixa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43 REALATORIO FLUXO DE CAIXA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pressiona o botão Gerar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Sistema exibe listagem contendo dados do relatório 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 Ator seleciona a opção de formato desejado para salvar o relatório: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PDF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XML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EXCEL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EMAIL 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keepNext w:val="1"/>
              <w:keepLines w:val="1"/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bookmarkStart w:id="0" w:colFirst="0" w:name="h.ntdcxqf5vicr" w:colLast="0"/>
            <w:bookmarkEnd w:id="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Linha 3: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 Falha no acesso ao banco de dados: o sistema cancela exibição e exibe mensagem “Erro ao tentar obter dados”, retorna ao passo 2</w:t>
            </w:r>
          </w:p>
          <w:p w:rsidP="00000000" w:rsidRPr="00000000" w:rsidR="00000000" w:rsidDel="00000000" w:rsidRDefault="00000000">
            <w:pPr>
              <w:pStyle w:val="Heading2"/>
              <w:keepNext w:val="1"/>
              <w:keepLines w:val="1"/>
              <w:widowControl w:val="0"/>
              <w:spacing w:lineRule="auto" w:after="80" w:line="240" w:before="360"/>
              <w:contextualSpacing w:val="0"/>
            </w:pPr>
            <w:bookmarkStart w:id="1" w:colFirst="0" w:name="h.f1o6jau7wgnw" w:colLast="0"/>
            <w:bookmarkEnd w:id="1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55"/>
        <w:gridCol w:w="3195"/>
        <w:gridCol w:w="4110"/>
        <w:tblGridChange w:id="0">
          <w:tblGrid>
            <w:gridCol w:w="2055"/>
            <w:gridCol w:w="3195"/>
            <w:gridCol w:w="4110"/>
          </w:tblGrid>
        </w:tblGridChange>
      </w:tblGrid>
      <w:tr>
        <w:trPr>
          <w:trHeight w:val="48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8"/>
                <w:rtl w:val="0"/>
              </w:rPr>
              <w:t xml:space="preserve">Histórico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8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8"/>
                <w:rtl w:val="0"/>
              </w:rPr>
              <w:t xml:space="preserve">Pessoa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8"/>
                <w:rtl w:val="0"/>
              </w:rPr>
              <w:t xml:space="preserve">Alteração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8"/>
                <w:rtl w:val="0"/>
              </w:rPr>
              <w:t xml:space="preserve">05/01/2015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8"/>
                <w:rtl w:val="0"/>
              </w:rPr>
              <w:t xml:space="preserve">Brendel Santos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8"/>
                <w:rtl w:val="0"/>
              </w:rPr>
              <w:t xml:space="preserve">Criação do caso de uso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CSU-12 - Gerar Relatório Periódico de Fluxo de Caixa.docx</dc:title>
</cp:coreProperties>
</file>