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</w:pPr>
      <w:r>
        <w:rPr>
          <w:rFonts w:eastAsia="Times New Roman" w:cs="Times New Roman" w:ascii="Times New Roman" w:hAnsi="Times New Roman"/>
          <w:b/>
          <w:color w:val="FF0000"/>
          <w:sz w:val="36"/>
        </w:rPr>
        <w:t xml:space="preserve">CSU-14 </w:t>
      </w:r>
      <w:r>
        <w:rPr>
          <w:rFonts w:eastAsia="Times New Roman" w:cs="Times New Roman" w:ascii="Times New Roman" w:hAnsi="Times New Roman"/>
          <w:b/>
          <w:sz w:val="36"/>
        </w:rPr>
        <w:t>- Gerenciar Despesas de Cliente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rFonts w:eastAsia="Times New Roman" w:cs="Times New Roman" w:ascii="Times New Roman" w:hAnsi="Times New Roman"/>
          <w:b/>
          <w:sz w:val="24"/>
        </w:rPr>
        <w:t xml:space="preserve">Seção: </w:t>
      </w:r>
      <w:r>
        <w:rPr>
          <w:rFonts w:eastAsia="Times New Roman" w:cs="Times New Roman" w:ascii="Times New Roman" w:hAnsi="Times New Roman"/>
          <w:sz w:val="24"/>
        </w:rPr>
        <w:t>Principal</w:t>
      </w:r>
      <w:r/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689"/>
        <w:gridCol w:w="5670"/>
      </w:tblGrid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Importância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80 (Risco Alto e Prioridade Alta)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Sumário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O Recepcionista deve realizar ações referentes as atividades financeiras de um hóspede, como pagar ou estornar despesas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Ator primário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Recepcionista do hotel.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Ator secundário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Pré-Condição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- Ter realizado rotina de autenticação no sistema conforme rotina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CSU-01 Autenticar Usuário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Selecionar hóspede cadastrado na tela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 xml:space="preserve">Principal - 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>ver Tela 13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Pós-Condição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-Despesas do cliente quitadas ou estornadas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 Principal</w:t>
            </w:r>
            <w:r/>
          </w:p>
        </w:tc>
      </w:tr>
      <w:tr>
        <w:trPr>
          <w:trHeight w:val="600" w:hRule="atLeast"/>
        </w:trPr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1. Ator seleciona botão Despesas na tela Principal &gt; Clientes 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2. Sistema abre tela Despesas, listando as despesas de um cliente com informações referentes a gastos com diárias e serviços.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3. Ator seleciona uma opção disponível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4. Caso seja: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59"/>
              <w:contextualSpacing/>
              <w:rPr>
                <w:sz w:val="24"/>
                <w:u w:val="none"/>
                <w:sz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Efetuar Pagamento -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>Ver CS02 Efetuar Pagamento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59"/>
              <w:contextualSpacing/>
              <w:rPr>
                <w:sz w:val="24"/>
                <w:sz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Estornar Despesa -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>ver Seção Estornar Despesa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5. Sistema retorna ao passo 2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Fluxos Alternativos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360" w:after="80"/>
              <w:ind w:left="720" w:right="0" w:hanging="359"/>
              <w:contextualSpacing/>
              <w:rPr>
                <w:sz w:val="24"/>
                <w:b/>
                <w:sz w:val="24"/>
                <w:b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Linha 3</w:t>
            </w:r>
            <w:r>
              <w:rPr>
                <w:rFonts w:eastAsia="Times New Roman" w:cs="Times New Roman" w:ascii="Times New Roman" w:hAnsi="Times New Roman"/>
                <w:sz w:val="24"/>
              </w:rPr>
              <w:t>: Ator desiste do procedimento e retorna a tela anterior pressionando o botão Voltar.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Fluxos de Exceção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 xml:space="preserve">Seção: </w:t>
      </w:r>
      <w:r>
        <w:rPr/>
        <w:t>Estornar Despesa</w:t>
      </w:r>
      <w:r/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689"/>
        <w:gridCol w:w="5670"/>
      </w:tblGrid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 Principal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1. Ator seleciona item a ser estornado na lista de despesas pendentes e pressiona o botão “Estornar Despesa”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2. Sistema exibe tela com mensagem “Por favor, justifique sua solicitação”</w:t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3. Ator informa motivo pelo qual solicita estorno de despesa e pressiona o botão Confirmar</w:t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3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</w:rPr>
              <w:t>4. Sistema remove despesas da lista de despesas pendentes do hóspede e exibe mensagem “Operação realizada com sucesso” e retorna para a tela Gerenciar Despesas Hóspede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Fluxos Alternativos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360" w:after="80"/>
              <w:ind w:left="720" w:right="0" w:hanging="359"/>
              <w:contextualSpacing/>
              <w:rPr>
                <w:sz w:val="24"/>
                <w:b/>
                <w:sz w:val="24"/>
                <w:b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Linha 1</w:t>
            </w:r>
            <w:r>
              <w:rPr>
                <w:rFonts w:eastAsia="Times New Roman" w:cs="Times New Roman" w:ascii="Times New Roman" w:hAnsi="Times New Roman"/>
                <w:sz w:val="24"/>
              </w:rPr>
              <w:t>: Ator desiste do procedimento e retorna a tela anterior pressionando o botão Voltar.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Fluxos de Exceção</w:t>
            </w:r>
            <w:r/>
          </w:p>
        </w:tc>
      </w:tr>
      <w:tr>
        <w:trPr>
          <w:trHeight w:val="480" w:hRule="atLeast"/>
        </w:trPr>
        <w:tc>
          <w:tcPr>
            <w:tcW w:w="9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right="0" w:hanging="359"/>
              <w:contextualSpacing/>
              <w:rPr>
                <w:sz w:val="24"/>
                <w:sz w:val="24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Linha 4: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Sistema não efetua operação de estorno de despesas na conta do cliente e informa “Ocorreu um erro. Por favor, tente novamente” e retorna a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 xml:space="preserve">Tela 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>1</w:t>
            </w:r>
            <w:r>
              <w:rPr>
                <w:rFonts w:eastAsia="Times New Roman" w:cs="Times New Roman" w:ascii="Times New Roman" w:hAnsi="Times New Roman"/>
                <w:color w:val="FF0000"/>
                <w:sz w:val="24"/>
              </w:rPr>
              <w:t>3 Consultar Cliente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rPr>
      <w:u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LibreOffice/4.3.5.2$Windows_x86 LibreOffice_project/3a87456aaa6a95c63eea1c1b3201acedf0751bd5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2015-01-30T21:49:04Z</dcterms:modified>
  <cp:revision>1</cp:revision>
  <dc:title>[OBSOLETO] CSU-11 - Gerenciar Despesas de Cliente.docx</dc:title>
</cp:coreProperties>
</file>