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0D698" w14:textId="77777777" w:rsidR="00136A70" w:rsidRDefault="00136A70" w:rsidP="00136A70">
      <w:r w:rsidRPr="00136A70">
        <w:t xml:space="preserve">Tablice partycjonowania to struktury danych używane do zarządzania przestrzenią dyskową na dyskach twardych i SSD. Pozwalają one na podział dysku na mniejsze, </w:t>
      </w:r>
      <w:proofErr w:type="spellStart"/>
      <w:r w:rsidRPr="00136A70">
        <w:t>zarządzalne</w:t>
      </w:r>
      <w:proofErr w:type="spellEnd"/>
      <w:r w:rsidRPr="00136A70">
        <w:t xml:space="preserve"> części zwane partycjami.</w:t>
      </w:r>
    </w:p>
    <w:p w14:paraId="19D9EE22" w14:textId="42F49F52" w:rsidR="00136A70" w:rsidRPr="00136A70" w:rsidRDefault="00136A70" w:rsidP="00136A70">
      <w:r w:rsidRPr="00136A70">
        <w:t>Dzielenie dysków na partycje może przynieść kilka korzyści:</w:t>
      </w:r>
    </w:p>
    <w:p w14:paraId="58913B9B" w14:textId="77777777" w:rsidR="00136A70" w:rsidRPr="00136A70" w:rsidRDefault="00136A70" w:rsidP="00136A70">
      <w:pPr>
        <w:numPr>
          <w:ilvl w:val="0"/>
          <w:numId w:val="2"/>
        </w:numPr>
      </w:pPr>
      <w:r w:rsidRPr="00136A70">
        <w:rPr>
          <w:b/>
          <w:bCs/>
        </w:rPr>
        <w:t>Większy porządek</w:t>
      </w:r>
      <w:r w:rsidRPr="00136A70">
        <w:t>: Podzielenie dysku na partycje może pomóc w organizacji plików. Na przykład, możesz mieć jedną partycję na system operacyjny i sterowniki, drugą na materiały produkcyjne (dokumenty, skrypty, grafiki, modele 3D), trzecią na programy, a czwartą na gry.</w:t>
      </w:r>
    </w:p>
    <w:p w14:paraId="56A89E6C" w14:textId="77777777" w:rsidR="00136A70" w:rsidRPr="00136A70" w:rsidRDefault="00136A70" w:rsidP="00136A70">
      <w:pPr>
        <w:numPr>
          <w:ilvl w:val="0"/>
          <w:numId w:val="2"/>
        </w:numPr>
      </w:pPr>
      <w:r w:rsidRPr="00136A70">
        <w:rPr>
          <w:b/>
          <w:bCs/>
        </w:rPr>
        <w:t>Zwiększone bezpieczeństwo</w:t>
      </w:r>
      <w:r w:rsidRPr="00136A70">
        <w:t>: Partycje mogą zwiększyć bezpieczeństwo danych. Możesz ustawić bardziej rygorystyczne zabezpieczenia na partycji z ważnymi dokumentami, nadając im hasło i szyfrując je.</w:t>
      </w:r>
    </w:p>
    <w:p w14:paraId="1DD26B68" w14:textId="77777777" w:rsidR="00136A70" w:rsidRPr="00136A70" w:rsidRDefault="00136A70" w:rsidP="00136A70">
      <w:pPr>
        <w:numPr>
          <w:ilvl w:val="0"/>
          <w:numId w:val="2"/>
        </w:numPr>
      </w:pPr>
      <w:r w:rsidRPr="00136A70">
        <w:rPr>
          <w:b/>
          <w:bCs/>
        </w:rPr>
        <w:t>Łatwiejsze tworzenie kopii zapasowych</w:t>
      </w:r>
      <w:r w:rsidRPr="00136A70">
        <w:t>: Tworzenie kopii zapasowych jest prostsze, gdy dane są podzielone na partycje. Możesz tworzyć kopie zapasowe tylko najważniejszych danych, zamiast całego dysku. Przykładowo kopiujesz tylko dokumenty, zdjęcia i zapisy gier. Resztę można zawsze zainstalować, a twoje pliki mogą przepaść na zawsze, gdy postanowisz odświeżyć system.</w:t>
      </w:r>
    </w:p>
    <w:p w14:paraId="2C6F23EA" w14:textId="77777777" w:rsidR="00136A70" w:rsidRPr="00136A70" w:rsidRDefault="00136A70" w:rsidP="00136A70">
      <w:pPr>
        <w:numPr>
          <w:ilvl w:val="0"/>
          <w:numId w:val="2"/>
        </w:numPr>
      </w:pPr>
      <w:r w:rsidRPr="00136A70">
        <w:rPr>
          <w:b/>
          <w:bCs/>
        </w:rPr>
        <w:t>Dual-</w:t>
      </w:r>
      <w:proofErr w:type="spellStart"/>
      <w:r w:rsidRPr="00136A70">
        <w:rPr>
          <w:b/>
          <w:bCs/>
        </w:rPr>
        <w:t>booting</w:t>
      </w:r>
      <w:proofErr w:type="spellEnd"/>
      <w:r w:rsidRPr="00136A70">
        <w:t>: Jeśli chcesz mieć na swoim komputerze więcej niż jeden system operacyjny, partycjonowanie dysku jest konieczne. Każdy system operacyjny może być zainstalowany na osobnej partycji. Pozwala ci to uniknąć konieczności posiadania oddzielnego dysku dla każdego systemu.</w:t>
      </w:r>
    </w:p>
    <w:p w14:paraId="514C6B7A" w14:textId="217BE9D7" w:rsidR="00136A70" w:rsidRDefault="00136A70" w:rsidP="00136A70">
      <w:r>
        <w:t xml:space="preserve">W ramach wstępu, istnieje pięć rodzaj struktur </w:t>
      </w:r>
      <w:r w:rsidR="00CC00E3">
        <w:t xml:space="preserve">danych </w:t>
      </w:r>
      <w:r>
        <w:t>tablic partycjonowania:</w:t>
      </w:r>
    </w:p>
    <w:p w14:paraId="12C7BC36" w14:textId="7BC3F983" w:rsidR="004452D9" w:rsidRDefault="00136A70" w:rsidP="00136A70">
      <w:pPr>
        <w:pStyle w:val="Akapitzlist"/>
        <w:numPr>
          <w:ilvl w:val="0"/>
          <w:numId w:val="3"/>
        </w:numPr>
      </w:pPr>
      <w:r>
        <w:t xml:space="preserve"> </w:t>
      </w:r>
      <w:r w:rsidRPr="00136A70">
        <w:t xml:space="preserve">Apple </w:t>
      </w:r>
      <w:proofErr w:type="spellStart"/>
      <w:r w:rsidRPr="00136A70">
        <w:t>Partition</w:t>
      </w:r>
      <w:proofErr w:type="spellEnd"/>
      <w:r w:rsidRPr="00136A70">
        <w:t xml:space="preserve"> Map (APM)</w:t>
      </w:r>
    </w:p>
    <w:p w14:paraId="7AAB60AB" w14:textId="3217C163" w:rsidR="00136A70" w:rsidRDefault="00136A70" w:rsidP="00136A70">
      <w:pPr>
        <w:pStyle w:val="Akapitzlist"/>
        <w:numPr>
          <w:ilvl w:val="0"/>
          <w:numId w:val="3"/>
        </w:numPr>
      </w:pPr>
      <w:r w:rsidRPr="00136A70">
        <w:t xml:space="preserve">BSD </w:t>
      </w:r>
      <w:proofErr w:type="spellStart"/>
      <w:r w:rsidRPr="00136A70">
        <w:t>Disklabel</w:t>
      </w:r>
      <w:proofErr w:type="spellEnd"/>
    </w:p>
    <w:p w14:paraId="6AD3E979" w14:textId="1FE0855C" w:rsidR="00136A70" w:rsidRDefault="00136A70" w:rsidP="00136A70">
      <w:pPr>
        <w:pStyle w:val="Akapitzlist"/>
        <w:numPr>
          <w:ilvl w:val="0"/>
          <w:numId w:val="3"/>
        </w:numPr>
      </w:pPr>
      <w:r w:rsidRPr="00136A70">
        <w:t xml:space="preserve">Master </w:t>
      </w:r>
      <w:proofErr w:type="spellStart"/>
      <w:r w:rsidRPr="00136A70">
        <w:t>Boot</w:t>
      </w:r>
      <w:proofErr w:type="spellEnd"/>
      <w:r w:rsidRPr="00136A70">
        <w:t xml:space="preserve"> </w:t>
      </w:r>
      <w:proofErr w:type="spellStart"/>
      <w:r w:rsidRPr="00136A70">
        <w:t>Record</w:t>
      </w:r>
      <w:proofErr w:type="spellEnd"/>
      <w:r w:rsidRPr="00136A70">
        <w:t xml:space="preserve"> (MBR)</w:t>
      </w:r>
    </w:p>
    <w:p w14:paraId="2AE32320" w14:textId="77777777" w:rsidR="00450B3A" w:rsidRDefault="00136A70" w:rsidP="00450B3A">
      <w:pPr>
        <w:pStyle w:val="Akapitzlist"/>
        <w:numPr>
          <w:ilvl w:val="0"/>
          <w:numId w:val="3"/>
        </w:numPr>
      </w:pPr>
      <w:r w:rsidRPr="00136A70">
        <w:t xml:space="preserve">GUID </w:t>
      </w:r>
      <w:proofErr w:type="spellStart"/>
      <w:r w:rsidRPr="00136A70">
        <w:t>Partition</w:t>
      </w:r>
      <w:proofErr w:type="spellEnd"/>
      <w:r w:rsidRPr="00136A70">
        <w:t xml:space="preserve"> </w:t>
      </w:r>
      <w:proofErr w:type="spellStart"/>
      <w:r w:rsidRPr="00136A70">
        <w:t>Table</w:t>
      </w:r>
      <w:proofErr w:type="spellEnd"/>
      <w:r w:rsidRPr="00136A70">
        <w:t xml:space="preserve"> (GPT)</w:t>
      </w:r>
    </w:p>
    <w:p w14:paraId="26E9A640" w14:textId="3415296E" w:rsidR="00136A70" w:rsidRDefault="00CC00E3" w:rsidP="00450B3A">
      <w:r>
        <w:t>Mało prawdopodobne że spotkasz się z dwiema pierwszymi, zwłaszcza że nowsze OSX-y korzystają z GPT, a systemy BSD są skrajnie mało popularnymi systemami Unixowymi.</w:t>
      </w:r>
    </w:p>
    <w:p w14:paraId="7F35E0A4" w14:textId="77777777" w:rsidR="008633F4" w:rsidRDefault="008633F4"/>
    <w:p w14:paraId="52F4158A" w14:textId="77777777" w:rsidR="008633F4" w:rsidRDefault="008633F4"/>
    <w:p w14:paraId="740DA1E8" w14:textId="77777777" w:rsidR="008633F4" w:rsidRDefault="008633F4"/>
    <w:p w14:paraId="5DBADF78" w14:textId="77777777" w:rsidR="008633F4" w:rsidRDefault="008633F4"/>
    <w:p w14:paraId="7933C184" w14:textId="77777777" w:rsidR="008633F4" w:rsidRDefault="008633F4"/>
    <w:p w14:paraId="33718E58" w14:textId="77777777" w:rsidR="008633F4" w:rsidRDefault="008633F4"/>
    <w:p w14:paraId="50BE4021" w14:textId="15417EE4" w:rsidR="00CC00E3" w:rsidRDefault="00CC00E3" w:rsidP="00CC00E3">
      <w:pPr>
        <w:pStyle w:val="Nagwek2"/>
      </w:pPr>
      <w:r w:rsidRPr="00136A70">
        <w:lastRenderedPageBreak/>
        <w:t xml:space="preserve">Master </w:t>
      </w:r>
      <w:proofErr w:type="spellStart"/>
      <w:r w:rsidRPr="00136A70">
        <w:t>Boot</w:t>
      </w:r>
      <w:proofErr w:type="spellEnd"/>
      <w:r w:rsidRPr="00136A70">
        <w:t xml:space="preserve"> </w:t>
      </w:r>
      <w:proofErr w:type="spellStart"/>
      <w:r w:rsidRPr="00136A70">
        <w:t>Record</w:t>
      </w:r>
      <w:proofErr w:type="spellEnd"/>
      <w:r w:rsidRPr="00136A70">
        <w:t xml:space="preserve"> (MBR)</w:t>
      </w:r>
    </w:p>
    <w:p w14:paraId="7A6ED6F7" w14:textId="10F613C5" w:rsidR="008633F4" w:rsidRDefault="008633F4" w:rsidP="008633F4">
      <w:r>
        <w:t xml:space="preserve">Gdy zdecydujesz się na strukturę tablicy partycjonowania MBR, pierwszy sektor będzie zawierał poniższy 512 bajtowy rekord rozruchowy. </w:t>
      </w:r>
    </w:p>
    <w:p w14:paraId="7531FB09" w14:textId="08288792" w:rsidR="00C67E18" w:rsidRDefault="00C67E18" w:rsidP="00E040F0">
      <w:pPr>
        <w:pStyle w:val="Akapitzlist"/>
        <w:numPr>
          <w:ilvl w:val="0"/>
          <w:numId w:val="7"/>
        </w:numPr>
      </w:pPr>
      <w:proofErr w:type="spellStart"/>
      <w:r w:rsidRPr="00E040F0">
        <w:rPr>
          <w:b/>
          <w:bCs/>
        </w:rPr>
        <w:t>Bootloader</w:t>
      </w:r>
      <w:proofErr w:type="spellEnd"/>
      <w:r>
        <w:t xml:space="preserve"> analizuje która partycja jest aktywna i zdatna do </w:t>
      </w:r>
      <w:proofErr w:type="spellStart"/>
      <w:r>
        <w:t>zbootowania</w:t>
      </w:r>
      <w:proofErr w:type="spellEnd"/>
      <w:r>
        <w:t xml:space="preserve"> czyli np.: zawiera system operacyjny.</w:t>
      </w:r>
    </w:p>
    <w:p w14:paraId="280AFB43" w14:textId="6B2A879D" w:rsidR="00C67E18" w:rsidRDefault="00C67E18" w:rsidP="00E040F0">
      <w:pPr>
        <w:pStyle w:val="Akapitzlist"/>
        <w:numPr>
          <w:ilvl w:val="0"/>
          <w:numId w:val="7"/>
        </w:numPr>
      </w:pPr>
      <w:r w:rsidRPr="00E040F0">
        <w:rPr>
          <w:b/>
          <w:bCs/>
        </w:rPr>
        <w:t>Sygnatura dysku</w:t>
      </w:r>
      <w:r>
        <w:t xml:space="preserve"> zawiera unikalny identyfikator dysku, wykorzystywanym przez system do zarządzania wieloma dyskami.</w:t>
      </w:r>
    </w:p>
    <w:p w14:paraId="26547856" w14:textId="24056D8E" w:rsidR="00C67E18" w:rsidRDefault="00C67E18" w:rsidP="00E040F0">
      <w:pPr>
        <w:pStyle w:val="Akapitzlist"/>
        <w:numPr>
          <w:ilvl w:val="0"/>
          <w:numId w:val="7"/>
        </w:numPr>
      </w:pPr>
      <w:r w:rsidRPr="00E040F0">
        <w:rPr>
          <w:b/>
          <w:bCs/>
        </w:rPr>
        <w:t>Puste bajty</w:t>
      </w:r>
      <w:r>
        <w:t xml:space="preserve"> to taki bufor pozycyjny dla reszty danych może być wykorzystany do przesunięcia konkretnych innych bajtów na oczekiwany adres.</w:t>
      </w:r>
    </w:p>
    <w:p w14:paraId="205C04DB" w14:textId="13AC0080" w:rsidR="00C67E18" w:rsidRDefault="00C67E18" w:rsidP="00E040F0">
      <w:pPr>
        <w:pStyle w:val="Akapitzlist"/>
        <w:numPr>
          <w:ilvl w:val="0"/>
          <w:numId w:val="7"/>
        </w:numPr>
      </w:pPr>
      <w:r w:rsidRPr="00E040F0">
        <w:rPr>
          <w:b/>
          <w:bCs/>
        </w:rPr>
        <w:t>Wpisy o partycjach</w:t>
      </w:r>
      <w:r>
        <w:t xml:space="preserve"> przechowują informacje:</w:t>
      </w:r>
    </w:p>
    <w:p w14:paraId="1F3BE55D" w14:textId="4FC8C411" w:rsidR="00C67E18" w:rsidRDefault="00C67E18" w:rsidP="00E040F0">
      <w:pPr>
        <w:pStyle w:val="Akapitzlist"/>
        <w:numPr>
          <w:ilvl w:val="1"/>
          <w:numId w:val="7"/>
        </w:numPr>
      </w:pPr>
      <w:r>
        <w:t>rozmiarze danej partycji</w:t>
      </w:r>
    </w:p>
    <w:p w14:paraId="25F11450" w14:textId="21B8C161" w:rsidR="00C67E18" w:rsidRDefault="00C67E18" w:rsidP="00E040F0">
      <w:pPr>
        <w:pStyle w:val="Akapitzlist"/>
        <w:numPr>
          <w:ilvl w:val="1"/>
          <w:numId w:val="7"/>
        </w:numPr>
      </w:pPr>
      <w:r>
        <w:t>Typie danej partycji (podstawowa lub rozszerzona)</w:t>
      </w:r>
    </w:p>
    <w:p w14:paraId="21C0CB64" w14:textId="50798642" w:rsidR="00C67E18" w:rsidRDefault="00C67E18" w:rsidP="00E040F0">
      <w:pPr>
        <w:pStyle w:val="Akapitzlist"/>
        <w:numPr>
          <w:ilvl w:val="1"/>
          <w:numId w:val="7"/>
        </w:numPr>
      </w:pPr>
      <w:r>
        <w:t>Statusie bycia aktywną (zawierającą system)</w:t>
      </w:r>
    </w:p>
    <w:p w14:paraId="5FA6C5F6" w14:textId="62363196" w:rsidR="00C67E18" w:rsidRDefault="00C67E18" w:rsidP="00E040F0">
      <w:pPr>
        <w:pStyle w:val="Akapitzlist"/>
        <w:numPr>
          <w:ilvl w:val="1"/>
          <w:numId w:val="7"/>
        </w:numPr>
      </w:pPr>
      <w:r>
        <w:t xml:space="preserve">Lokalizacji początkowej </w:t>
      </w:r>
      <w:r>
        <w:t>danej partycji</w:t>
      </w:r>
      <w:r>
        <w:t xml:space="preserve"> </w:t>
      </w:r>
      <w:r>
        <w:t>na dysku</w:t>
      </w:r>
    </w:p>
    <w:p w14:paraId="1BE77A69" w14:textId="57F037B4" w:rsidR="00C67E18" w:rsidRDefault="00C67E18" w:rsidP="00E040F0">
      <w:pPr>
        <w:pStyle w:val="Akapitzlist"/>
        <w:numPr>
          <w:ilvl w:val="1"/>
          <w:numId w:val="7"/>
        </w:numPr>
      </w:pPr>
      <w:r>
        <w:t xml:space="preserve">Lokalizacji końcowej </w:t>
      </w:r>
      <w:r>
        <w:t xml:space="preserve">danej partycji </w:t>
      </w:r>
      <w:r>
        <w:t>na dysku</w:t>
      </w:r>
    </w:p>
    <w:p w14:paraId="0C6B9DC3" w14:textId="3FF2D609" w:rsidR="00C67E18" w:rsidRPr="008633F4" w:rsidRDefault="00C67E18" w:rsidP="00E040F0">
      <w:pPr>
        <w:pStyle w:val="Akapitzlist"/>
        <w:numPr>
          <w:ilvl w:val="0"/>
          <w:numId w:val="7"/>
        </w:numPr>
      </w:pPr>
      <w:r w:rsidRPr="00E040F0">
        <w:rPr>
          <w:b/>
          <w:bCs/>
        </w:rPr>
        <w:t xml:space="preserve">Sygnatura </w:t>
      </w:r>
      <w:r w:rsidR="00E040F0" w:rsidRPr="00E040F0">
        <w:rPr>
          <w:b/>
          <w:bCs/>
        </w:rPr>
        <w:t>rozruchowa</w:t>
      </w:r>
      <w:r w:rsidRPr="00E040F0">
        <w:rPr>
          <w:b/>
          <w:bCs/>
        </w:rPr>
        <w:t xml:space="preserve"> MBR</w:t>
      </w:r>
      <w:r>
        <w:t xml:space="preserve"> </w:t>
      </w:r>
      <w:r w:rsidR="00E040F0">
        <w:t xml:space="preserve">musi zawierać wartość </w:t>
      </w:r>
      <w:r w:rsidR="00E040F0" w:rsidRPr="00E040F0">
        <w:rPr>
          <w:b/>
          <w:bCs/>
        </w:rPr>
        <w:t>0x55AA</w:t>
      </w:r>
      <w:r w:rsidR="00E040F0">
        <w:t xml:space="preserve"> ponieważ tylko w takim wypadku system BIOS lub UEFI rozpoznaje sektor MBR </w:t>
      </w:r>
    </w:p>
    <w:p w14:paraId="5E473864" w14:textId="77777777" w:rsidR="008633F4" w:rsidRPr="008633F4" w:rsidRDefault="008633F4" w:rsidP="008633F4"/>
    <w:p w14:paraId="45054B81" w14:textId="334F5213" w:rsidR="00CC00E3" w:rsidRDefault="008633F4">
      <w:r w:rsidRPr="008633F4">
        <w:drawing>
          <wp:inline distT="0" distB="0" distL="0" distR="0" wp14:anchorId="050C6B49" wp14:editId="6E7F1CB3">
            <wp:extent cx="5760720" cy="3065780"/>
            <wp:effectExtent l="0" t="0" r="0" b="1270"/>
            <wp:docPr id="1688972523"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972523" name="Obraz 1" descr="Obraz zawierający tekst, zrzut ekranu, Czcionka&#10;&#10;Opis wygenerowany automatycznie"/>
                    <pic:cNvPicPr/>
                  </pic:nvPicPr>
                  <pic:blipFill>
                    <a:blip r:embed="rId5"/>
                    <a:stretch>
                      <a:fillRect/>
                    </a:stretch>
                  </pic:blipFill>
                  <pic:spPr>
                    <a:xfrm>
                      <a:off x="0" y="0"/>
                      <a:ext cx="5760720" cy="3065780"/>
                    </a:xfrm>
                    <a:prstGeom prst="rect">
                      <a:avLst/>
                    </a:prstGeom>
                  </pic:spPr>
                </pic:pic>
              </a:graphicData>
            </a:graphic>
          </wp:inline>
        </w:drawing>
      </w:r>
    </w:p>
    <w:p w14:paraId="143B17AB" w14:textId="77777777" w:rsidR="003A6CE3" w:rsidRDefault="003A6CE3" w:rsidP="003A6CE3"/>
    <w:p w14:paraId="546E67D0" w14:textId="77777777" w:rsidR="003A6CE3" w:rsidRDefault="003A6CE3" w:rsidP="003A6CE3"/>
    <w:p w14:paraId="2BE1EAF1" w14:textId="77777777" w:rsidR="003A6CE3" w:rsidRDefault="003A6CE3" w:rsidP="003A6CE3"/>
    <w:p w14:paraId="57EC6546" w14:textId="77777777" w:rsidR="003A6CE3" w:rsidRDefault="003A6CE3" w:rsidP="003A6CE3">
      <w:pPr>
        <w:ind w:left="360"/>
        <w:rPr>
          <w:b/>
          <w:bCs/>
        </w:rPr>
      </w:pPr>
      <w:r>
        <w:lastRenderedPageBreak/>
        <w:t xml:space="preserve">W strukturze tablicy </w:t>
      </w:r>
      <w:proofErr w:type="spellStart"/>
      <w:r>
        <w:t>partycjonopwanie</w:t>
      </w:r>
      <w:proofErr w:type="spellEnd"/>
      <w:r>
        <w:t xml:space="preserve"> MBR rozróżnia się trzy </w:t>
      </w:r>
      <w:proofErr w:type="spellStart"/>
      <w:r>
        <w:t>następującje</w:t>
      </w:r>
      <w:proofErr w:type="spellEnd"/>
      <w:r>
        <w:t xml:space="preserve"> typy partycji:</w:t>
      </w:r>
      <w:r>
        <w:br/>
      </w:r>
    </w:p>
    <w:p w14:paraId="38067578" w14:textId="3A07CA65" w:rsidR="003A6CE3" w:rsidRPr="003A6CE3" w:rsidRDefault="003A6CE3" w:rsidP="003A6CE3">
      <w:pPr>
        <w:pStyle w:val="Akapitzlist"/>
        <w:numPr>
          <w:ilvl w:val="0"/>
          <w:numId w:val="8"/>
        </w:numPr>
      </w:pPr>
      <w:r w:rsidRPr="003A6CE3">
        <w:rPr>
          <w:b/>
          <w:bCs/>
        </w:rPr>
        <w:t>Podstawowa partycja</w:t>
      </w:r>
      <w:r w:rsidRPr="003A6CE3">
        <w:t xml:space="preserve">: </w:t>
      </w:r>
      <w:proofErr w:type="spellStart"/>
      <w:r w:rsidRPr="003A6CE3">
        <w:t>Bootowalna</w:t>
      </w:r>
      <w:proofErr w:type="spellEnd"/>
      <w:r w:rsidRPr="003A6CE3">
        <w:t>, maksymalnie cztery na dysku, używana do systemów operacyjnych i ważnych danych.</w:t>
      </w:r>
    </w:p>
    <w:p w14:paraId="6AD55A2D" w14:textId="77777777" w:rsidR="003A6CE3" w:rsidRPr="003A6CE3" w:rsidRDefault="003A6CE3" w:rsidP="003A6CE3">
      <w:pPr>
        <w:numPr>
          <w:ilvl w:val="0"/>
          <w:numId w:val="8"/>
        </w:numPr>
      </w:pPr>
      <w:r w:rsidRPr="003A6CE3">
        <w:rPr>
          <w:b/>
          <w:bCs/>
        </w:rPr>
        <w:t>Rozszerzona partycja</w:t>
      </w:r>
      <w:r w:rsidRPr="003A6CE3">
        <w:t xml:space="preserve">: </w:t>
      </w:r>
      <w:proofErr w:type="spellStart"/>
      <w:r w:rsidRPr="003A6CE3">
        <w:t>Niebootowalna</w:t>
      </w:r>
      <w:proofErr w:type="spellEnd"/>
      <w:r w:rsidRPr="003A6CE3">
        <w:t>, tylko jedna na dysku, służy jako kontener dla partycji logicznych.</w:t>
      </w:r>
    </w:p>
    <w:p w14:paraId="15F16B88" w14:textId="7C7134C3" w:rsidR="003A6CE3" w:rsidRDefault="003A6CE3" w:rsidP="003A6CE3">
      <w:pPr>
        <w:numPr>
          <w:ilvl w:val="0"/>
          <w:numId w:val="8"/>
        </w:numPr>
      </w:pPr>
      <w:r w:rsidRPr="003A6CE3">
        <w:rPr>
          <w:b/>
          <w:bCs/>
        </w:rPr>
        <w:t>Partycja logiczna</w:t>
      </w:r>
      <w:r w:rsidRPr="003A6CE3">
        <w:t xml:space="preserve">: </w:t>
      </w:r>
      <w:proofErr w:type="spellStart"/>
      <w:r w:rsidRPr="003A6CE3">
        <w:t>Niebootowalna</w:t>
      </w:r>
      <w:proofErr w:type="spellEnd"/>
      <w:r w:rsidRPr="003A6CE3">
        <w:t>, wiele w ramach jednej rozszerzonej partycji, używana do przechowywania danych.</w:t>
      </w:r>
      <w:r>
        <w:t xml:space="preserve"> W ramach partycji rozszerzonej jest tworzony łańcuch EBR w którym każdy ostatni rekord partycji logicznej wskazuje na kolejną. EBR1 wskazuje na EBR2, EBR2 na EBR3 itd.</w:t>
      </w:r>
    </w:p>
    <w:p w14:paraId="78EAB1A3" w14:textId="77777777" w:rsidR="003A6CE3" w:rsidRDefault="003A6CE3" w:rsidP="003A6CE3">
      <w:pPr>
        <w:rPr>
          <w:b/>
          <w:bCs/>
        </w:rPr>
      </w:pPr>
    </w:p>
    <w:p w14:paraId="49A76EB0" w14:textId="0EB4C041" w:rsidR="003A6CE3" w:rsidRDefault="003A6CE3" w:rsidP="003A6CE3">
      <w:pPr>
        <w:rPr>
          <w:b/>
          <w:bCs/>
        </w:rPr>
      </w:pPr>
      <w:r w:rsidRPr="003A6CE3">
        <w:rPr>
          <w:b/>
          <w:bCs/>
        </w:rPr>
        <w:t xml:space="preserve">GPT (GUID </w:t>
      </w:r>
      <w:proofErr w:type="spellStart"/>
      <w:r w:rsidRPr="003A6CE3">
        <w:rPr>
          <w:b/>
          <w:bCs/>
        </w:rPr>
        <w:t>Partition</w:t>
      </w:r>
      <w:proofErr w:type="spellEnd"/>
      <w:r w:rsidRPr="003A6CE3">
        <w:rPr>
          <w:b/>
          <w:bCs/>
        </w:rPr>
        <w:t xml:space="preserve"> </w:t>
      </w:r>
      <w:proofErr w:type="spellStart"/>
      <w:r w:rsidRPr="003A6CE3">
        <w:rPr>
          <w:b/>
          <w:bCs/>
        </w:rPr>
        <w:t>Table</w:t>
      </w:r>
      <w:proofErr w:type="spellEnd"/>
      <w:r w:rsidRPr="003A6CE3">
        <w:rPr>
          <w:b/>
          <w:bCs/>
        </w:rPr>
        <w:t>)</w:t>
      </w:r>
    </w:p>
    <w:p w14:paraId="176D5715" w14:textId="46C05C3E" w:rsidR="00F8551B" w:rsidRDefault="00F8551B" w:rsidP="00F8551B">
      <w:r w:rsidRPr="00F8551B">
        <w:rPr>
          <w:b/>
          <w:bCs/>
        </w:rPr>
        <w:t>GPT</w:t>
      </w:r>
      <w:r>
        <w:t xml:space="preserve"> to nowoczesna struktura wypierająca </w:t>
      </w:r>
      <w:r w:rsidRPr="00F8551B">
        <w:rPr>
          <w:b/>
          <w:bCs/>
        </w:rPr>
        <w:t>MBR</w:t>
      </w:r>
      <w:r>
        <w:t xml:space="preserve"> i będąca częścią standardu </w:t>
      </w:r>
      <w:r w:rsidRPr="00F8551B">
        <w:rPr>
          <w:b/>
          <w:bCs/>
        </w:rPr>
        <w:t>UEFI</w:t>
      </w:r>
      <w:r>
        <w:t xml:space="preserve"> (</w:t>
      </w:r>
      <w:proofErr w:type="spellStart"/>
      <w:r w:rsidRPr="00F8551B">
        <w:rPr>
          <w:i/>
          <w:iCs/>
        </w:rPr>
        <w:t>Unified</w:t>
      </w:r>
      <w:proofErr w:type="spellEnd"/>
      <w:r w:rsidRPr="00F8551B">
        <w:rPr>
          <w:i/>
          <w:iCs/>
        </w:rPr>
        <w:t xml:space="preserve"> </w:t>
      </w:r>
      <w:proofErr w:type="spellStart"/>
      <w:r w:rsidRPr="00F8551B">
        <w:rPr>
          <w:i/>
          <w:iCs/>
        </w:rPr>
        <w:t>Extensible</w:t>
      </w:r>
      <w:proofErr w:type="spellEnd"/>
      <w:r w:rsidRPr="00F8551B">
        <w:rPr>
          <w:i/>
          <w:iCs/>
        </w:rPr>
        <w:t xml:space="preserve"> </w:t>
      </w:r>
      <w:proofErr w:type="spellStart"/>
      <w:r w:rsidRPr="00F8551B">
        <w:rPr>
          <w:i/>
          <w:iCs/>
        </w:rPr>
        <w:t>Firmware</w:t>
      </w:r>
      <w:proofErr w:type="spellEnd"/>
      <w:r w:rsidRPr="00F8551B">
        <w:rPr>
          <w:i/>
          <w:iCs/>
        </w:rPr>
        <w:t xml:space="preserve"> Interface</w:t>
      </w:r>
      <w:r>
        <w:t xml:space="preserve">), który jest następcą tradycyjnego </w:t>
      </w:r>
      <w:r w:rsidRPr="00F8551B">
        <w:rPr>
          <w:b/>
          <w:bCs/>
        </w:rPr>
        <w:t>BIOS</w:t>
      </w:r>
      <w:r>
        <w:t>-u</w:t>
      </w:r>
      <w:r>
        <w:t>.</w:t>
      </w:r>
    </w:p>
    <w:p w14:paraId="2D22B485" w14:textId="6BF99B8E" w:rsidR="00F8551B" w:rsidRDefault="00F8551B" w:rsidP="00F8551B">
      <w:pPr>
        <w:rPr>
          <w:noProof/>
        </w:rPr>
      </w:pPr>
      <w:r>
        <w:t>Powstał głównie przez problematykę płynącą z ograniczenia MBR-a do maksymalnie 4 partycji podstawowych na jednym dysku. W GPT zrezygnowano z podziału na typy partycji tak jak w MBR i każda z maksymalnie 128 partycji jest sobie równorzędna.</w:t>
      </w:r>
      <w:r>
        <w:br/>
        <w:t xml:space="preserve">Dodatkowo pozbyto się problemu nadpisywania rekordu rozruchowego dodając na końcu dysku kopię zapasową struktury.  Z racji na powszechne użycie MBR w infrastrukturach komputerowych niezbędne było zastosowanie kompatybilności wstecznej z systemami obsługującymi tylko i wyłącznie MBR oraz sprzętem nie </w:t>
      </w:r>
      <w:r>
        <w:lastRenderedPageBreak/>
        <w:t>wspierającym UEFI.</w:t>
      </w:r>
      <w:r w:rsidR="00891BB5" w:rsidRPr="00891BB5">
        <w:rPr>
          <w:noProof/>
        </w:rPr>
        <w:t xml:space="preserve"> </w:t>
      </w:r>
      <w:r w:rsidR="00891BB5" w:rsidRPr="00891BB5">
        <w:drawing>
          <wp:inline distT="0" distB="0" distL="0" distR="0" wp14:anchorId="13FE83A7" wp14:editId="71C18CAA">
            <wp:extent cx="5760720" cy="7920990"/>
            <wp:effectExtent l="0" t="0" r="0" b="3810"/>
            <wp:docPr id="926462276"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62276" name="Obraz 1" descr="Obraz zawierający tekst, zrzut ekranu, Czcionka, numer&#10;&#10;Opis wygenerowany automatycznie"/>
                    <pic:cNvPicPr/>
                  </pic:nvPicPr>
                  <pic:blipFill>
                    <a:blip r:embed="rId6"/>
                    <a:stretch>
                      <a:fillRect/>
                    </a:stretch>
                  </pic:blipFill>
                  <pic:spPr>
                    <a:xfrm>
                      <a:off x="0" y="0"/>
                      <a:ext cx="5760720" cy="7920990"/>
                    </a:xfrm>
                    <a:prstGeom prst="rect">
                      <a:avLst/>
                    </a:prstGeom>
                  </pic:spPr>
                </pic:pic>
              </a:graphicData>
            </a:graphic>
          </wp:inline>
        </w:drawing>
      </w:r>
    </w:p>
    <w:p w14:paraId="49AC4E83" w14:textId="77777777" w:rsidR="00891BB5" w:rsidRDefault="00891BB5" w:rsidP="00891BB5">
      <w:pPr>
        <w:rPr>
          <w:b/>
          <w:bCs/>
        </w:rPr>
      </w:pPr>
    </w:p>
    <w:p w14:paraId="086CF63D" w14:textId="77777777" w:rsidR="00891BB5" w:rsidRDefault="00891BB5" w:rsidP="00891BB5">
      <w:pPr>
        <w:rPr>
          <w:b/>
          <w:bCs/>
        </w:rPr>
      </w:pPr>
    </w:p>
    <w:p w14:paraId="07906B88" w14:textId="724CD3F9" w:rsidR="00891BB5" w:rsidRPr="00891BB5" w:rsidRDefault="00891BB5" w:rsidP="00891BB5">
      <w:pPr>
        <w:rPr>
          <w:b/>
          <w:bCs/>
        </w:rPr>
      </w:pPr>
      <w:r w:rsidRPr="00891BB5">
        <w:rPr>
          <w:b/>
          <w:bCs/>
        </w:rPr>
        <w:lastRenderedPageBreak/>
        <w:t>Struktura GPT</w:t>
      </w:r>
    </w:p>
    <w:p w14:paraId="4A79F707" w14:textId="3BF344E4" w:rsidR="00891BB5" w:rsidRPr="00891BB5" w:rsidRDefault="00891BB5" w:rsidP="00891BB5">
      <w:pPr>
        <w:numPr>
          <w:ilvl w:val="0"/>
          <w:numId w:val="9"/>
        </w:numPr>
      </w:pPr>
      <w:r w:rsidRPr="00891BB5">
        <w:rPr>
          <w:b/>
          <w:bCs/>
        </w:rPr>
        <w:t>O</w:t>
      </w:r>
      <w:r w:rsidRPr="00891BB5">
        <w:rPr>
          <w:b/>
          <w:bCs/>
        </w:rPr>
        <w:t>chronny</w:t>
      </w:r>
      <w:r>
        <w:rPr>
          <w:b/>
          <w:bCs/>
        </w:rPr>
        <w:t xml:space="preserve"> </w:t>
      </w:r>
      <w:r w:rsidRPr="00891BB5">
        <w:rPr>
          <w:b/>
          <w:bCs/>
        </w:rPr>
        <w:t>MBR (</w:t>
      </w:r>
      <w:proofErr w:type="spellStart"/>
      <w:r w:rsidRPr="00891BB5">
        <w:rPr>
          <w:b/>
          <w:bCs/>
        </w:rPr>
        <w:t>Protective</w:t>
      </w:r>
      <w:proofErr w:type="spellEnd"/>
      <w:r w:rsidRPr="00891BB5">
        <w:rPr>
          <w:b/>
          <w:bCs/>
        </w:rPr>
        <w:t xml:space="preserve"> MBR)</w:t>
      </w:r>
      <w:r w:rsidRPr="00891BB5">
        <w:t>:</w:t>
      </w:r>
    </w:p>
    <w:p w14:paraId="4406B157" w14:textId="77777777" w:rsidR="00891BB5" w:rsidRDefault="00891BB5" w:rsidP="00891BB5">
      <w:pPr>
        <w:numPr>
          <w:ilvl w:val="1"/>
          <w:numId w:val="9"/>
        </w:numPr>
      </w:pPr>
      <w:r w:rsidRPr="00891BB5">
        <w:t>Znajduje się w pierwszym sektorze dysku (LBA 0).</w:t>
      </w:r>
    </w:p>
    <w:p w14:paraId="694AE6F8" w14:textId="088A3A56" w:rsidR="00891BB5" w:rsidRPr="00891BB5" w:rsidRDefault="00891BB5" w:rsidP="00891BB5">
      <w:pPr>
        <w:pStyle w:val="Akapitzlist"/>
        <w:numPr>
          <w:ilvl w:val="1"/>
          <w:numId w:val="9"/>
        </w:numPr>
      </w:pPr>
      <w:r w:rsidRPr="00891BB5">
        <w:t>Zawiera jedną partycję obejmującą cały dysk, aby chronić dane GPT przed narzędziami, które nie rozpoznają GPT.</w:t>
      </w:r>
    </w:p>
    <w:p w14:paraId="36E2B788" w14:textId="77777777" w:rsidR="00891BB5" w:rsidRPr="00891BB5" w:rsidRDefault="00891BB5" w:rsidP="00891BB5">
      <w:pPr>
        <w:numPr>
          <w:ilvl w:val="0"/>
          <w:numId w:val="9"/>
        </w:numPr>
      </w:pPr>
      <w:r w:rsidRPr="00891BB5">
        <w:rPr>
          <w:b/>
          <w:bCs/>
        </w:rPr>
        <w:t xml:space="preserve">Nagłówek GPT (GPT </w:t>
      </w:r>
      <w:proofErr w:type="spellStart"/>
      <w:r w:rsidRPr="00891BB5">
        <w:rPr>
          <w:b/>
          <w:bCs/>
        </w:rPr>
        <w:t>Header</w:t>
      </w:r>
      <w:proofErr w:type="spellEnd"/>
      <w:r w:rsidRPr="00891BB5">
        <w:rPr>
          <w:b/>
          <w:bCs/>
        </w:rPr>
        <w:t>)</w:t>
      </w:r>
      <w:r w:rsidRPr="00891BB5">
        <w:t>:</w:t>
      </w:r>
    </w:p>
    <w:p w14:paraId="32A7ADB4" w14:textId="77777777" w:rsidR="00891BB5" w:rsidRPr="00891BB5" w:rsidRDefault="00891BB5" w:rsidP="00891BB5">
      <w:pPr>
        <w:numPr>
          <w:ilvl w:val="1"/>
          <w:numId w:val="9"/>
        </w:numPr>
      </w:pPr>
      <w:r w:rsidRPr="00891BB5">
        <w:t>Znajduje się w drugim sektorze dysku (LBA 1).</w:t>
      </w:r>
    </w:p>
    <w:p w14:paraId="65BFAF4D" w14:textId="77777777" w:rsidR="00891BB5" w:rsidRDefault="00891BB5" w:rsidP="00891BB5">
      <w:pPr>
        <w:numPr>
          <w:ilvl w:val="1"/>
          <w:numId w:val="9"/>
        </w:numPr>
      </w:pPr>
      <w:r w:rsidRPr="00891BB5">
        <w:t>Zawiera informacje o lokalizacji tablicy partycji, liczbie wpisów partycji oraz ich rozmiarze.</w:t>
      </w:r>
    </w:p>
    <w:p w14:paraId="5A2D3F7A" w14:textId="4EF459EC" w:rsidR="00891BB5" w:rsidRPr="00891BB5" w:rsidRDefault="00891BB5" w:rsidP="00891BB5">
      <w:pPr>
        <w:pStyle w:val="Akapitzlist"/>
        <w:numPr>
          <w:ilvl w:val="1"/>
          <w:numId w:val="9"/>
        </w:numPr>
      </w:pPr>
      <w:r w:rsidRPr="00891BB5">
        <w:t>Przechowuje unikalny identyfikator dysku (GUID) oraz kopię zapasową nagłówka GPT.</w:t>
      </w:r>
    </w:p>
    <w:p w14:paraId="0BC64BB8" w14:textId="77777777" w:rsidR="00891BB5" w:rsidRPr="00891BB5" w:rsidRDefault="00891BB5" w:rsidP="00891BB5">
      <w:pPr>
        <w:numPr>
          <w:ilvl w:val="0"/>
          <w:numId w:val="9"/>
        </w:numPr>
      </w:pPr>
      <w:r w:rsidRPr="00891BB5">
        <w:rPr>
          <w:b/>
          <w:bCs/>
        </w:rPr>
        <w:t>Tablica wpisów partycji (</w:t>
      </w:r>
      <w:proofErr w:type="spellStart"/>
      <w:r w:rsidRPr="00891BB5">
        <w:rPr>
          <w:b/>
          <w:bCs/>
        </w:rPr>
        <w:t>Partition</w:t>
      </w:r>
      <w:proofErr w:type="spellEnd"/>
      <w:r w:rsidRPr="00891BB5">
        <w:rPr>
          <w:b/>
          <w:bCs/>
        </w:rPr>
        <w:t xml:space="preserve"> </w:t>
      </w:r>
      <w:proofErr w:type="spellStart"/>
      <w:r w:rsidRPr="00891BB5">
        <w:rPr>
          <w:b/>
          <w:bCs/>
        </w:rPr>
        <w:t>Entry</w:t>
      </w:r>
      <w:proofErr w:type="spellEnd"/>
      <w:r w:rsidRPr="00891BB5">
        <w:rPr>
          <w:b/>
          <w:bCs/>
        </w:rPr>
        <w:t xml:space="preserve"> </w:t>
      </w:r>
      <w:proofErr w:type="spellStart"/>
      <w:r w:rsidRPr="00891BB5">
        <w:rPr>
          <w:b/>
          <w:bCs/>
        </w:rPr>
        <w:t>Array</w:t>
      </w:r>
      <w:proofErr w:type="spellEnd"/>
      <w:r w:rsidRPr="00891BB5">
        <w:rPr>
          <w:b/>
          <w:bCs/>
        </w:rPr>
        <w:t>)</w:t>
      </w:r>
      <w:r w:rsidRPr="00891BB5">
        <w:t>:</w:t>
      </w:r>
    </w:p>
    <w:p w14:paraId="51538911" w14:textId="77777777" w:rsidR="00891BB5" w:rsidRPr="00891BB5" w:rsidRDefault="00891BB5" w:rsidP="00891BB5">
      <w:pPr>
        <w:numPr>
          <w:ilvl w:val="1"/>
          <w:numId w:val="9"/>
        </w:numPr>
      </w:pPr>
      <w:r w:rsidRPr="00891BB5">
        <w:t>Zaczyna się od trzeciego sektora (LBA 2) i może zajmować wiele sektorów.</w:t>
      </w:r>
    </w:p>
    <w:p w14:paraId="0CBE2600" w14:textId="77777777" w:rsidR="00891BB5" w:rsidRPr="00891BB5" w:rsidRDefault="00891BB5" w:rsidP="00891BB5">
      <w:pPr>
        <w:numPr>
          <w:ilvl w:val="1"/>
          <w:numId w:val="9"/>
        </w:numPr>
      </w:pPr>
      <w:r w:rsidRPr="00891BB5">
        <w:t>Każdy wpis ma 128 bajtów i zawiera informacje o partycji, takie jak:</w:t>
      </w:r>
    </w:p>
    <w:p w14:paraId="0C749058" w14:textId="77777777" w:rsidR="00891BB5" w:rsidRPr="00891BB5" w:rsidRDefault="00891BB5" w:rsidP="00891BB5">
      <w:pPr>
        <w:numPr>
          <w:ilvl w:val="2"/>
          <w:numId w:val="9"/>
        </w:numPr>
      </w:pPr>
      <w:r w:rsidRPr="00891BB5">
        <w:t>Unikalny identyfikator partycji (GUID)</w:t>
      </w:r>
    </w:p>
    <w:p w14:paraId="6ED2353E" w14:textId="77777777" w:rsidR="00891BB5" w:rsidRPr="00891BB5" w:rsidRDefault="00891BB5" w:rsidP="00891BB5">
      <w:pPr>
        <w:numPr>
          <w:ilvl w:val="2"/>
          <w:numId w:val="9"/>
        </w:numPr>
      </w:pPr>
      <w:r w:rsidRPr="00891BB5">
        <w:t>Początkowy i końcowy LBA partycji</w:t>
      </w:r>
    </w:p>
    <w:p w14:paraId="11516AFC" w14:textId="77777777" w:rsidR="00891BB5" w:rsidRDefault="00891BB5" w:rsidP="00891BB5">
      <w:pPr>
        <w:numPr>
          <w:ilvl w:val="2"/>
          <w:numId w:val="9"/>
        </w:numPr>
      </w:pPr>
      <w:r w:rsidRPr="00891BB5">
        <w:t>Atrybuty partycji (np. tylko do odczytu)</w:t>
      </w:r>
    </w:p>
    <w:p w14:paraId="4FD9C77B" w14:textId="64666118" w:rsidR="00891BB5" w:rsidRPr="00891BB5" w:rsidRDefault="00891BB5" w:rsidP="00891BB5">
      <w:pPr>
        <w:pStyle w:val="Akapitzlist"/>
        <w:numPr>
          <w:ilvl w:val="2"/>
          <w:numId w:val="9"/>
        </w:numPr>
      </w:pPr>
      <w:r w:rsidRPr="00891BB5">
        <w:t>Nazwa partycji (UTF-16).</w:t>
      </w:r>
    </w:p>
    <w:p w14:paraId="469C916F" w14:textId="77777777" w:rsidR="00891BB5" w:rsidRPr="00891BB5" w:rsidRDefault="00891BB5" w:rsidP="00891BB5">
      <w:pPr>
        <w:numPr>
          <w:ilvl w:val="0"/>
          <w:numId w:val="9"/>
        </w:numPr>
      </w:pPr>
      <w:r w:rsidRPr="00891BB5">
        <w:rPr>
          <w:b/>
          <w:bCs/>
        </w:rPr>
        <w:t>Kopia zapasowa nagłówka GPT i tablicy wpisów partycji</w:t>
      </w:r>
      <w:r w:rsidRPr="00891BB5">
        <w:t>:</w:t>
      </w:r>
    </w:p>
    <w:p w14:paraId="7DD95002" w14:textId="77777777" w:rsidR="00891BB5" w:rsidRDefault="00891BB5" w:rsidP="00F8551B">
      <w:pPr>
        <w:numPr>
          <w:ilvl w:val="1"/>
          <w:numId w:val="9"/>
        </w:numPr>
      </w:pPr>
      <w:r w:rsidRPr="00891BB5">
        <w:t>Znajduje się na końcu dysku.</w:t>
      </w:r>
    </w:p>
    <w:p w14:paraId="54C86EE4" w14:textId="14DF5BE2" w:rsidR="00891BB5" w:rsidRPr="003A6CE3" w:rsidRDefault="00891BB5" w:rsidP="00F8551B">
      <w:pPr>
        <w:numPr>
          <w:ilvl w:val="1"/>
          <w:numId w:val="9"/>
        </w:numPr>
      </w:pPr>
      <w:r w:rsidRPr="00891BB5">
        <w:t xml:space="preserve">Zawiera </w:t>
      </w:r>
      <w:r w:rsidRPr="00891BB5">
        <w:rPr>
          <w:u w:val="single"/>
        </w:rPr>
        <w:t>kopię zapasową nagłówka GPT</w:t>
      </w:r>
      <w:r w:rsidRPr="00891BB5">
        <w:t xml:space="preserve"> oraz </w:t>
      </w:r>
      <w:r w:rsidRPr="00891BB5">
        <w:rPr>
          <w:u w:val="single"/>
        </w:rPr>
        <w:t>tablicy wpisów partycji</w:t>
      </w:r>
      <w:r w:rsidRPr="00891BB5">
        <w:t>, co zwiększa niezawodność i odporność na uszkodzenia.</w:t>
      </w:r>
    </w:p>
    <w:p w14:paraId="0E12599E" w14:textId="69B70B8F" w:rsidR="00E040F0" w:rsidRDefault="00E040F0"/>
    <w:p w14:paraId="73115FF8" w14:textId="77777777" w:rsidR="00450B3A" w:rsidRDefault="00450B3A"/>
    <w:p w14:paraId="7709FFC1" w14:textId="77777777" w:rsidR="00450B3A" w:rsidRDefault="00450B3A"/>
    <w:p w14:paraId="4CA89A77" w14:textId="77777777" w:rsidR="00450B3A" w:rsidRDefault="00450B3A"/>
    <w:p w14:paraId="1202EF92" w14:textId="77777777" w:rsidR="00450B3A" w:rsidRDefault="00450B3A"/>
    <w:p w14:paraId="37EA8A51" w14:textId="77777777" w:rsidR="00450B3A" w:rsidRDefault="00450B3A"/>
    <w:p w14:paraId="1A4A812E" w14:textId="77777777" w:rsidR="00450B3A" w:rsidRDefault="00450B3A"/>
    <w:p w14:paraId="09251B37" w14:textId="5D2CC9E7" w:rsidR="00450B3A" w:rsidRDefault="00450B3A" w:rsidP="00450B3A">
      <w:pPr>
        <w:pStyle w:val="Nagwek2"/>
      </w:pPr>
      <w:r>
        <w:lastRenderedPageBreak/>
        <w:t>Podsumowanie</w:t>
      </w:r>
    </w:p>
    <w:p w14:paraId="3B595831" w14:textId="77777777" w:rsidR="00450B3A" w:rsidRPr="00450B3A" w:rsidRDefault="00450B3A" w:rsidP="00450B3A">
      <w:r w:rsidRPr="00450B3A">
        <w:t xml:space="preserve">Oczywiście! Oto tabela porównująca MBR (Master </w:t>
      </w:r>
      <w:proofErr w:type="spellStart"/>
      <w:r w:rsidRPr="00450B3A">
        <w:t>Boot</w:t>
      </w:r>
      <w:proofErr w:type="spellEnd"/>
      <w:r w:rsidRPr="00450B3A">
        <w:t xml:space="preserve"> </w:t>
      </w:r>
      <w:proofErr w:type="spellStart"/>
      <w:r w:rsidRPr="00450B3A">
        <w:t>Record</w:t>
      </w:r>
      <w:proofErr w:type="spellEnd"/>
      <w:r w:rsidRPr="00450B3A">
        <w:t xml:space="preserve">) i GPT (GUID </w:t>
      </w:r>
      <w:proofErr w:type="spellStart"/>
      <w:r w:rsidRPr="00450B3A">
        <w:t>Partition</w:t>
      </w:r>
      <w:proofErr w:type="spellEnd"/>
      <w:r w:rsidRPr="00450B3A">
        <w:t xml:space="preserve"> </w:t>
      </w:r>
      <w:proofErr w:type="spellStart"/>
      <w:r w:rsidRPr="00450B3A">
        <w:t>Table</w:t>
      </w:r>
      <w:proofErr w:type="spellEnd"/>
      <w:r w:rsidRPr="00450B3A">
        <w:t>):</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2402"/>
        <w:gridCol w:w="3686"/>
        <w:gridCol w:w="2968"/>
      </w:tblGrid>
      <w:tr w:rsidR="00BF0242" w:rsidRPr="00450B3A" w14:paraId="718B90C7" w14:textId="77777777" w:rsidTr="00BF0242">
        <w:trPr>
          <w:tblHeader/>
          <w:tblCellSpacing w:w="15" w:type="dxa"/>
        </w:trPr>
        <w:tc>
          <w:tcPr>
            <w:tcW w:w="2357" w:type="dxa"/>
            <w:tcMar>
              <w:top w:w="270" w:type="dxa"/>
              <w:left w:w="240" w:type="dxa"/>
              <w:bottom w:w="270" w:type="dxa"/>
              <w:right w:w="240" w:type="dxa"/>
            </w:tcMar>
            <w:vAlign w:val="center"/>
            <w:hideMark/>
          </w:tcPr>
          <w:p w14:paraId="6D991FBF" w14:textId="77777777" w:rsidR="00450B3A" w:rsidRPr="00450B3A" w:rsidRDefault="00450B3A" w:rsidP="00450B3A">
            <w:pPr>
              <w:rPr>
                <w:b/>
                <w:bCs/>
              </w:rPr>
            </w:pPr>
            <w:r w:rsidRPr="00450B3A">
              <w:rPr>
                <w:b/>
                <w:bCs/>
              </w:rPr>
              <w:t>Cecha</w:t>
            </w:r>
          </w:p>
        </w:tc>
        <w:tc>
          <w:tcPr>
            <w:tcW w:w="3656" w:type="dxa"/>
            <w:tcMar>
              <w:top w:w="270" w:type="dxa"/>
              <w:left w:w="240" w:type="dxa"/>
              <w:bottom w:w="270" w:type="dxa"/>
              <w:right w:w="240" w:type="dxa"/>
            </w:tcMar>
            <w:vAlign w:val="center"/>
            <w:hideMark/>
          </w:tcPr>
          <w:p w14:paraId="667D84AB" w14:textId="77777777" w:rsidR="00BF0242" w:rsidRDefault="00450B3A" w:rsidP="00450B3A">
            <w:pPr>
              <w:rPr>
                <w:b/>
                <w:bCs/>
              </w:rPr>
            </w:pPr>
            <w:r w:rsidRPr="00450B3A">
              <w:rPr>
                <w:b/>
                <w:bCs/>
              </w:rPr>
              <w:t>MBR</w:t>
            </w:r>
          </w:p>
          <w:p w14:paraId="2663DB53" w14:textId="0CDBC767" w:rsidR="00450B3A" w:rsidRPr="00450B3A" w:rsidRDefault="00450B3A" w:rsidP="00450B3A">
            <w:pPr>
              <w:rPr>
                <w:b/>
                <w:bCs/>
              </w:rPr>
            </w:pPr>
            <w:r w:rsidRPr="00450B3A">
              <w:rPr>
                <w:b/>
                <w:bCs/>
              </w:rPr>
              <w:t xml:space="preserve"> (Master </w:t>
            </w:r>
            <w:proofErr w:type="spellStart"/>
            <w:r w:rsidRPr="00450B3A">
              <w:rPr>
                <w:b/>
                <w:bCs/>
              </w:rPr>
              <w:t>Boot</w:t>
            </w:r>
            <w:proofErr w:type="spellEnd"/>
            <w:r w:rsidRPr="00450B3A">
              <w:rPr>
                <w:b/>
                <w:bCs/>
              </w:rPr>
              <w:t xml:space="preserve"> </w:t>
            </w:r>
            <w:proofErr w:type="spellStart"/>
            <w:r w:rsidRPr="00450B3A">
              <w:rPr>
                <w:b/>
                <w:bCs/>
              </w:rPr>
              <w:t>Record</w:t>
            </w:r>
            <w:proofErr w:type="spellEnd"/>
            <w:r w:rsidRPr="00450B3A">
              <w:rPr>
                <w:b/>
                <w:bCs/>
              </w:rPr>
              <w:t>)</w:t>
            </w:r>
          </w:p>
        </w:tc>
        <w:tc>
          <w:tcPr>
            <w:tcW w:w="2923" w:type="dxa"/>
            <w:tcMar>
              <w:top w:w="270" w:type="dxa"/>
              <w:left w:w="240" w:type="dxa"/>
              <w:bottom w:w="270" w:type="dxa"/>
              <w:right w:w="240" w:type="dxa"/>
            </w:tcMar>
            <w:vAlign w:val="center"/>
            <w:hideMark/>
          </w:tcPr>
          <w:p w14:paraId="7AFF9FC3" w14:textId="77777777" w:rsidR="00BF0242" w:rsidRDefault="00450B3A" w:rsidP="00450B3A">
            <w:pPr>
              <w:rPr>
                <w:b/>
                <w:bCs/>
              </w:rPr>
            </w:pPr>
            <w:r w:rsidRPr="00450B3A">
              <w:rPr>
                <w:b/>
                <w:bCs/>
              </w:rPr>
              <w:t>GPT</w:t>
            </w:r>
          </w:p>
          <w:p w14:paraId="5FE1B938" w14:textId="3BA106AF" w:rsidR="00450B3A" w:rsidRPr="00450B3A" w:rsidRDefault="00450B3A" w:rsidP="00450B3A">
            <w:pPr>
              <w:rPr>
                <w:b/>
                <w:bCs/>
              </w:rPr>
            </w:pPr>
            <w:r w:rsidRPr="00450B3A">
              <w:rPr>
                <w:b/>
                <w:bCs/>
              </w:rPr>
              <w:t xml:space="preserve">(GUID </w:t>
            </w:r>
            <w:proofErr w:type="spellStart"/>
            <w:r w:rsidRPr="00450B3A">
              <w:rPr>
                <w:b/>
                <w:bCs/>
              </w:rPr>
              <w:t>Partition</w:t>
            </w:r>
            <w:proofErr w:type="spellEnd"/>
            <w:r w:rsidRPr="00450B3A">
              <w:rPr>
                <w:b/>
                <w:bCs/>
              </w:rPr>
              <w:t xml:space="preserve"> </w:t>
            </w:r>
            <w:proofErr w:type="spellStart"/>
            <w:r w:rsidRPr="00450B3A">
              <w:rPr>
                <w:b/>
                <w:bCs/>
              </w:rPr>
              <w:t>Table</w:t>
            </w:r>
            <w:proofErr w:type="spellEnd"/>
            <w:r w:rsidRPr="00450B3A">
              <w:rPr>
                <w:b/>
                <w:bCs/>
              </w:rPr>
              <w:t>)</w:t>
            </w:r>
          </w:p>
        </w:tc>
      </w:tr>
      <w:tr w:rsidR="00BF0242" w:rsidRPr="00450B3A" w14:paraId="7C57F9B6" w14:textId="77777777" w:rsidTr="00BF0242">
        <w:trPr>
          <w:tblCellSpacing w:w="15" w:type="dxa"/>
        </w:trPr>
        <w:tc>
          <w:tcPr>
            <w:tcW w:w="2357" w:type="dxa"/>
            <w:tcBorders>
              <w:top w:val="single" w:sz="6" w:space="0" w:color="C4C7C5"/>
            </w:tcBorders>
            <w:tcMar>
              <w:top w:w="240" w:type="dxa"/>
              <w:left w:w="240" w:type="dxa"/>
              <w:bottom w:w="240" w:type="dxa"/>
              <w:right w:w="240" w:type="dxa"/>
            </w:tcMar>
            <w:vAlign w:val="center"/>
            <w:hideMark/>
          </w:tcPr>
          <w:p w14:paraId="123E10AA" w14:textId="77777777" w:rsidR="00450B3A" w:rsidRPr="00450B3A" w:rsidRDefault="00450B3A" w:rsidP="00450B3A">
            <w:r w:rsidRPr="00450B3A">
              <w:rPr>
                <w:b/>
                <w:bCs/>
              </w:rPr>
              <w:t>Maksymalna pojemność dysku</w:t>
            </w:r>
          </w:p>
        </w:tc>
        <w:tc>
          <w:tcPr>
            <w:tcW w:w="3656" w:type="dxa"/>
            <w:tcBorders>
              <w:top w:val="single" w:sz="6" w:space="0" w:color="C4C7C5"/>
            </w:tcBorders>
            <w:tcMar>
              <w:top w:w="240" w:type="dxa"/>
              <w:left w:w="240" w:type="dxa"/>
              <w:bottom w:w="240" w:type="dxa"/>
              <w:right w:w="240" w:type="dxa"/>
            </w:tcMar>
            <w:vAlign w:val="center"/>
            <w:hideMark/>
          </w:tcPr>
          <w:p w14:paraId="721212A9" w14:textId="77777777" w:rsidR="00450B3A" w:rsidRPr="00450B3A" w:rsidRDefault="00450B3A" w:rsidP="00450B3A">
            <w:r w:rsidRPr="00450B3A">
              <w:t>2 TB</w:t>
            </w:r>
          </w:p>
        </w:tc>
        <w:tc>
          <w:tcPr>
            <w:tcW w:w="2923" w:type="dxa"/>
            <w:tcBorders>
              <w:top w:val="single" w:sz="6" w:space="0" w:color="C4C7C5"/>
            </w:tcBorders>
            <w:tcMar>
              <w:top w:w="240" w:type="dxa"/>
              <w:left w:w="240" w:type="dxa"/>
              <w:bottom w:w="240" w:type="dxa"/>
              <w:right w:w="240" w:type="dxa"/>
            </w:tcMar>
            <w:vAlign w:val="center"/>
            <w:hideMark/>
          </w:tcPr>
          <w:p w14:paraId="3A62D37B" w14:textId="77777777" w:rsidR="00450B3A" w:rsidRPr="00450B3A" w:rsidRDefault="00450B3A" w:rsidP="00450B3A">
            <w:r w:rsidRPr="00450B3A">
              <w:t>9.44 ZB</w:t>
            </w:r>
          </w:p>
        </w:tc>
      </w:tr>
      <w:tr w:rsidR="00BF0242" w:rsidRPr="00450B3A" w14:paraId="2B3D0310" w14:textId="77777777" w:rsidTr="00BF0242">
        <w:trPr>
          <w:tblCellSpacing w:w="15" w:type="dxa"/>
        </w:trPr>
        <w:tc>
          <w:tcPr>
            <w:tcW w:w="2357" w:type="dxa"/>
            <w:tcBorders>
              <w:top w:val="single" w:sz="6" w:space="0" w:color="C4C7C5"/>
            </w:tcBorders>
            <w:tcMar>
              <w:top w:w="240" w:type="dxa"/>
              <w:left w:w="240" w:type="dxa"/>
              <w:bottom w:w="240" w:type="dxa"/>
              <w:right w:w="240" w:type="dxa"/>
            </w:tcMar>
            <w:vAlign w:val="center"/>
            <w:hideMark/>
          </w:tcPr>
          <w:p w14:paraId="5613A7C3" w14:textId="77777777" w:rsidR="00450B3A" w:rsidRPr="00450B3A" w:rsidRDefault="00450B3A" w:rsidP="00450B3A">
            <w:r w:rsidRPr="00450B3A">
              <w:rPr>
                <w:b/>
                <w:bCs/>
              </w:rPr>
              <w:t>Liczba partycji</w:t>
            </w:r>
          </w:p>
        </w:tc>
        <w:tc>
          <w:tcPr>
            <w:tcW w:w="3656" w:type="dxa"/>
            <w:tcBorders>
              <w:top w:val="single" w:sz="6" w:space="0" w:color="C4C7C5"/>
            </w:tcBorders>
            <w:tcMar>
              <w:top w:w="240" w:type="dxa"/>
              <w:left w:w="240" w:type="dxa"/>
              <w:bottom w:w="240" w:type="dxa"/>
              <w:right w:w="240" w:type="dxa"/>
            </w:tcMar>
            <w:vAlign w:val="center"/>
            <w:hideMark/>
          </w:tcPr>
          <w:p w14:paraId="618CB420" w14:textId="77777777" w:rsidR="00BF0242" w:rsidRDefault="00450B3A" w:rsidP="00450B3A">
            <w:r w:rsidRPr="00450B3A">
              <w:t>4 partycje podstawowe</w:t>
            </w:r>
          </w:p>
          <w:p w14:paraId="570C01BE" w14:textId="02ABAEAB" w:rsidR="00BF0242" w:rsidRDefault="00450B3A" w:rsidP="00450B3A">
            <w:r w:rsidRPr="00450B3A">
              <w:t xml:space="preserve"> lub</w:t>
            </w:r>
          </w:p>
          <w:p w14:paraId="4B17CC5D" w14:textId="0F588508" w:rsidR="00450B3A" w:rsidRPr="00450B3A" w:rsidRDefault="00450B3A" w:rsidP="00450B3A">
            <w:r w:rsidRPr="00450B3A">
              <w:t xml:space="preserve"> 3 podstawowe + 1 rozszerzona</w:t>
            </w:r>
          </w:p>
        </w:tc>
        <w:tc>
          <w:tcPr>
            <w:tcW w:w="2923" w:type="dxa"/>
            <w:tcBorders>
              <w:top w:val="single" w:sz="6" w:space="0" w:color="C4C7C5"/>
            </w:tcBorders>
            <w:tcMar>
              <w:top w:w="240" w:type="dxa"/>
              <w:left w:w="240" w:type="dxa"/>
              <w:bottom w:w="240" w:type="dxa"/>
              <w:right w:w="240" w:type="dxa"/>
            </w:tcMar>
            <w:vAlign w:val="center"/>
            <w:hideMark/>
          </w:tcPr>
          <w:p w14:paraId="6B07F488" w14:textId="77777777" w:rsidR="00450B3A" w:rsidRPr="00450B3A" w:rsidRDefault="00450B3A" w:rsidP="00450B3A">
            <w:r w:rsidRPr="00450B3A">
              <w:t>Do 128 partycji</w:t>
            </w:r>
          </w:p>
        </w:tc>
      </w:tr>
      <w:tr w:rsidR="00BF0242" w:rsidRPr="00450B3A" w14:paraId="3DD75CCA" w14:textId="77777777" w:rsidTr="00BF0242">
        <w:trPr>
          <w:tblCellSpacing w:w="15" w:type="dxa"/>
        </w:trPr>
        <w:tc>
          <w:tcPr>
            <w:tcW w:w="2357" w:type="dxa"/>
            <w:tcBorders>
              <w:top w:val="single" w:sz="6" w:space="0" w:color="C4C7C5"/>
            </w:tcBorders>
            <w:tcMar>
              <w:top w:w="240" w:type="dxa"/>
              <w:left w:w="240" w:type="dxa"/>
              <w:bottom w:w="240" w:type="dxa"/>
              <w:right w:w="240" w:type="dxa"/>
            </w:tcMar>
            <w:vAlign w:val="center"/>
            <w:hideMark/>
          </w:tcPr>
          <w:p w14:paraId="5EAB47D0" w14:textId="77777777" w:rsidR="00450B3A" w:rsidRPr="00450B3A" w:rsidRDefault="00450B3A" w:rsidP="00450B3A">
            <w:r w:rsidRPr="00450B3A">
              <w:rPr>
                <w:b/>
                <w:bCs/>
              </w:rPr>
              <w:t>Typy partycji</w:t>
            </w:r>
          </w:p>
        </w:tc>
        <w:tc>
          <w:tcPr>
            <w:tcW w:w="3656" w:type="dxa"/>
            <w:tcBorders>
              <w:top w:val="single" w:sz="6" w:space="0" w:color="C4C7C5"/>
            </w:tcBorders>
            <w:tcMar>
              <w:top w:w="240" w:type="dxa"/>
              <w:left w:w="240" w:type="dxa"/>
              <w:bottom w:w="240" w:type="dxa"/>
              <w:right w:w="240" w:type="dxa"/>
            </w:tcMar>
            <w:vAlign w:val="center"/>
            <w:hideMark/>
          </w:tcPr>
          <w:p w14:paraId="760243CD" w14:textId="77777777" w:rsidR="00BF0242" w:rsidRDefault="00450B3A" w:rsidP="00450B3A">
            <w:r w:rsidRPr="00450B3A">
              <w:t xml:space="preserve">Podstawowe, </w:t>
            </w:r>
          </w:p>
          <w:p w14:paraId="4562CAF1" w14:textId="77777777" w:rsidR="00BF0242" w:rsidRDefault="00450B3A" w:rsidP="00450B3A">
            <w:r w:rsidRPr="00450B3A">
              <w:t xml:space="preserve">rozszerzone, </w:t>
            </w:r>
          </w:p>
          <w:p w14:paraId="6BEEEFF2" w14:textId="4FF000FD" w:rsidR="00450B3A" w:rsidRPr="00450B3A" w:rsidRDefault="00450B3A" w:rsidP="00450B3A">
            <w:r w:rsidRPr="00450B3A">
              <w:t>logiczne</w:t>
            </w:r>
          </w:p>
        </w:tc>
        <w:tc>
          <w:tcPr>
            <w:tcW w:w="2923" w:type="dxa"/>
            <w:tcBorders>
              <w:top w:val="single" w:sz="6" w:space="0" w:color="C4C7C5"/>
            </w:tcBorders>
            <w:tcMar>
              <w:top w:w="240" w:type="dxa"/>
              <w:left w:w="240" w:type="dxa"/>
              <w:bottom w:w="240" w:type="dxa"/>
              <w:right w:w="240" w:type="dxa"/>
            </w:tcMar>
            <w:vAlign w:val="center"/>
            <w:hideMark/>
          </w:tcPr>
          <w:p w14:paraId="4877FAA5" w14:textId="77777777" w:rsidR="00450B3A" w:rsidRPr="00450B3A" w:rsidRDefault="00450B3A" w:rsidP="00450B3A">
            <w:r w:rsidRPr="00450B3A">
              <w:t>Wszystkie partycje są równorzędne</w:t>
            </w:r>
          </w:p>
        </w:tc>
      </w:tr>
      <w:tr w:rsidR="00BF0242" w:rsidRPr="00450B3A" w14:paraId="08BCEAB4" w14:textId="77777777" w:rsidTr="00BF0242">
        <w:trPr>
          <w:tblCellSpacing w:w="15" w:type="dxa"/>
        </w:trPr>
        <w:tc>
          <w:tcPr>
            <w:tcW w:w="2357" w:type="dxa"/>
            <w:tcBorders>
              <w:top w:val="single" w:sz="6" w:space="0" w:color="C4C7C5"/>
            </w:tcBorders>
            <w:tcMar>
              <w:top w:w="240" w:type="dxa"/>
              <w:left w:w="240" w:type="dxa"/>
              <w:bottom w:w="240" w:type="dxa"/>
              <w:right w:w="240" w:type="dxa"/>
            </w:tcMar>
            <w:vAlign w:val="center"/>
            <w:hideMark/>
          </w:tcPr>
          <w:p w14:paraId="0A0F8ADA" w14:textId="7AD796B4" w:rsidR="00450B3A" w:rsidRPr="00450B3A" w:rsidRDefault="00450B3A" w:rsidP="00450B3A">
            <w:r>
              <w:rPr>
                <w:b/>
                <w:bCs/>
              </w:rPr>
              <w:t>Preferowany dla</w:t>
            </w:r>
          </w:p>
        </w:tc>
        <w:tc>
          <w:tcPr>
            <w:tcW w:w="3656" w:type="dxa"/>
            <w:tcBorders>
              <w:top w:val="single" w:sz="6" w:space="0" w:color="C4C7C5"/>
            </w:tcBorders>
            <w:tcMar>
              <w:top w:w="240" w:type="dxa"/>
              <w:left w:w="240" w:type="dxa"/>
              <w:bottom w:w="240" w:type="dxa"/>
              <w:right w:w="240" w:type="dxa"/>
            </w:tcMar>
            <w:vAlign w:val="center"/>
            <w:hideMark/>
          </w:tcPr>
          <w:p w14:paraId="0879368F" w14:textId="77777777" w:rsidR="00BF0242" w:rsidRDefault="00450B3A" w:rsidP="00450B3A">
            <w:r w:rsidRPr="00450B3A">
              <w:t xml:space="preserve">Starsze systemy </w:t>
            </w:r>
          </w:p>
          <w:p w14:paraId="114E7C07" w14:textId="42566BFA" w:rsidR="00450B3A" w:rsidRPr="00450B3A" w:rsidRDefault="00450B3A" w:rsidP="00450B3A">
            <w:r w:rsidRPr="00450B3A">
              <w:t>BIOS</w:t>
            </w:r>
          </w:p>
        </w:tc>
        <w:tc>
          <w:tcPr>
            <w:tcW w:w="2923" w:type="dxa"/>
            <w:tcBorders>
              <w:top w:val="single" w:sz="6" w:space="0" w:color="C4C7C5"/>
            </w:tcBorders>
            <w:tcMar>
              <w:top w:w="240" w:type="dxa"/>
              <w:left w:w="240" w:type="dxa"/>
              <w:bottom w:w="240" w:type="dxa"/>
              <w:right w:w="240" w:type="dxa"/>
            </w:tcMar>
            <w:vAlign w:val="center"/>
            <w:hideMark/>
          </w:tcPr>
          <w:p w14:paraId="0AF8E02E" w14:textId="77777777" w:rsidR="00450B3A" w:rsidRPr="00450B3A" w:rsidRDefault="00450B3A" w:rsidP="00450B3A">
            <w:r w:rsidRPr="00450B3A">
              <w:t>Nowoczesne systemy UEFI</w:t>
            </w:r>
          </w:p>
        </w:tc>
      </w:tr>
      <w:tr w:rsidR="00BF0242" w:rsidRPr="00450B3A" w14:paraId="3F5ECF77" w14:textId="77777777" w:rsidTr="00BF0242">
        <w:trPr>
          <w:tblCellSpacing w:w="15" w:type="dxa"/>
        </w:trPr>
        <w:tc>
          <w:tcPr>
            <w:tcW w:w="2357" w:type="dxa"/>
            <w:tcBorders>
              <w:top w:val="single" w:sz="6" w:space="0" w:color="C4C7C5"/>
            </w:tcBorders>
            <w:tcMar>
              <w:top w:w="240" w:type="dxa"/>
              <w:left w:w="240" w:type="dxa"/>
              <w:bottom w:w="240" w:type="dxa"/>
              <w:right w:w="240" w:type="dxa"/>
            </w:tcMar>
            <w:vAlign w:val="center"/>
            <w:hideMark/>
          </w:tcPr>
          <w:p w14:paraId="5284B263" w14:textId="77777777" w:rsidR="00450B3A" w:rsidRPr="00450B3A" w:rsidRDefault="00450B3A" w:rsidP="00450B3A">
            <w:r w:rsidRPr="00450B3A">
              <w:rPr>
                <w:b/>
                <w:bCs/>
              </w:rPr>
              <w:t>Zarządzanie</w:t>
            </w:r>
          </w:p>
        </w:tc>
        <w:tc>
          <w:tcPr>
            <w:tcW w:w="3656" w:type="dxa"/>
            <w:tcBorders>
              <w:top w:val="single" w:sz="6" w:space="0" w:color="C4C7C5"/>
            </w:tcBorders>
            <w:tcMar>
              <w:top w:w="240" w:type="dxa"/>
              <w:left w:w="240" w:type="dxa"/>
              <w:bottom w:w="240" w:type="dxa"/>
              <w:right w:w="240" w:type="dxa"/>
            </w:tcMar>
            <w:vAlign w:val="center"/>
            <w:hideMark/>
          </w:tcPr>
          <w:p w14:paraId="47BC663E" w14:textId="77777777" w:rsidR="00450B3A" w:rsidRPr="00450B3A" w:rsidRDefault="00450B3A" w:rsidP="00450B3A">
            <w:r w:rsidRPr="00450B3A">
              <w:t>Statyczne</w:t>
            </w:r>
          </w:p>
        </w:tc>
        <w:tc>
          <w:tcPr>
            <w:tcW w:w="2923" w:type="dxa"/>
            <w:tcBorders>
              <w:top w:val="single" w:sz="6" w:space="0" w:color="C4C7C5"/>
            </w:tcBorders>
            <w:tcMar>
              <w:top w:w="240" w:type="dxa"/>
              <w:left w:w="240" w:type="dxa"/>
              <w:bottom w:w="240" w:type="dxa"/>
              <w:right w:w="240" w:type="dxa"/>
            </w:tcMar>
            <w:vAlign w:val="center"/>
            <w:hideMark/>
          </w:tcPr>
          <w:p w14:paraId="21AB300B" w14:textId="77777777" w:rsidR="00450B3A" w:rsidRPr="00450B3A" w:rsidRDefault="00450B3A" w:rsidP="00450B3A">
            <w:r w:rsidRPr="00450B3A">
              <w:t>Statyczne</w:t>
            </w:r>
          </w:p>
        </w:tc>
      </w:tr>
      <w:tr w:rsidR="00BF0242" w:rsidRPr="00450B3A" w14:paraId="55A9C700" w14:textId="77777777" w:rsidTr="00BF0242">
        <w:trPr>
          <w:tblCellSpacing w:w="15" w:type="dxa"/>
        </w:trPr>
        <w:tc>
          <w:tcPr>
            <w:tcW w:w="2357" w:type="dxa"/>
            <w:tcBorders>
              <w:top w:val="single" w:sz="6" w:space="0" w:color="C4C7C5"/>
            </w:tcBorders>
            <w:tcMar>
              <w:top w:w="240" w:type="dxa"/>
              <w:left w:w="240" w:type="dxa"/>
              <w:bottom w:w="240" w:type="dxa"/>
              <w:right w:w="240" w:type="dxa"/>
            </w:tcMar>
            <w:vAlign w:val="center"/>
            <w:hideMark/>
          </w:tcPr>
          <w:p w14:paraId="3349EE49" w14:textId="77777777" w:rsidR="00450B3A" w:rsidRPr="00450B3A" w:rsidRDefault="00450B3A" w:rsidP="00450B3A">
            <w:r w:rsidRPr="00450B3A">
              <w:rPr>
                <w:b/>
                <w:bCs/>
              </w:rPr>
              <w:t>Kopie zapasowe</w:t>
            </w:r>
          </w:p>
        </w:tc>
        <w:tc>
          <w:tcPr>
            <w:tcW w:w="3656" w:type="dxa"/>
            <w:tcBorders>
              <w:top w:val="single" w:sz="6" w:space="0" w:color="C4C7C5"/>
            </w:tcBorders>
            <w:tcMar>
              <w:top w:w="240" w:type="dxa"/>
              <w:left w:w="240" w:type="dxa"/>
              <w:bottom w:w="240" w:type="dxa"/>
              <w:right w:w="240" w:type="dxa"/>
            </w:tcMar>
            <w:vAlign w:val="center"/>
            <w:hideMark/>
          </w:tcPr>
          <w:p w14:paraId="36472922" w14:textId="77777777" w:rsidR="00450B3A" w:rsidRPr="00450B3A" w:rsidRDefault="00450B3A" w:rsidP="00450B3A">
            <w:r w:rsidRPr="00450B3A">
              <w:t>Brak</w:t>
            </w:r>
          </w:p>
        </w:tc>
        <w:tc>
          <w:tcPr>
            <w:tcW w:w="2923" w:type="dxa"/>
            <w:tcBorders>
              <w:top w:val="single" w:sz="6" w:space="0" w:color="C4C7C5"/>
            </w:tcBorders>
            <w:tcMar>
              <w:top w:w="240" w:type="dxa"/>
              <w:left w:w="240" w:type="dxa"/>
              <w:bottom w:w="240" w:type="dxa"/>
              <w:right w:w="240" w:type="dxa"/>
            </w:tcMar>
            <w:vAlign w:val="center"/>
            <w:hideMark/>
          </w:tcPr>
          <w:p w14:paraId="6301C32F" w14:textId="77777777" w:rsidR="00450B3A" w:rsidRPr="00450B3A" w:rsidRDefault="00450B3A" w:rsidP="00450B3A">
            <w:r w:rsidRPr="00450B3A">
              <w:t>Kopie zapasowe tablicy partycji i nagłówka</w:t>
            </w:r>
          </w:p>
        </w:tc>
      </w:tr>
      <w:tr w:rsidR="00BF0242" w:rsidRPr="00450B3A" w14:paraId="11C1414C" w14:textId="77777777" w:rsidTr="00BF0242">
        <w:trPr>
          <w:tblCellSpacing w:w="15" w:type="dxa"/>
        </w:trPr>
        <w:tc>
          <w:tcPr>
            <w:tcW w:w="2357" w:type="dxa"/>
            <w:tcBorders>
              <w:top w:val="single" w:sz="6" w:space="0" w:color="C4C7C5"/>
            </w:tcBorders>
            <w:tcMar>
              <w:top w:w="240" w:type="dxa"/>
              <w:left w:w="240" w:type="dxa"/>
              <w:bottom w:w="240" w:type="dxa"/>
              <w:right w:w="240" w:type="dxa"/>
            </w:tcMar>
            <w:vAlign w:val="center"/>
            <w:hideMark/>
          </w:tcPr>
          <w:p w14:paraId="6D443E89" w14:textId="77777777" w:rsidR="00450B3A" w:rsidRPr="00450B3A" w:rsidRDefault="00450B3A" w:rsidP="00450B3A">
            <w:r w:rsidRPr="00450B3A">
              <w:rPr>
                <w:b/>
                <w:bCs/>
              </w:rPr>
              <w:lastRenderedPageBreak/>
              <w:t>Identyfikatory</w:t>
            </w:r>
          </w:p>
        </w:tc>
        <w:tc>
          <w:tcPr>
            <w:tcW w:w="3656" w:type="dxa"/>
            <w:tcBorders>
              <w:top w:val="single" w:sz="6" w:space="0" w:color="C4C7C5"/>
            </w:tcBorders>
            <w:tcMar>
              <w:top w:w="240" w:type="dxa"/>
              <w:left w:w="240" w:type="dxa"/>
              <w:bottom w:w="240" w:type="dxa"/>
              <w:right w:w="240" w:type="dxa"/>
            </w:tcMar>
            <w:vAlign w:val="center"/>
            <w:hideMark/>
          </w:tcPr>
          <w:p w14:paraId="6E20116B" w14:textId="77777777" w:rsidR="00450B3A" w:rsidRPr="00450B3A" w:rsidRDefault="00450B3A" w:rsidP="00450B3A">
            <w:r w:rsidRPr="00450B3A">
              <w:t>Brak</w:t>
            </w:r>
          </w:p>
        </w:tc>
        <w:tc>
          <w:tcPr>
            <w:tcW w:w="2923" w:type="dxa"/>
            <w:tcBorders>
              <w:top w:val="single" w:sz="6" w:space="0" w:color="C4C7C5"/>
            </w:tcBorders>
            <w:tcMar>
              <w:top w:w="240" w:type="dxa"/>
              <w:left w:w="240" w:type="dxa"/>
              <w:bottom w:w="240" w:type="dxa"/>
              <w:right w:w="240" w:type="dxa"/>
            </w:tcMar>
            <w:vAlign w:val="center"/>
            <w:hideMark/>
          </w:tcPr>
          <w:p w14:paraId="5F491541" w14:textId="77777777" w:rsidR="00450B3A" w:rsidRPr="00450B3A" w:rsidRDefault="00450B3A" w:rsidP="00450B3A">
            <w:r w:rsidRPr="00450B3A">
              <w:t>Unikalne identyfikatory GUID</w:t>
            </w:r>
          </w:p>
        </w:tc>
      </w:tr>
      <w:tr w:rsidR="00BF0242" w:rsidRPr="00450B3A" w14:paraId="136D56F2" w14:textId="77777777" w:rsidTr="00BF0242">
        <w:trPr>
          <w:tblCellSpacing w:w="15" w:type="dxa"/>
        </w:trPr>
        <w:tc>
          <w:tcPr>
            <w:tcW w:w="2357" w:type="dxa"/>
            <w:tcBorders>
              <w:top w:val="single" w:sz="6" w:space="0" w:color="C4C7C5"/>
            </w:tcBorders>
            <w:tcMar>
              <w:top w:w="240" w:type="dxa"/>
              <w:left w:w="240" w:type="dxa"/>
              <w:bottom w:w="240" w:type="dxa"/>
              <w:right w:w="240" w:type="dxa"/>
            </w:tcMar>
            <w:vAlign w:val="center"/>
            <w:hideMark/>
          </w:tcPr>
          <w:p w14:paraId="3DF2BC8D" w14:textId="77777777" w:rsidR="00450B3A" w:rsidRPr="00450B3A" w:rsidRDefault="00450B3A" w:rsidP="00450B3A">
            <w:r w:rsidRPr="00450B3A">
              <w:rPr>
                <w:b/>
                <w:bCs/>
              </w:rPr>
              <w:t>Odporność na uszkodzenia</w:t>
            </w:r>
          </w:p>
        </w:tc>
        <w:tc>
          <w:tcPr>
            <w:tcW w:w="3656" w:type="dxa"/>
            <w:tcBorders>
              <w:top w:val="single" w:sz="6" w:space="0" w:color="C4C7C5"/>
            </w:tcBorders>
            <w:tcMar>
              <w:top w:w="240" w:type="dxa"/>
              <w:left w:w="240" w:type="dxa"/>
              <w:bottom w:w="240" w:type="dxa"/>
              <w:right w:w="240" w:type="dxa"/>
            </w:tcMar>
            <w:vAlign w:val="center"/>
            <w:hideMark/>
          </w:tcPr>
          <w:p w14:paraId="2438530D" w14:textId="77777777" w:rsidR="00450B3A" w:rsidRPr="00450B3A" w:rsidRDefault="00450B3A" w:rsidP="00450B3A">
            <w:r w:rsidRPr="00450B3A">
              <w:t>Niska</w:t>
            </w:r>
          </w:p>
        </w:tc>
        <w:tc>
          <w:tcPr>
            <w:tcW w:w="2923" w:type="dxa"/>
            <w:tcBorders>
              <w:top w:val="single" w:sz="6" w:space="0" w:color="C4C7C5"/>
            </w:tcBorders>
            <w:tcMar>
              <w:top w:w="240" w:type="dxa"/>
              <w:left w:w="240" w:type="dxa"/>
              <w:bottom w:w="240" w:type="dxa"/>
              <w:right w:w="240" w:type="dxa"/>
            </w:tcMar>
            <w:vAlign w:val="center"/>
            <w:hideMark/>
          </w:tcPr>
          <w:p w14:paraId="1FD6EDCB" w14:textId="77777777" w:rsidR="00450B3A" w:rsidRPr="00450B3A" w:rsidRDefault="00450B3A" w:rsidP="00450B3A">
            <w:r w:rsidRPr="00450B3A">
              <w:t>Wysoka</w:t>
            </w:r>
          </w:p>
        </w:tc>
      </w:tr>
    </w:tbl>
    <w:p w14:paraId="64AD3F5A" w14:textId="77777777" w:rsidR="00450B3A" w:rsidRPr="00450B3A" w:rsidRDefault="00450B3A" w:rsidP="00450B3A">
      <w:pPr>
        <w:rPr>
          <w:b/>
          <w:bCs/>
        </w:rPr>
      </w:pPr>
      <w:r w:rsidRPr="00450B3A">
        <w:rPr>
          <w:b/>
          <w:bCs/>
        </w:rPr>
        <w:t>Kluczowe różnice:</w:t>
      </w:r>
    </w:p>
    <w:p w14:paraId="65645DCC" w14:textId="637212A8" w:rsidR="00450B3A" w:rsidRPr="00450B3A" w:rsidRDefault="00450B3A" w:rsidP="00450B3A">
      <w:pPr>
        <w:numPr>
          <w:ilvl w:val="0"/>
          <w:numId w:val="11"/>
        </w:numPr>
      </w:pPr>
      <w:r w:rsidRPr="00450B3A">
        <w:rPr>
          <w:b/>
          <w:bCs/>
        </w:rPr>
        <w:t>MBR</w:t>
      </w:r>
      <w:r w:rsidRPr="00450B3A">
        <w:t xml:space="preserve">: Ograniczony do 2 TB i 4 partycji podstawowych. </w:t>
      </w:r>
      <w:r w:rsidR="00BF0242" w:rsidRPr="00BF0242">
        <w:t>Używany głównie w starszych systemach BIOS.</w:t>
      </w:r>
    </w:p>
    <w:p w14:paraId="566F4FD9" w14:textId="21E45E0B" w:rsidR="00450B3A" w:rsidRPr="00450B3A" w:rsidRDefault="00450B3A" w:rsidP="00450B3A">
      <w:pPr>
        <w:numPr>
          <w:ilvl w:val="0"/>
          <w:numId w:val="11"/>
        </w:numPr>
      </w:pPr>
      <w:r w:rsidRPr="00450B3A">
        <w:rPr>
          <w:b/>
          <w:bCs/>
        </w:rPr>
        <w:t>GPT</w:t>
      </w:r>
      <w:r w:rsidRPr="00450B3A">
        <w:t xml:space="preserve">: Obsługuje większe dyski (do 9.44 ZB) i więcej partycji (do 128). </w:t>
      </w:r>
      <w:r w:rsidR="00BF0242">
        <w:t>Zalecane zastosowanie</w:t>
      </w:r>
      <w:r w:rsidR="00BF0242" w:rsidRPr="00BF0242">
        <w:t xml:space="preserve"> systemów UEFI.</w:t>
      </w:r>
    </w:p>
    <w:p w14:paraId="7CF830BC" w14:textId="77777777" w:rsidR="00450B3A" w:rsidRDefault="00450B3A"/>
    <w:sectPr w:rsidR="00450B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10D13"/>
    <w:multiLevelType w:val="multilevel"/>
    <w:tmpl w:val="0F58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A39BF"/>
    <w:multiLevelType w:val="multilevel"/>
    <w:tmpl w:val="0F58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DC1386"/>
    <w:multiLevelType w:val="hybridMultilevel"/>
    <w:tmpl w:val="3AE2755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4A079B2"/>
    <w:multiLevelType w:val="hybridMultilevel"/>
    <w:tmpl w:val="CADCF34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7FC5B30"/>
    <w:multiLevelType w:val="multilevel"/>
    <w:tmpl w:val="0F58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7021AB"/>
    <w:multiLevelType w:val="multilevel"/>
    <w:tmpl w:val="99EE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2E0712"/>
    <w:multiLevelType w:val="hybridMultilevel"/>
    <w:tmpl w:val="B82A9CA8"/>
    <w:lvl w:ilvl="0" w:tplc="04150003">
      <w:start w:val="1"/>
      <w:numFmt w:val="bullet"/>
      <w:lvlText w:val="o"/>
      <w:lvlJc w:val="left"/>
      <w:pPr>
        <w:ind w:left="720" w:hanging="360"/>
      </w:pPr>
      <w:rPr>
        <w:rFonts w:ascii="Courier New" w:hAnsi="Courier New" w:cs="Courier New"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7B875D0"/>
    <w:multiLevelType w:val="multilevel"/>
    <w:tmpl w:val="F486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706D45"/>
    <w:multiLevelType w:val="hybridMultilevel"/>
    <w:tmpl w:val="7E68F83E"/>
    <w:lvl w:ilvl="0" w:tplc="04150003">
      <w:start w:val="1"/>
      <w:numFmt w:val="bullet"/>
      <w:lvlText w:val="o"/>
      <w:lvlJc w:val="left"/>
      <w:pPr>
        <w:ind w:left="720" w:hanging="360"/>
      </w:pPr>
      <w:rPr>
        <w:rFonts w:ascii="Courier New" w:hAnsi="Courier New" w:cs="Courier New"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627A1F8D"/>
    <w:multiLevelType w:val="multilevel"/>
    <w:tmpl w:val="2C924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932AB9"/>
    <w:multiLevelType w:val="hybridMultilevel"/>
    <w:tmpl w:val="E95E5E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517185289">
    <w:abstractNumId w:val="7"/>
  </w:num>
  <w:num w:numId="2" w16cid:durableId="1394934164">
    <w:abstractNumId w:val="5"/>
  </w:num>
  <w:num w:numId="3" w16cid:durableId="280842161">
    <w:abstractNumId w:val="10"/>
  </w:num>
  <w:num w:numId="4" w16cid:durableId="702632920">
    <w:abstractNumId w:val="3"/>
  </w:num>
  <w:num w:numId="5" w16cid:durableId="1103379802">
    <w:abstractNumId w:val="8"/>
  </w:num>
  <w:num w:numId="6" w16cid:durableId="852916180">
    <w:abstractNumId w:val="6"/>
  </w:num>
  <w:num w:numId="7" w16cid:durableId="609705284">
    <w:abstractNumId w:val="2"/>
  </w:num>
  <w:num w:numId="8" w16cid:durableId="2006859474">
    <w:abstractNumId w:val="4"/>
  </w:num>
  <w:num w:numId="9" w16cid:durableId="1966500753">
    <w:abstractNumId w:val="9"/>
  </w:num>
  <w:num w:numId="10" w16cid:durableId="169565664">
    <w:abstractNumId w:val="1"/>
  </w:num>
  <w:num w:numId="11" w16cid:durableId="1245068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F44"/>
    <w:rsid w:val="00136A70"/>
    <w:rsid w:val="003A3F44"/>
    <w:rsid w:val="003A6CE3"/>
    <w:rsid w:val="003E2F2C"/>
    <w:rsid w:val="00442F0E"/>
    <w:rsid w:val="004452D9"/>
    <w:rsid w:val="00450B3A"/>
    <w:rsid w:val="0048184F"/>
    <w:rsid w:val="008633F4"/>
    <w:rsid w:val="00891BB5"/>
    <w:rsid w:val="00976586"/>
    <w:rsid w:val="00BF0242"/>
    <w:rsid w:val="00C20552"/>
    <w:rsid w:val="00C67E18"/>
    <w:rsid w:val="00CC00E3"/>
    <w:rsid w:val="00DE4562"/>
    <w:rsid w:val="00E040F0"/>
    <w:rsid w:val="00F8551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25C4A"/>
  <w15:chartTrackingRefBased/>
  <w15:docId w15:val="{FF021D88-DA7A-4437-8694-3FCD43C11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3A3F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3A3F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3A3F44"/>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unhideWhenUsed/>
    <w:qFormat/>
    <w:rsid w:val="003A3F44"/>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3A3F44"/>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3A3F44"/>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3A3F44"/>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3A3F44"/>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3A3F44"/>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A3F44"/>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3A3F44"/>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3A3F44"/>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rsid w:val="003A3F44"/>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3A3F44"/>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3A3F44"/>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3A3F44"/>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3A3F44"/>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3A3F44"/>
    <w:rPr>
      <w:rFonts w:eastAsiaTheme="majorEastAsia" w:cstheme="majorBidi"/>
      <w:color w:val="272727" w:themeColor="text1" w:themeTint="D8"/>
    </w:rPr>
  </w:style>
  <w:style w:type="paragraph" w:styleId="Tytu">
    <w:name w:val="Title"/>
    <w:basedOn w:val="Normalny"/>
    <w:next w:val="Normalny"/>
    <w:link w:val="TytuZnak"/>
    <w:uiPriority w:val="10"/>
    <w:qFormat/>
    <w:rsid w:val="003A3F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A3F44"/>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3A3F44"/>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3A3F44"/>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3A3F44"/>
    <w:pPr>
      <w:spacing w:before="160"/>
      <w:jc w:val="center"/>
    </w:pPr>
    <w:rPr>
      <w:i/>
      <w:iCs/>
      <w:color w:val="404040" w:themeColor="text1" w:themeTint="BF"/>
    </w:rPr>
  </w:style>
  <w:style w:type="character" w:customStyle="1" w:styleId="CytatZnak">
    <w:name w:val="Cytat Znak"/>
    <w:basedOn w:val="Domylnaczcionkaakapitu"/>
    <w:link w:val="Cytat"/>
    <w:uiPriority w:val="29"/>
    <w:rsid w:val="003A3F44"/>
    <w:rPr>
      <w:i/>
      <w:iCs/>
      <w:color w:val="404040" w:themeColor="text1" w:themeTint="BF"/>
    </w:rPr>
  </w:style>
  <w:style w:type="paragraph" w:styleId="Akapitzlist">
    <w:name w:val="List Paragraph"/>
    <w:basedOn w:val="Normalny"/>
    <w:uiPriority w:val="34"/>
    <w:qFormat/>
    <w:rsid w:val="003A3F44"/>
    <w:pPr>
      <w:ind w:left="720"/>
      <w:contextualSpacing/>
    </w:pPr>
  </w:style>
  <w:style w:type="character" w:styleId="Wyrnienieintensywne">
    <w:name w:val="Intense Emphasis"/>
    <w:basedOn w:val="Domylnaczcionkaakapitu"/>
    <w:uiPriority w:val="21"/>
    <w:qFormat/>
    <w:rsid w:val="003A3F44"/>
    <w:rPr>
      <w:i/>
      <w:iCs/>
      <w:color w:val="0F4761" w:themeColor="accent1" w:themeShade="BF"/>
    </w:rPr>
  </w:style>
  <w:style w:type="paragraph" w:styleId="Cytatintensywny">
    <w:name w:val="Intense Quote"/>
    <w:basedOn w:val="Normalny"/>
    <w:next w:val="Normalny"/>
    <w:link w:val="CytatintensywnyZnak"/>
    <w:uiPriority w:val="30"/>
    <w:qFormat/>
    <w:rsid w:val="003A3F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3A3F44"/>
    <w:rPr>
      <w:i/>
      <w:iCs/>
      <w:color w:val="0F4761" w:themeColor="accent1" w:themeShade="BF"/>
    </w:rPr>
  </w:style>
  <w:style w:type="character" w:styleId="Odwoanieintensywne">
    <w:name w:val="Intense Reference"/>
    <w:basedOn w:val="Domylnaczcionkaakapitu"/>
    <w:uiPriority w:val="32"/>
    <w:qFormat/>
    <w:rsid w:val="003A3F44"/>
    <w:rPr>
      <w:b/>
      <w:bCs/>
      <w:smallCaps/>
      <w:color w:val="0F4761" w:themeColor="accent1" w:themeShade="BF"/>
      <w:spacing w:val="5"/>
    </w:rPr>
  </w:style>
  <w:style w:type="character" w:styleId="Hipercze">
    <w:name w:val="Hyperlink"/>
    <w:basedOn w:val="Domylnaczcionkaakapitu"/>
    <w:uiPriority w:val="99"/>
    <w:unhideWhenUsed/>
    <w:rsid w:val="00F8551B"/>
    <w:rPr>
      <w:color w:val="467886" w:themeColor="hyperlink"/>
      <w:u w:val="single"/>
    </w:rPr>
  </w:style>
  <w:style w:type="character" w:styleId="Nierozpoznanawzmianka">
    <w:name w:val="Unresolved Mention"/>
    <w:basedOn w:val="Domylnaczcionkaakapitu"/>
    <w:uiPriority w:val="99"/>
    <w:semiHidden/>
    <w:unhideWhenUsed/>
    <w:rsid w:val="00F855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9038">
      <w:bodyDiv w:val="1"/>
      <w:marLeft w:val="0"/>
      <w:marRight w:val="0"/>
      <w:marTop w:val="0"/>
      <w:marBottom w:val="0"/>
      <w:divBdr>
        <w:top w:val="none" w:sz="0" w:space="0" w:color="auto"/>
        <w:left w:val="none" w:sz="0" w:space="0" w:color="auto"/>
        <w:bottom w:val="none" w:sz="0" w:space="0" w:color="auto"/>
        <w:right w:val="none" w:sz="0" w:space="0" w:color="auto"/>
      </w:divBdr>
      <w:divsChild>
        <w:div w:id="2137721620">
          <w:marLeft w:val="0"/>
          <w:marRight w:val="0"/>
          <w:marTop w:val="0"/>
          <w:marBottom w:val="0"/>
          <w:divBdr>
            <w:top w:val="none" w:sz="0" w:space="0" w:color="auto"/>
            <w:left w:val="none" w:sz="0" w:space="0" w:color="auto"/>
            <w:bottom w:val="none" w:sz="0" w:space="0" w:color="auto"/>
            <w:right w:val="none" w:sz="0" w:space="0" w:color="auto"/>
          </w:divBdr>
          <w:divsChild>
            <w:div w:id="1535656301">
              <w:marLeft w:val="0"/>
              <w:marRight w:val="0"/>
              <w:marTop w:val="0"/>
              <w:marBottom w:val="0"/>
              <w:divBdr>
                <w:top w:val="none" w:sz="0" w:space="0" w:color="auto"/>
                <w:left w:val="none" w:sz="0" w:space="0" w:color="auto"/>
                <w:bottom w:val="none" w:sz="0" w:space="0" w:color="auto"/>
                <w:right w:val="none" w:sz="0" w:space="0" w:color="auto"/>
              </w:divBdr>
              <w:divsChild>
                <w:div w:id="149842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3882">
      <w:bodyDiv w:val="1"/>
      <w:marLeft w:val="0"/>
      <w:marRight w:val="0"/>
      <w:marTop w:val="0"/>
      <w:marBottom w:val="0"/>
      <w:divBdr>
        <w:top w:val="none" w:sz="0" w:space="0" w:color="auto"/>
        <w:left w:val="none" w:sz="0" w:space="0" w:color="auto"/>
        <w:bottom w:val="none" w:sz="0" w:space="0" w:color="auto"/>
        <w:right w:val="none" w:sz="0" w:space="0" w:color="auto"/>
      </w:divBdr>
    </w:div>
    <w:div w:id="105319522">
      <w:bodyDiv w:val="1"/>
      <w:marLeft w:val="0"/>
      <w:marRight w:val="0"/>
      <w:marTop w:val="0"/>
      <w:marBottom w:val="0"/>
      <w:divBdr>
        <w:top w:val="none" w:sz="0" w:space="0" w:color="auto"/>
        <w:left w:val="none" w:sz="0" w:space="0" w:color="auto"/>
        <w:bottom w:val="none" w:sz="0" w:space="0" w:color="auto"/>
        <w:right w:val="none" w:sz="0" w:space="0" w:color="auto"/>
      </w:divBdr>
    </w:div>
    <w:div w:id="186022283">
      <w:bodyDiv w:val="1"/>
      <w:marLeft w:val="0"/>
      <w:marRight w:val="0"/>
      <w:marTop w:val="0"/>
      <w:marBottom w:val="0"/>
      <w:divBdr>
        <w:top w:val="none" w:sz="0" w:space="0" w:color="auto"/>
        <w:left w:val="none" w:sz="0" w:space="0" w:color="auto"/>
        <w:bottom w:val="none" w:sz="0" w:space="0" w:color="auto"/>
        <w:right w:val="none" w:sz="0" w:space="0" w:color="auto"/>
      </w:divBdr>
    </w:div>
    <w:div w:id="208762976">
      <w:bodyDiv w:val="1"/>
      <w:marLeft w:val="0"/>
      <w:marRight w:val="0"/>
      <w:marTop w:val="0"/>
      <w:marBottom w:val="0"/>
      <w:divBdr>
        <w:top w:val="none" w:sz="0" w:space="0" w:color="auto"/>
        <w:left w:val="none" w:sz="0" w:space="0" w:color="auto"/>
        <w:bottom w:val="none" w:sz="0" w:space="0" w:color="auto"/>
        <w:right w:val="none" w:sz="0" w:space="0" w:color="auto"/>
      </w:divBdr>
      <w:divsChild>
        <w:div w:id="800537271">
          <w:marLeft w:val="0"/>
          <w:marRight w:val="0"/>
          <w:marTop w:val="0"/>
          <w:marBottom w:val="0"/>
          <w:divBdr>
            <w:top w:val="none" w:sz="0" w:space="0" w:color="auto"/>
            <w:left w:val="none" w:sz="0" w:space="0" w:color="auto"/>
            <w:bottom w:val="none" w:sz="0" w:space="0" w:color="auto"/>
            <w:right w:val="none" w:sz="0" w:space="0" w:color="auto"/>
          </w:divBdr>
          <w:divsChild>
            <w:div w:id="1597395655">
              <w:marLeft w:val="0"/>
              <w:marRight w:val="0"/>
              <w:marTop w:val="0"/>
              <w:marBottom w:val="0"/>
              <w:divBdr>
                <w:top w:val="none" w:sz="0" w:space="0" w:color="auto"/>
                <w:left w:val="none" w:sz="0" w:space="0" w:color="auto"/>
                <w:bottom w:val="none" w:sz="0" w:space="0" w:color="auto"/>
                <w:right w:val="none" w:sz="0" w:space="0" w:color="auto"/>
              </w:divBdr>
              <w:divsChild>
                <w:div w:id="7565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199144">
      <w:bodyDiv w:val="1"/>
      <w:marLeft w:val="0"/>
      <w:marRight w:val="0"/>
      <w:marTop w:val="0"/>
      <w:marBottom w:val="0"/>
      <w:divBdr>
        <w:top w:val="none" w:sz="0" w:space="0" w:color="auto"/>
        <w:left w:val="none" w:sz="0" w:space="0" w:color="auto"/>
        <w:bottom w:val="none" w:sz="0" w:space="0" w:color="auto"/>
        <w:right w:val="none" w:sz="0" w:space="0" w:color="auto"/>
      </w:divBdr>
    </w:div>
    <w:div w:id="511191355">
      <w:bodyDiv w:val="1"/>
      <w:marLeft w:val="0"/>
      <w:marRight w:val="0"/>
      <w:marTop w:val="0"/>
      <w:marBottom w:val="0"/>
      <w:divBdr>
        <w:top w:val="none" w:sz="0" w:space="0" w:color="auto"/>
        <w:left w:val="none" w:sz="0" w:space="0" w:color="auto"/>
        <w:bottom w:val="none" w:sz="0" w:space="0" w:color="auto"/>
        <w:right w:val="none" w:sz="0" w:space="0" w:color="auto"/>
      </w:divBdr>
    </w:div>
    <w:div w:id="643320314">
      <w:bodyDiv w:val="1"/>
      <w:marLeft w:val="0"/>
      <w:marRight w:val="0"/>
      <w:marTop w:val="0"/>
      <w:marBottom w:val="0"/>
      <w:divBdr>
        <w:top w:val="none" w:sz="0" w:space="0" w:color="auto"/>
        <w:left w:val="none" w:sz="0" w:space="0" w:color="auto"/>
        <w:bottom w:val="none" w:sz="0" w:space="0" w:color="auto"/>
        <w:right w:val="none" w:sz="0" w:space="0" w:color="auto"/>
      </w:divBdr>
    </w:div>
    <w:div w:id="650642245">
      <w:bodyDiv w:val="1"/>
      <w:marLeft w:val="0"/>
      <w:marRight w:val="0"/>
      <w:marTop w:val="0"/>
      <w:marBottom w:val="0"/>
      <w:divBdr>
        <w:top w:val="none" w:sz="0" w:space="0" w:color="auto"/>
        <w:left w:val="none" w:sz="0" w:space="0" w:color="auto"/>
        <w:bottom w:val="none" w:sz="0" w:space="0" w:color="auto"/>
        <w:right w:val="none" w:sz="0" w:space="0" w:color="auto"/>
      </w:divBdr>
      <w:divsChild>
        <w:div w:id="1049301177">
          <w:marLeft w:val="0"/>
          <w:marRight w:val="0"/>
          <w:marTop w:val="0"/>
          <w:marBottom w:val="0"/>
          <w:divBdr>
            <w:top w:val="none" w:sz="0" w:space="0" w:color="auto"/>
            <w:left w:val="none" w:sz="0" w:space="0" w:color="auto"/>
            <w:bottom w:val="none" w:sz="0" w:space="0" w:color="auto"/>
            <w:right w:val="none" w:sz="0" w:space="0" w:color="auto"/>
          </w:divBdr>
          <w:divsChild>
            <w:div w:id="1892033106">
              <w:marLeft w:val="0"/>
              <w:marRight w:val="0"/>
              <w:marTop w:val="0"/>
              <w:marBottom w:val="0"/>
              <w:divBdr>
                <w:top w:val="none" w:sz="0" w:space="0" w:color="auto"/>
                <w:left w:val="none" w:sz="0" w:space="0" w:color="auto"/>
                <w:bottom w:val="none" w:sz="0" w:space="0" w:color="auto"/>
                <w:right w:val="none" w:sz="0" w:space="0" w:color="auto"/>
              </w:divBdr>
              <w:divsChild>
                <w:div w:id="156528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92124">
      <w:bodyDiv w:val="1"/>
      <w:marLeft w:val="0"/>
      <w:marRight w:val="0"/>
      <w:marTop w:val="0"/>
      <w:marBottom w:val="0"/>
      <w:divBdr>
        <w:top w:val="none" w:sz="0" w:space="0" w:color="auto"/>
        <w:left w:val="none" w:sz="0" w:space="0" w:color="auto"/>
        <w:bottom w:val="none" w:sz="0" w:space="0" w:color="auto"/>
        <w:right w:val="none" w:sz="0" w:space="0" w:color="auto"/>
      </w:divBdr>
    </w:div>
    <w:div w:id="862941527">
      <w:bodyDiv w:val="1"/>
      <w:marLeft w:val="0"/>
      <w:marRight w:val="0"/>
      <w:marTop w:val="0"/>
      <w:marBottom w:val="0"/>
      <w:divBdr>
        <w:top w:val="none" w:sz="0" w:space="0" w:color="auto"/>
        <w:left w:val="none" w:sz="0" w:space="0" w:color="auto"/>
        <w:bottom w:val="none" w:sz="0" w:space="0" w:color="auto"/>
        <w:right w:val="none" w:sz="0" w:space="0" w:color="auto"/>
      </w:divBdr>
    </w:div>
    <w:div w:id="933824806">
      <w:bodyDiv w:val="1"/>
      <w:marLeft w:val="0"/>
      <w:marRight w:val="0"/>
      <w:marTop w:val="0"/>
      <w:marBottom w:val="0"/>
      <w:divBdr>
        <w:top w:val="none" w:sz="0" w:space="0" w:color="auto"/>
        <w:left w:val="none" w:sz="0" w:space="0" w:color="auto"/>
        <w:bottom w:val="none" w:sz="0" w:space="0" w:color="auto"/>
        <w:right w:val="none" w:sz="0" w:space="0" w:color="auto"/>
      </w:divBdr>
    </w:div>
    <w:div w:id="1010566913">
      <w:bodyDiv w:val="1"/>
      <w:marLeft w:val="0"/>
      <w:marRight w:val="0"/>
      <w:marTop w:val="0"/>
      <w:marBottom w:val="0"/>
      <w:divBdr>
        <w:top w:val="none" w:sz="0" w:space="0" w:color="auto"/>
        <w:left w:val="none" w:sz="0" w:space="0" w:color="auto"/>
        <w:bottom w:val="none" w:sz="0" w:space="0" w:color="auto"/>
        <w:right w:val="none" w:sz="0" w:space="0" w:color="auto"/>
      </w:divBdr>
    </w:div>
    <w:div w:id="1038090806">
      <w:bodyDiv w:val="1"/>
      <w:marLeft w:val="0"/>
      <w:marRight w:val="0"/>
      <w:marTop w:val="0"/>
      <w:marBottom w:val="0"/>
      <w:divBdr>
        <w:top w:val="none" w:sz="0" w:space="0" w:color="auto"/>
        <w:left w:val="none" w:sz="0" w:space="0" w:color="auto"/>
        <w:bottom w:val="none" w:sz="0" w:space="0" w:color="auto"/>
        <w:right w:val="none" w:sz="0" w:space="0" w:color="auto"/>
      </w:divBdr>
    </w:div>
    <w:div w:id="1229997847">
      <w:bodyDiv w:val="1"/>
      <w:marLeft w:val="0"/>
      <w:marRight w:val="0"/>
      <w:marTop w:val="0"/>
      <w:marBottom w:val="0"/>
      <w:divBdr>
        <w:top w:val="none" w:sz="0" w:space="0" w:color="auto"/>
        <w:left w:val="none" w:sz="0" w:space="0" w:color="auto"/>
        <w:bottom w:val="none" w:sz="0" w:space="0" w:color="auto"/>
        <w:right w:val="none" w:sz="0" w:space="0" w:color="auto"/>
      </w:divBdr>
    </w:div>
    <w:div w:id="1231692299">
      <w:bodyDiv w:val="1"/>
      <w:marLeft w:val="0"/>
      <w:marRight w:val="0"/>
      <w:marTop w:val="0"/>
      <w:marBottom w:val="0"/>
      <w:divBdr>
        <w:top w:val="none" w:sz="0" w:space="0" w:color="auto"/>
        <w:left w:val="none" w:sz="0" w:space="0" w:color="auto"/>
        <w:bottom w:val="none" w:sz="0" w:space="0" w:color="auto"/>
        <w:right w:val="none" w:sz="0" w:space="0" w:color="auto"/>
      </w:divBdr>
    </w:div>
    <w:div w:id="1254127554">
      <w:bodyDiv w:val="1"/>
      <w:marLeft w:val="0"/>
      <w:marRight w:val="0"/>
      <w:marTop w:val="0"/>
      <w:marBottom w:val="0"/>
      <w:divBdr>
        <w:top w:val="none" w:sz="0" w:space="0" w:color="auto"/>
        <w:left w:val="none" w:sz="0" w:space="0" w:color="auto"/>
        <w:bottom w:val="none" w:sz="0" w:space="0" w:color="auto"/>
        <w:right w:val="none" w:sz="0" w:space="0" w:color="auto"/>
      </w:divBdr>
    </w:div>
    <w:div w:id="1280380214">
      <w:bodyDiv w:val="1"/>
      <w:marLeft w:val="0"/>
      <w:marRight w:val="0"/>
      <w:marTop w:val="0"/>
      <w:marBottom w:val="0"/>
      <w:divBdr>
        <w:top w:val="none" w:sz="0" w:space="0" w:color="auto"/>
        <w:left w:val="none" w:sz="0" w:space="0" w:color="auto"/>
        <w:bottom w:val="none" w:sz="0" w:space="0" w:color="auto"/>
        <w:right w:val="none" w:sz="0" w:space="0" w:color="auto"/>
      </w:divBdr>
      <w:divsChild>
        <w:div w:id="580911469">
          <w:marLeft w:val="0"/>
          <w:marRight w:val="0"/>
          <w:marTop w:val="0"/>
          <w:marBottom w:val="0"/>
          <w:divBdr>
            <w:top w:val="none" w:sz="0" w:space="0" w:color="auto"/>
            <w:left w:val="none" w:sz="0" w:space="0" w:color="auto"/>
            <w:bottom w:val="none" w:sz="0" w:space="0" w:color="auto"/>
            <w:right w:val="none" w:sz="0" w:space="0" w:color="auto"/>
          </w:divBdr>
          <w:divsChild>
            <w:div w:id="1563129318">
              <w:marLeft w:val="0"/>
              <w:marRight w:val="0"/>
              <w:marTop w:val="0"/>
              <w:marBottom w:val="0"/>
              <w:divBdr>
                <w:top w:val="none" w:sz="0" w:space="0" w:color="auto"/>
                <w:left w:val="none" w:sz="0" w:space="0" w:color="auto"/>
                <w:bottom w:val="none" w:sz="0" w:space="0" w:color="auto"/>
                <w:right w:val="none" w:sz="0" w:space="0" w:color="auto"/>
              </w:divBdr>
              <w:divsChild>
                <w:div w:id="65742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514940">
      <w:bodyDiv w:val="1"/>
      <w:marLeft w:val="0"/>
      <w:marRight w:val="0"/>
      <w:marTop w:val="0"/>
      <w:marBottom w:val="0"/>
      <w:divBdr>
        <w:top w:val="none" w:sz="0" w:space="0" w:color="auto"/>
        <w:left w:val="none" w:sz="0" w:space="0" w:color="auto"/>
        <w:bottom w:val="none" w:sz="0" w:space="0" w:color="auto"/>
        <w:right w:val="none" w:sz="0" w:space="0" w:color="auto"/>
      </w:divBdr>
    </w:div>
    <w:div w:id="1355570497">
      <w:bodyDiv w:val="1"/>
      <w:marLeft w:val="0"/>
      <w:marRight w:val="0"/>
      <w:marTop w:val="0"/>
      <w:marBottom w:val="0"/>
      <w:divBdr>
        <w:top w:val="none" w:sz="0" w:space="0" w:color="auto"/>
        <w:left w:val="none" w:sz="0" w:space="0" w:color="auto"/>
        <w:bottom w:val="none" w:sz="0" w:space="0" w:color="auto"/>
        <w:right w:val="none" w:sz="0" w:space="0" w:color="auto"/>
      </w:divBdr>
    </w:div>
    <w:div w:id="1395544367">
      <w:bodyDiv w:val="1"/>
      <w:marLeft w:val="0"/>
      <w:marRight w:val="0"/>
      <w:marTop w:val="0"/>
      <w:marBottom w:val="0"/>
      <w:divBdr>
        <w:top w:val="none" w:sz="0" w:space="0" w:color="auto"/>
        <w:left w:val="none" w:sz="0" w:space="0" w:color="auto"/>
        <w:bottom w:val="none" w:sz="0" w:space="0" w:color="auto"/>
        <w:right w:val="none" w:sz="0" w:space="0" w:color="auto"/>
      </w:divBdr>
    </w:div>
    <w:div w:id="1669408758">
      <w:bodyDiv w:val="1"/>
      <w:marLeft w:val="0"/>
      <w:marRight w:val="0"/>
      <w:marTop w:val="0"/>
      <w:marBottom w:val="0"/>
      <w:divBdr>
        <w:top w:val="none" w:sz="0" w:space="0" w:color="auto"/>
        <w:left w:val="none" w:sz="0" w:space="0" w:color="auto"/>
        <w:bottom w:val="none" w:sz="0" w:space="0" w:color="auto"/>
        <w:right w:val="none" w:sz="0" w:space="0" w:color="auto"/>
      </w:divBdr>
    </w:div>
    <w:div w:id="1908497424">
      <w:bodyDiv w:val="1"/>
      <w:marLeft w:val="0"/>
      <w:marRight w:val="0"/>
      <w:marTop w:val="0"/>
      <w:marBottom w:val="0"/>
      <w:divBdr>
        <w:top w:val="none" w:sz="0" w:space="0" w:color="auto"/>
        <w:left w:val="none" w:sz="0" w:space="0" w:color="auto"/>
        <w:bottom w:val="none" w:sz="0" w:space="0" w:color="auto"/>
        <w:right w:val="none" w:sz="0" w:space="0" w:color="auto"/>
      </w:divBdr>
    </w:div>
    <w:div w:id="1971397152">
      <w:bodyDiv w:val="1"/>
      <w:marLeft w:val="0"/>
      <w:marRight w:val="0"/>
      <w:marTop w:val="0"/>
      <w:marBottom w:val="0"/>
      <w:divBdr>
        <w:top w:val="none" w:sz="0" w:space="0" w:color="auto"/>
        <w:left w:val="none" w:sz="0" w:space="0" w:color="auto"/>
        <w:bottom w:val="none" w:sz="0" w:space="0" w:color="auto"/>
        <w:right w:val="none" w:sz="0" w:space="0" w:color="auto"/>
      </w:divBdr>
    </w:div>
    <w:div w:id="2011642048">
      <w:bodyDiv w:val="1"/>
      <w:marLeft w:val="0"/>
      <w:marRight w:val="0"/>
      <w:marTop w:val="0"/>
      <w:marBottom w:val="0"/>
      <w:divBdr>
        <w:top w:val="none" w:sz="0" w:space="0" w:color="auto"/>
        <w:left w:val="none" w:sz="0" w:space="0" w:color="auto"/>
        <w:bottom w:val="none" w:sz="0" w:space="0" w:color="auto"/>
        <w:right w:val="none" w:sz="0" w:space="0" w:color="auto"/>
      </w:divBdr>
    </w:div>
    <w:div w:id="213254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7</Pages>
  <Words>829</Words>
  <Characters>4976</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Zbrzeźniak</dc:creator>
  <cp:keywords/>
  <dc:description/>
  <cp:lastModifiedBy>Kamil Zbrzeźniak</cp:lastModifiedBy>
  <cp:revision>5</cp:revision>
  <dcterms:created xsi:type="dcterms:W3CDTF">2024-11-06T19:39:00Z</dcterms:created>
  <dcterms:modified xsi:type="dcterms:W3CDTF">2024-11-06T22:55:00Z</dcterms:modified>
</cp:coreProperties>
</file>