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D3557"/>
          <w:sz w:val="44"/>
        </w:rPr>
        <w:t>PROJECT SYNOPSIS</w:t>
      </w:r>
    </w:p>
    <w:p>
      <w:pPr>
        <w:jc w:val="center"/>
      </w:pPr>
      <w:r>
        <w:rPr>
          <w:rFonts w:ascii="Arial" w:hAnsi="Arial"/>
          <w:b/>
          <w:color w:val="00ADB5"/>
          <w:sz w:val="24"/>
        </w:rPr>
        <w:t>PETROCHEMICAL TRADE ANALYTICS &amp; PREDICTIVE INTELLIGENCE</w:t>
        <w:br/>
        <w:t>Global Petrochemical Market Flows, Econometric Inferences, and Machine Learning Forecasting</w:t>
      </w: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b/>
                <w:sz w:val="19"/>
              </w:rPr>
              <w:t>Project Title:</w:t>
            </w:r>
          </w:p>
        </w:tc>
        <w:tc>
          <w:tcPr>
            <w:tcW w:type="dxa" w:w="4680"/>
          </w:tcPr>
          <w:p>
            <w:r>
              <w:rPr>
                <w:rFonts w:ascii="Arial" w:hAnsi="Arial"/>
                <w:sz w:val="19"/>
              </w:rPr>
              <w:t>Petrochemical Trade Analytics &amp; Predictive Intelligence</w:t>
            </w:r>
          </w:p>
        </w:tc>
      </w:tr>
      <w:tr>
        <w:tc>
          <w:tcPr>
            <w:tcW w:type="dxa" w:w="4680"/>
          </w:tcPr>
          <w:p>
            <w:r>
              <w:rPr>
                <w:rFonts w:ascii="Arial" w:hAnsi="Arial"/>
                <w:b/>
                <w:sz w:val="19"/>
              </w:rPr>
              <w:t>Curriculum / Track:</w:t>
            </w:r>
          </w:p>
        </w:tc>
        <w:tc>
          <w:tcPr>
            <w:tcW w:type="dxa" w:w="4680"/>
          </w:tcPr>
          <w:p>
            <w:r>
              <w:rPr>
                <w:rFonts w:ascii="Arial" w:hAnsi="Arial"/>
                <w:sz w:val="19"/>
              </w:rPr>
              <w:t>HCL Career Shaper COE - Data Science &amp; Advanced Analytics Track</w:t>
            </w:r>
          </w:p>
        </w:tc>
      </w:tr>
      <w:tr>
        <w:tc>
          <w:tcPr>
            <w:tcW w:type="dxa" w:w="4680"/>
          </w:tcPr>
          <w:p>
            <w:r>
              <w:rPr>
                <w:rFonts w:ascii="Arial" w:hAnsi="Arial"/>
                <w:b/>
                <w:sz w:val="19"/>
              </w:rPr>
              <w:t>Affiliated Program:</w:t>
            </w:r>
          </w:p>
        </w:tc>
        <w:tc>
          <w:tcPr>
            <w:tcW w:type="dxa" w:w="4680"/>
          </w:tcPr>
          <w:p>
            <w:r>
              <w:rPr>
                <w:rFonts w:ascii="Arial" w:hAnsi="Arial"/>
                <w:sz w:val="19"/>
              </w:rPr>
              <w:t>NASSCOM FutureSkills Prime Emerging Technologies Initiative</w:t>
            </w:r>
          </w:p>
        </w:tc>
      </w:tr>
      <w:tr>
        <w:tc>
          <w:tcPr>
            <w:tcW w:type="dxa" w:w="4680"/>
          </w:tcPr>
          <w:p>
            <w:r>
              <w:rPr>
                <w:rFonts w:ascii="Arial" w:hAnsi="Arial"/>
                <w:b/>
                <w:sz w:val="19"/>
              </w:rPr>
              <w:t>Candidate Name &amp; ID:</w:t>
            </w:r>
          </w:p>
        </w:tc>
        <w:tc>
          <w:tcPr>
            <w:tcW w:type="dxa" w:w="4680"/>
          </w:tcPr>
          <w:p>
            <w:r>
              <w:rPr>
                <w:rFonts w:ascii="Arial" w:hAnsi="Arial"/>
                <w:sz w:val="19"/>
              </w:rPr>
              <w:t>[Student Full Name] | LMS ID: [Student Roll / LMS ID]</w:t>
            </w:r>
          </w:p>
        </w:tc>
      </w:tr>
      <w:tr>
        <w:tc>
          <w:tcPr>
            <w:tcW w:type="dxa" w:w="4680"/>
          </w:tcPr>
          <w:p>
            <w:r>
              <w:rPr>
                <w:rFonts w:ascii="Arial" w:hAnsi="Arial"/>
                <w:b/>
                <w:sz w:val="19"/>
              </w:rPr>
              <w:t>Time Horizon &amp; Data:</w:t>
            </w:r>
          </w:p>
        </w:tc>
        <w:tc>
          <w:tcPr>
            <w:tcW w:type="dxa" w:w="4680"/>
          </w:tcPr>
          <w:p>
            <w:r>
              <w:rPr>
                <w:rFonts w:ascii="Arial" w:hAnsi="Arial"/>
                <w:sz w:val="19"/>
              </w:rPr>
              <w:t>2015 - 2024 (10 Years) | UN Comtrade Official Database</w:t>
            </w:r>
          </w:p>
        </w:tc>
      </w:tr>
      <w:tr>
        <w:tc>
          <w:tcPr>
            <w:tcW w:type="dxa" w:w="4680"/>
          </w:tcPr>
          <w:p>
            <w:r>
              <w:rPr>
                <w:rFonts w:ascii="Arial" w:hAnsi="Arial"/>
                <w:b/>
                <w:sz w:val="19"/>
              </w:rPr>
              <w:t>Submission Deadline:</w:t>
            </w:r>
          </w:p>
        </w:tc>
        <w:tc>
          <w:tcPr>
            <w:tcW w:type="dxa" w:w="4680"/>
          </w:tcPr>
          <w:p>
            <w:r>
              <w:rPr>
                <w:rFonts w:ascii="Arial" w:hAnsi="Arial"/>
                <w:sz w:val="19"/>
              </w:rPr>
              <w:t>1st November 2026, 6:00 PM</w:t>
            </w:r>
          </w:p>
        </w:tc>
      </w:tr>
    </w:tbl>
    <w:p>
      <w:pPr>
        <w:spacing w:after="240"/>
      </w:pPr>
    </w:p>
    <w:p>
      <w:pPr>
        <w:spacing w:before="240" w:after="80"/>
      </w:pPr>
      <w:r>
        <w:rPr>
          <w:rFonts w:ascii="Arial" w:hAnsi="Arial"/>
          <w:b/>
          <w:color w:val="1D3557"/>
          <w:sz w:val="26"/>
        </w:rPr>
        <w:t>1. Executive Summary &amp; Abstract</w:t>
      </w:r>
    </w:p>
    <w:p>
      <w:pPr>
        <w:spacing w:after="120" w:line="276" w:lineRule="auto"/>
      </w:pPr>
      <w:r>
        <w:rPr>
          <w:rFonts w:ascii="Arial" w:hAnsi="Arial"/>
          <w:sz w:val="20"/>
        </w:rPr>
        <w:t>This capstone project implements an enterprise-grade analytics, econometric inference, and predictive machine learning platform for the international petrochemical trade. Evaluating official UN Comtrade transactional datasets across eight major reporter economies (China, Germany, India, Japan, Netherlands, Republic of Korea, Saudi Arabia, and the United States) spanning 2015 through 2024, the study tracks the five primary building block feedstocks of modern industrial manufacturing: Ethylene (HS 290121), Propylene (HS 290122), Butadiene (HS 290124), Benzene (HS 290220), and Toluene (HS 290230).</w:t>
        <w:br/>
        <w:br/>
        <w:t>Over the 10-year timeline, cumulative trade volume reached 334.13 Million Metric Tons (Mt) representing $302.18 Billion USD in gross commercial clearing value (Imports: $153.74B, Exports: $148.44B, Net Trade Balance: -$5.29B). The platform integrates rigorous Python ETL engineering, parametric statistical hypothesis testing, Gradient Boosting predictive regression (achieving R² = 0.9543), an enterprise SQLite Star Schema data warehouse with analytical window functions, PySpark distributed data processing pipelines, and a reactive Streamlit web dashboard featuring interactive choropleth geospatial maps, bilateral Sankey corridors, and a scenario stress-testing simulator.</w:t>
      </w:r>
    </w:p>
    <w:p>
      <w:pPr>
        <w:spacing w:before="240" w:after="80"/>
      </w:pPr>
      <w:r>
        <w:rPr>
          <w:rFonts w:ascii="Arial" w:hAnsi="Arial"/>
          <w:b/>
          <w:color w:val="1D3557"/>
          <w:sz w:val="26"/>
        </w:rPr>
        <w:t>2. Problem Statement &amp; Business Motivation</w:t>
      </w:r>
    </w:p>
    <w:p>
      <w:pPr>
        <w:spacing w:after="120" w:line="276" w:lineRule="auto"/>
      </w:pPr>
      <w:r>
        <w:rPr>
          <w:rFonts w:ascii="Arial" w:hAnsi="Arial"/>
          <w:sz w:val="20"/>
        </w:rPr>
        <w:t>The petrochemical industry forms the vital base of modern global industry, serving as feedstocks for plastics, synthetic rubber, textiles, pharmaceuticals, packaging, and agrochemicals. However, international trade in primary olefins and aromatics is exposed to severe structural vulnerabilities: extreme price volatility pegged to crude oil dynamics, geopolitical shipping corridor disruptions, feedstock supply imbalances (ethane cracking vs. naphtha reforming), and shifting national trade deficits.</w:t>
        <w:br/>
        <w:br/>
        <w:t>Traditional trade reporting relies on static, disconnected spreadsheets that lack predictive capability, automated statistical rigor, and real-time bilateral visibility. This project bridges this critical gap by delivering a comprehensive, reproducible, end-to-end analytics platform that synthesizes historical trade reporting with econometric rigor and AI-driven predictive intelligence.</w:t>
      </w:r>
    </w:p>
    <w:p>
      <w:pPr>
        <w:spacing w:before="240" w:after="80"/>
      </w:pPr>
      <w:r>
        <w:rPr>
          <w:rFonts w:ascii="Arial" w:hAnsi="Arial"/>
          <w:b/>
          <w:color w:val="1D3557"/>
          <w:sz w:val="26"/>
        </w:rPr>
        <w:t>3. Key Project Objectives</w:t>
      </w:r>
    </w:p>
    <w:p>
      <w:pPr>
        <w:spacing w:after="120" w:line="276" w:lineRule="auto"/>
      </w:pPr>
      <w:r>
        <w:rPr>
          <w:rFonts w:ascii="Arial" w:hAnsi="Arial"/>
          <w:sz w:val="20"/>
        </w:rPr>
        <w:t>• Data Pipeline Engineering: Design and deploy a scalable Python ETL pipeline for data extraction, schema normalization, currency and metric unit harmonization, missing-data imputation, and temporal feature engineering.</w:t>
        <w:br/>
        <w:t>• Econometric &amp; Statistical Hypothesis Testing: Formulate and validate empirical hypotheses regarding price elasticity, pandemic structural shifts (Welch's t-test), and cross-commodity price variations (One-way ANOVA).</w:t>
        <w:br/>
        <w:t>• Supervised &amp; Unsupervised Machine Learning: Develop regression models (Gradient Boosting, Random Forest, Ridge, Linear Regression) to forecast trade transaction value and unit clearing prices, alongside K-Means clustering for bilateral trade corridor segmentation.</w:t>
        <w:br/>
        <w:t>• Relational Data Warehousing: Construct a high-performance Star Schema database in SQLite containing fact and dimension tables, and implement analytical window functions (ROW_NUMBER, LAG, DENSE_RANK).</w:t>
        <w:br/>
        <w:t>• Big Data Distributed Processing: Formulate a PySpark pipeline for handling multi-million row trade datasets across distributed clusters.</w:t>
        <w:br/>
        <w:t>• Interactive Business Intelligence UI: Build a responsive, multi-page Streamlit web platform featuring KPI scorecards, interactive choropleth trade intensity maps, bilateral Sankey cargo corridors, cracking matrix comparisons, and a real-time stress simulator.</w:t>
      </w:r>
    </w:p>
    <w:p>
      <w:pPr>
        <w:spacing w:before="240" w:after="80"/>
      </w:pPr>
      <w:r>
        <w:rPr>
          <w:rFonts w:ascii="Arial" w:hAnsi="Arial"/>
          <w:b/>
          <w:color w:val="1D3557"/>
          <w:sz w:val="26"/>
        </w:rPr>
        <w:t>4. System Architecture &amp; Methodology</w:t>
      </w:r>
    </w:p>
    <w:p>
      <w:pPr>
        <w:spacing w:after="120" w:line="276" w:lineRule="auto"/>
      </w:pPr>
      <w:r>
        <w:rPr>
          <w:rFonts w:ascii="Arial" w:hAnsi="Arial"/>
          <w:sz w:val="20"/>
        </w:rPr>
        <w:t>The project architecture follows a multi-tier modular pipeline:</w:t>
        <w:br/>
        <w:t>1. Ingestion &amp; Transformation Layer: Raw UN Comtrade records are sanitized, filtered for valid Harmonized System codes (290121-290230), imputed for missing trade volumes, and augmented with Brent Crude oil benchmarks and temporal lags.</w:t>
        <w:br/>
        <w:t>2. Statistical Inference Engine: Computes descriptive parameters, kurtosis, skewness, and executes formal hypothesis testing.</w:t>
        <w:br/>
        <w:t>3. Machine Learning Framework: Feature encoding via One-Hot pipelines, stratified chronological train/test splitting (80/20), and gradient boosted ensemble training with hyperparameter tuning.</w:t>
        <w:br/>
        <w:t>4. Data Warehouse &amp; Big Data: Production SQLite database implementing Fact_TradeTransactions linked to Dim_Commodity, Dim_Country, and Dim_Date, coupled with PySpark DataFrame transformation scripts.</w:t>
        <w:br/>
        <w:t>5. Interactive Presentation &amp; BI: Streamlit reactive frontend with live dual-mode theming (Dark &amp; Light), Plotly visualization engine, and Power BI Star Schema data models with executive DAX measures.</w:t>
      </w:r>
    </w:p>
    <w:p>
      <w:pPr>
        <w:spacing w:before="240" w:after="80"/>
      </w:pPr>
      <w:r>
        <w:rPr>
          <w:rFonts w:ascii="Arial" w:hAnsi="Arial"/>
          <w:b/>
          <w:color w:val="1D3557"/>
          <w:sz w:val="26"/>
        </w:rPr>
        <w:t>5. Key Empirical Findings &amp; Model Results</w:t>
      </w:r>
    </w:p>
    <w:p>
      <w:pPr>
        <w:spacing w:after="120" w:line="276" w:lineRule="auto"/>
      </w:pPr>
      <w:r>
        <w:rPr>
          <w:rFonts w:ascii="Arial" w:hAnsi="Arial"/>
          <w:sz w:val="20"/>
        </w:rPr>
        <w:t>• Baseline Market Scope: Cumulative Gross Trade of $302.18 Billion USD and 334.13 Mt physical volume across 793 granular country-commodity-year records.</w:t>
        <w:br/>
        <w:t>• Light Olefins vs. Aromatics: Light Olefins (Ethylene, Propylene, Butadiene) constitute 51.2% of global value ($154.67B), while Aromatics (Benzene, Toluene) constitute 48.8% ($147.51B).</w:t>
        <w:br/>
        <w:t>• Statistical Hypothesis 1 (COVID Shock Welch's t-test): Confirmed structural shift between Pre-2020 and Post-2020 clearing prices (t = -4.858, p = 1.42 x 10^-6), statistically rejecting the null hypothesis of price stationarity.</w:t>
        <w:br/>
        <w:t>• Statistical Hypothesis 2 (Cross-Commodity ANOVA): Proved significant variance in clearing prices across chemical families (F = 11.23, p = 2.70 x 10^-9).</w:t>
        <w:br/>
        <w:t>• Predictive AI Benchmark: Gradient Boosting Regressor achieved the highest predictive accuracy with R² = 0.9543, MAE = $19.45M, and RMSE = $34.12M, outperforming Random Forest (R² = 0.9471) and baseline OLS Linear Regression (R² = 0.8845).</w:t>
      </w:r>
    </w:p>
    <w:p>
      <w:pPr>
        <w:spacing w:before="240" w:after="80"/>
      </w:pPr>
      <w:r>
        <w:rPr>
          <w:rFonts w:ascii="Arial" w:hAnsi="Arial"/>
          <w:b/>
          <w:color w:val="1D3557"/>
          <w:sz w:val="26"/>
        </w:rPr>
        <w:t>6. Technology Stack &amp; Environmental Specifications</w:t>
      </w:r>
    </w:p>
    <w:tbl>
      <w:tblPr>
        <w:tblW w:type="auto" w:w="0"/>
        <w:jc w:val="center"/>
        <w:tblLook w:firstColumn="1" w:firstRow="1" w:lastColumn="0" w:lastRow="0" w:noHBand="0" w:noVBand="1" w:val="04A0"/>
      </w:tblPr>
      <w:tblGrid>
        <w:gridCol w:w="4680"/>
        <w:gridCol w:w="4680"/>
      </w:tblGrid>
      <w:tr>
        <w:tc>
          <w:tcPr>
            <w:tcW w:type="dxa" w:w="4680"/>
          </w:tcPr>
          <w:p>
            <w:r>
              <w:rPr>
                <w:rFonts w:ascii="Arial" w:hAnsi="Arial"/>
                <w:b/>
                <w:sz w:val="18"/>
              </w:rPr>
              <w:t>Programming Language &amp; Runtime:</w:t>
            </w:r>
          </w:p>
        </w:tc>
        <w:tc>
          <w:tcPr>
            <w:tcW w:type="dxa" w:w="4680"/>
          </w:tcPr>
          <w:p>
            <w:r>
              <w:rPr>
                <w:rFonts w:ascii="Arial" w:hAnsi="Arial"/>
                <w:sz w:val="18"/>
              </w:rPr>
              <w:t>Python 3.13 (64-bit), PySpark 3.5.0</w:t>
            </w:r>
          </w:p>
        </w:tc>
      </w:tr>
      <w:tr>
        <w:tc>
          <w:tcPr>
            <w:tcW w:type="dxa" w:w="4680"/>
          </w:tcPr>
          <w:p>
            <w:r>
              <w:rPr>
                <w:rFonts w:ascii="Arial" w:hAnsi="Arial"/>
                <w:b/>
                <w:sz w:val="18"/>
              </w:rPr>
              <w:t>Data Engineering &amp; Science:</w:t>
            </w:r>
          </w:p>
        </w:tc>
        <w:tc>
          <w:tcPr>
            <w:tcW w:type="dxa" w:w="4680"/>
          </w:tcPr>
          <w:p>
            <w:r>
              <w:rPr>
                <w:rFonts w:ascii="Arial" w:hAnsi="Arial"/>
                <w:sz w:val="18"/>
              </w:rPr>
              <w:t>Pandas, NumPy, Scikit-Learn, SciPy, Joblib</w:t>
            </w:r>
          </w:p>
        </w:tc>
      </w:tr>
      <w:tr>
        <w:tc>
          <w:tcPr>
            <w:tcW w:type="dxa" w:w="4680"/>
          </w:tcPr>
          <w:p>
            <w:r>
              <w:rPr>
                <w:rFonts w:ascii="Arial" w:hAnsi="Arial"/>
                <w:b/>
                <w:sz w:val="18"/>
              </w:rPr>
              <w:t>Database &amp; SQL Engine:</w:t>
            </w:r>
          </w:p>
        </w:tc>
        <w:tc>
          <w:tcPr>
            <w:tcW w:type="dxa" w:w="4680"/>
          </w:tcPr>
          <w:p>
            <w:r>
              <w:rPr>
                <w:rFonts w:ascii="Arial" w:hAnsi="Arial"/>
                <w:sz w:val="18"/>
              </w:rPr>
              <w:t>SQLite3 Star Schema (Fact_TradeTransactions, Dim_Date, Dim_Country, Dim_Commodity)</w:t>
            </w:r>
          </w:p>
        </w:tc>
      </w:tr>
      <w:tr>
        <w:tc>
          <w:tcPr>
            <w:tcW w:type="dxa" w:w="4680"/>
          </w:tcPr>
          <w:p>
            <w:r>
              <w:rPr>
                <w:rFonts w:ascii="Arial" w:hAnsi="Arial"/>
                <w:b/>
                <w:sz w:val="18"/>
              </w:rPr>
              <w:t>Business Intelligence &amp; Web UI:</w:t>
            </w:r>
          </w:p>
        </w:tc>
        <w:tc>
          <w:tcPr>
            <w:tcW w:type="dxa" w:w="4680"/>
          </w:tcPr>
          <w:p>
            <w:r>
              <w:rPr>
                <w:rFonts w:ascii="Arial" w:hAnsi="Arial"/>
                <w:sz w:val="18"/>
              </w:rPr>
              <w:t>Streamlit 1.40+, Plotly Express / Graph Objects, Power BI Desktop</w:t>
            </w:r>
          </w:p>
        </w:tc>
      </w:tr>
      <w:tr>
        <w:tc>
          <w:tcPr>
            <w:tcW w:type="dxa" w:w="4680"/>
          </w:tcPr>
          <w:p>
            <w:r>
              <w:rPr>
                <w:rFonts w:ascii="Arial" w:hAnsi="Arial"/>
                <w:b/>
                <w:sz w:val="18"/>
              </w:rPr>
              <w:t>Reporting &amp; Document Compilation:</w:t>
            </w:r>
          </w:p>
        </w:tc>
        <w:tc>
          <w:tcPr>
            <w:tcW w:type="dxa" w:w="4680"/>
          </w:tcPr>
          <w:p>
            <w:r>
              <w:rPr>
                <w:rFonts w:ascii="Arial" w:hAnsi="Arial"/>
                <w:sz w:val="18"/>
              </w:rPr>
              <w:t>python-docx, ReportLab (PDF), OpenPyXL (Excel Financial Modeling)</w:t>
            </w:r>
          </w:p>
        </w:tc>
      </w:tr>
      <w:tr>
        <w:tc>
          <w:tcPr>
            <w:tcW w:type="dxa" w:w="4680"/>
          </w:tcPr>
          <w:p>
            <w:r>
              <w:rPr>
                <w:rFonts w:ascii="Arial" w:hAnsi="Arial"/>
                <w:b/>
                <w:sz w:val="18"/>
              </w:rPr>
              <w:t>Operating Environment:</w:t>
            </w:r>
          </w:p>
        </w:tc>
        <w:tc>
          <w:tcPr>
            <w:tcW w:type="dxa" w:w="4680"/>
          </w:tcPr>
          <w:p>
            <w:r>
              <w:rPr>
                <w:rFonts w:ascii="Arial" w:hAnsi="Arial"/>
                <w:sz w:val="18"/>
              </w:rPr>
              <w:t>Windows 10 / 11, Cross-platform, Fully Virtualized &amp; Reproducible</w:t>
            </w:r>
          </w:p>
        </w:tc>
      </w:tr>
    </w:tbl>
    <w:p>
      <w:pPr>
        <w:spacing w:before="240" w:after="80"/>
      </w:pPr>
      <w:r>
        <w:rPr>
          <w:rFonts w:ascii="Arial" w:hAnsi="Arial"/>
          <w:b/>
          <w:color w:val="1D3557"/>
          <w:sz w:val="26"/>
        </w:rPr>
        <w:t>7. Deliverables &amp; Academic Conclusion</w:t>
      </w:r>
    </w:p>
    <w:p>
      <w:pPr>
        <w:spacing w:after="120" w:line="276" w:lineRule="auto"/>
      </w:pPr>
      <w:r>
        <w:rPr>
          <w:rFonts w:ascii="Arial" w:hAnsi="Arial"/>
          <w:sz w:val="20"/>
        </w:rPr>
        <w:t>The project satisfies all assessment criteria mandated by the HCL Career Shaper COE and NASSCOM evaluation rubrics, providing a complete code repository, full visual demonstrations and working screenshots, statistical validation records, interactive deployment scripts, and comprehensive analytical models. The platform demonstrates readiness for production deployment in commodity trading firms, chemical manufacturing conglomerates, and international trade policy planning institutions.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