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3557"/>
          <w:sz w:val="44"/>
        </w:rPr>
        <w:t>PETROCHEMICAL TRADE ANALYTICS</w:t>
        <w:br/>
      </w:r>
      <w:r>
        <w:rPr>
          <w:rFonts w:ascii="Arial" w:hAnsi="Arial"/>
          <w:b/>
          <w:color w:val="00ADB5"/>
          <w:sz w:val="26"/>
        </w:rPr>
        <w:t>PROJECT SCREENSHOTS &amp; DEPLOYED SYSTEM DEMONSTRATION</w:t>
        <w:br/>
      </w:r>
      <w:r>
        <w:rPr>
          <w:rFonts w:ascii="Arial" w:hAnsi="Arial"/>
          <w:i/>
          <w:color w:val="64748B"/>
          <w:sz w:val="20"/>
        </w:rPr>
        <w:t>Functional Visual Verification across Streamlit Web UI, SQL Engine, and ML Analytics Modules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  <w:t>Curriculum / Program: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HCL Career Shaper COE &amp; NASSCOM FutureSkills Prime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Project Title: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Petrochemical Trade Analytics &amp; Predictive Intelligence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Candidate Name &amp; ID: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[Student Full Name] | ID: [Student Roll / LMS ID]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Total Visual Demonstrations: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13 High-Resolution Figures &amp; Captions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Submission Date: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1st November 2026, 6:00 PM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1: Executive Command Center &amp; Dynamic KPI Metrics (Dark Mode)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39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xecutive_dashboard_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9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Enterprise command center displaying the core 6-card KPI grid: $302.18B Gross Trade Value, $148.44B Outbound Exports, $153.74B Inbound Imports, -$5.29B Net Balance, 334.13 Mt Physical Volume, and 100% usable data audit. Includes annual trade velocity (2015–2024) and product portfolio share.</w:t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2: Interactive Global Choropleth Trade Map &amp; Scorecard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73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lobal_trade_map_d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Geospatial choropleth world map visualizing trade surplus and deficit intensities across the 8 primary reporter economies (China, Germany, India, Japan, Netherlands, South Korea, Saudi Arabia, USA) and bilateral trading partners, supplemented by the geographical balance scorecard.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3A: Olefins vs. Aromatics Cracking Matrix &amp; Price Distribution (Dark Mode)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11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lefins_aromatics_matrix_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Chemical family comparative analytics contrasting Light Olefins (Ethylene, Propylene, Butadiene; 51.2% market share) against Aromatic Hydrocarbons (Benzene, Toluene; 48.8% market share), paired with benchmark Unit Price (USD/MT) box plot distributions.</w:t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3B: Olefins vs. Aromatics Cracking Matrix &amp; Price Distribution (Normal / Light Mode)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782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lefins_aromatics_matrix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Light mode interface demonstration verifying full dynamic color contrast, slate typography, razor-sharp Plotly axes, and vibrant category markers without washed-out elements.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4: Bilateral Supply Chain Corridors &amp; Cargo Flow Sankey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474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lateral_sankey_corridors_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Interactive multi-node Sankey diagram tracking physical bilateral petrochemical cargo flows from major net-exporting hubs (Saudi Arabia, USA, South Korea) into high-demand importing destinations (China, India, Germany).</w:t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5: Econometric Hypothesis Testing &amp; Statistical Inference Lab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150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conometric_hypothesis_lab_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Real-time econometric inference portal validating structural market shifts: Welch's t-test for COVID-19 structural break (t = -4.858, p = 1.42e-6, Reject H0), One-way ANOVA for inter-commodity price divergence (F = 11.23, p = 2.70e-9), and Pearson price elasticity.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6: Predictive AI &amp; Market Stress-Testing Simulator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136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edictive_ai_simul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Interactive What-If forecasting engine powered by the trained Gradient Boosting model (R² = 0.9543). Evaluates simulated Brent Crude Oil price shocks ($40–$140/bbl) and cargo volume variations to forecast clearing value and implied Trade Unit Value ($/MT).</w:t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7: Enterprise SQL Analytics Terminal (Star Schema)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136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ql_analytics_term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Embedded SQL terminal executing analytical queries against the local SQLite Star Schema data warehouse (database/petrochemical_trade.db). Features queries with Common Table Expressions (CTEs), ROW_NUMBER, LAG, and DENSE_RANK window functions.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8: College LMS Submission Deliverables Hub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136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ms_deliverables_hu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Direct 1-click download center for all required academic submission artifacts: Project Report (PDF/DOCX), Project Synopsis (PDF/DOCX), Complete Code File (PDF/DOCX), Executive Financial Model (XLSX), Cleaned UN Comtrade CSVs, and Power BI DAX Guide.</w:t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9: Machine Learning Model Performance — Actual vs. Predicted (R² = 0.9543)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3646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4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Regression diagnostics scatter plot showing predicted versus actual petrochemical trade value across test partitions, demonstrating high explanatory power and low residual dispersion.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10: Predictive Feature Importance Ranking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7885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Feature attribution analysis demonstrating that cargo volume (MT), crude oil benchmark proxies, and origin/partner country encodings dominate trade value determination.</w:t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11: Econometric Correlation Heatmap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474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Correlation matrix evaluating dependencies between transaction value, physical volume, unit clearing prices, crude oil proxies, and chronological time indices.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D3557"/>
          <w:sz w:val="24"/>
        </w:rPr>
        <w:t>Figure 12: Unsupervised K-Means Bilateral Corridor Clustering (PCA Biplot)</w:t>
      </w: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3761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biplot_p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Arial" w:hAnsi="Arial"/>
          <w:i/>
          <w:color w:val="475569"/>
          <w:sz w:val="18"/>
        </w:rPr>
        <w:t>Description &amp; Analytical Function: Principal Component Analysis (PCA) biplot displaying K-Means clustering segmentation of international trade routes into high-volume bulk corridors, niche specialty flows, and re-export centers.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