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D3557"/>
          <w:sz w:val="48"/>
        </w:rPr>
        <w:t>PETROCHEMICAL TRADE ANALYTICS</w:t>
      </w:r>
    </w:p>
    <w:p>
      <w:pPr>
        <w:jc w:val="center"/>
      </w:pPr>
      <w:r>
        <w:rPr>
          <w:rFonts w:ascii="Arial" w:hAnsi="Arial"/>
          <w:i/>
          <w:color w:val="4A5568"/>
          <w:sz w:val="24"/>
        </w:rPr>
        <w:t>Global Trade Flows, Statistical Inference, Predictive Machine Learning, and Enterprise Business Intelligence</w:t>
      </w:r>
    </w:p>
    <w:p>
      <w:pPr>
        <w:jc w:val="center"/>
      </w:pPr>
      <w:r>
        <w:rPr>
          <w:sz w:val="20"/>
        </w:rPr>
        <w:t>Capstone Academic Project Submission | Candidate: Anshu Kumar | Timeframe: 2015–2024 | Data Source: UN Comtrade</w:t>
        <w:br/>
      </w:r>
    </w:p>
    <w:p>
      <w:pPr>
        <w:spacing w:after="240"/>
      </w:pPr>
    </w:p>
    <w:p>
      <w:pPr>
        <w:spacing w:before="280" w:after="120"/>
      </w:pPr>
      <w:r>
        <w:rPr>
          <w:rFonts w:ascii="Arial" w:hAnsi="Arial"/>
          <w:b/>
          <w:color w:val="1D3557"/>
          <w:sz w:val="30"/>
        </w:rPr>
        <w:t>1. Executive Summary &amp; Project Abstract</w:t>
      </w:r>
    </w:p>
    <w:p>
      <w:pPr>
        <w:spacing w:line="276" w:lineRule="auto"/>
      </w:pPr>
      <w:r>
        <w:t>This project delivers an end-to-end data analytics and intelligence suite evaluating global petrochemical trade flows across eight major economies (China, Germany, India, Japan, Netherlands, Republic of Korea, Saudi Arabia, and the United States) from 2015 through 2024. The commodities analyzed encompass the five primary building blocks of the chemical manufacturing universe: Ethylene (HS 290121), Propylene (HS 290122), Butadiene (HS 290124), Benzene (HS 290220), and Toluene (HS 290230).</w:t>
        <w:br/>
        <w:br/>
        <w:t>Over the 10-year period, gross commercial trade volume reached 334.13 Million Metric Tons with a cumulative trade value of $302.18 Billion USD (Imports: $153.74B, Exports: $148.44B, Net Trade Balance: -$5.29B). The project demonstrates full mastery across Python data engineering (NumPy, Pandas), parametric and non-parametric statistical hypothesis testing, publication-grade visualization (Matplotlib, Seaborn), supervised and unsupervised machine learning (Gradient Boosting R² = 0.9543, K-Means clustering), big data distributed processing architectures (PySpark), relational Star-Schema SQL engineering (SQLite), and an interactive multi-page Streamlit web intelligence dashboard.</w:t>
      </w:r>
    </w:p>
    <w:p>
      <w:pPr>
        <w:spacing w:before="280" w:after="120"/>
      </w:pPr>
      <w:r>
        <w:rPr>
          <w:rFonts w:ascii="Arial" w:hAnsi="Arial"/>
          <w:b/>
          <w:color w:val="1D3557"/>
          <w:sz w:val="30"/>
        </w:rPr>
        <w:t>2. Commodity Scope &amp; Data Architecture</w:t>
      </w:r>
    </w:p>
    <w:p>
      <w:r>
        <w:t>The project tracks international transactions categorized under the Harmonized Commodity Description and Coding System (HS-6):</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color w:val="FFFFFF"/>
                <w:sz w:val="20"/>
              </w:rPr>
              <w:t>HS Code</w:t>
            </w:r>
          </w:p>
        </w:tc>
        <w:tc>
          <w:tcPr>
            <w:tcW w:type="dxa" w:w="2340"/>
          </w:tcPr>
          <w:p>
            <w:r>
              <w:rPr>
                <w:b/>
                <w:color w:val="FFFFFF"/>
                <w:sz w:val="20"/>
              </w:rPr>
              <w:t>Commodity Name</w:t>
            </w:r>
          </w:p>
        </w:tc>
        <w:tc>
          <w:tcPr>
            <w:tcW w:type="dxa" w:w="2340"/>
          </w:tcPr>
          <w:p>
            <w:r>
              <w:rPr>
                <w:b/>
                <w:color w:val="FFFFFF"/>
                <w:sz w:val="20"/>
              </w:rPr>
              <w:t>Chemical Family</w:t>
            </w:r>
          </w:p>
        </w:tc>
        <w:tc>
          <w:tcPr>
            <w:tcW w:type="dxa" w:w="2340"/>
          </w:tcPr>
          <w:p>
            <w:r>
              <w:rPr>
                <w:b/>
                <w:color w:val="FFFFFF"/>
                <w:sz w:val="20"/>
              </w:rPr>
              <w:t>Primary Industrial Use</w:t>
            </w:r>
          </w:p>
        </w:tc>
      </w:tr>
      <w:tr>
        <w:tc>
          <w:tcPr>
            <w:tcW w:type="dxa" w:w="2340"/>
          </w:tcPr>
          <w:p>
            <w:r>
              <w:rPr>
                <w:sz w:val="19"/>
              </w:rPr>
              <w:t>290121</w:t>
            </w:r>
          </w:p>
        </w:tc>
        <w:tc>
          <w:tcPr>
            <w:tcW w:type="dxa" w:w="2340"/>
          </w:tcPr>
          <w:p>
            <w:r>
              <w:rPr>
                <w:sz w:val="19"/>
              </w:rPr>
              <w:t>Ethylene</w:t>
            </w:r>
          </w:p>
        </w:tc>
        <w:tc>
          <w:tcPr>
            <w:tcW w:type="dxa" w:w="2340"/>
          </w:tcPr>
          <w:p>
            <w:r>
              <w:rPr>
                <w:sz w:val="19"/>
              </w:rPr>
              <w:t>Olefins (Light Aliphatics)</w:t>
            </w:r>
          </w:p>
        </w:tc>
        <w:tc>
          <w:tcPr>
            <w:tcW w:type="dxa" w:w="2340"/>
          </w:tcPr>
          <w:p>
            <w:r>
              <w:rPr>
                <w:sz w:val="19"/>
              </w:rPr>
              <w:t>Polyethylene (PE), PVC, Ethylene Glycol packaging &amp; polymers</w:t>
            </w:r>
          </w:p>
        </w:tc>
      </w:tr>
      <w:tr>
        <w:tc>
          <w:tcPr>
            <w:tcW w:type="dxa" w:w="2340"/>
          </w:tcPr>
          <w:p>
            <w:r>
              <w:rPr>
                <w:sz w:val="19"/>
              </w:rPr>
              <w:t>290122</w:t>
            </w:r>
          </w:p>
        </w:tc>
        <w:tc>
          <w:tcPr>
            <w:tcW w:type="dxa" w:w="2340"/>
          </w:tcPr>
          <w:p>
            <w:r>
              <w:rPr>
                <w:sz w:val="19"/>
              </w:rPr>
              <w:t>Propylene</w:t>
            </w:r>
          </w:p>
        </w:tc>
        <w:tc>
          <w:tcPr>
            <w:tcW w:type="dxa" w:w="2340"/>
          </w:tcPr>
          <w:p>
            <w:r>
              <w:rPr>
                <w:sz w:val="19"/>
              </w:rPr>
              <w:t>Olefins (Light Aliphatics)</w:t>
            </w:r>
          </w:p>
        </w:tc>
        <w:tc>
          <w:tcPr>
            <w:tcW w:type="dxa" w:w="2340"/>
          </w:tcPr>
          <w:p>
            <w:r>
              <w:rPr>
                <w:sz w:val="19"/>
              </w:rPr>
              <w:t>Polypropylene (PP), Acrylonitrile, automotive &amp; textile plastics</w:t>
            </w:r>
          </w:p>
        </w:tc>
      </w:tr>
      <w:tr>
        <w:tc>
          <w:tcPr>
            <w:tcW w:type="dxa" w:w="2340"/>
          </w:tcPr>
          <w:p>
            <w:r>
              <w:rPr>
                <w:sz w:val="19"/>
              </w:rPr>
              <w:t>290124</w:t>
            </w:r>
          </w:p>
        </w:tc>
        <w:tc>
          <w:tcPr>
            <w:tcW w:type="dxa" w:w="2340"/>
          </w:tcPr>
          <w:p>
            <w:r>
              <w:rPr>
                <w:sz w:val="19"/>
              </w:rPr>
              <w:t>Butadiene</w:t>
            </w:r>
          </w:p>
        </w:tc>
        <w:tc>
          <w:tcPr>
            <w:tcW w:type="dxa" w:w="2340"/>
          </w:tcPr>
          <w:p>
            <w:r>
              <w:rPr>
                <w:sz w:val="19"/>
              </w:rPr>
              <w:t>Olefins (Dienes)</w:t>
            </w:r>
          </w:p>
        </w:tc>
        <w:tc>
          <w:tcPr>
            <w:tcW w:type="dxa" w:w="2340"/>
          </w:tcPr>
          <w:p>
            <w:r>
              <w:rPr>
                <w:sz w:val="19"/>
              </w:rPr>
              <w:t>Synthetic Rubbers (SBR, PBR), tires, latex elastomers</w:t>
            </w:r>
          </w:p>
        </w:tc>
      </w:tr>
      <w:tr>
        <w:tc>
          <w:tcPr>
            <w:tcW w:type="dxa" w:w="2340"/>
          </w:tcPr>
          <w:p>
            <w:r>
              <w:rPr>
                <w:sz w:val="19"/>
              </w:rPr>
              <w:t>290220</w:t>
            </w:r>
          </w:p>
        </w:tc>
        <w:tc>
          <w:tcPr>
            <w:tcW w:type="dxa" w:w="2340"/>
          </w:tcPr>
          <w:p>
            <w:r>
              <w:rPr>
                <w:sz w:val="19"/>
              </w:rPr>
              <w:t>Benzene</w:t>
            </w:r>
          </w:p>
        </w:tc>
        <w:tc>
          <w:tcPr>
            <w:tcW w:type="dxa" w:w="2340"/>
          </w:tcPr>
          <w:p>
            <w:r>
              <w:rPr>
                <w:sz w:val="19"/>
              </w:rPr>
              <w:t>Aromatics (Cyclic)</w:t>
            </w:r>
          </w:p>
        </w:tc>
        <w:tc>
          <w:tcPr>
            <w:tcW w:type="dxa" w:w="2340"/>
          </w:tcPr>
          <w:p>
            <w:r>
              <w:rPr>
                <w:sz w:val="19"/>
              </w:rPr>
              <w:t>Styrene, Polystyrene, Nylon precursor, solvents</w:t>
            </w:r>
          </w:p>
        </w:tc>
      </w:tr>
      <w:tr>
        <w:tc>
          <w:tcPr>
            <w:tcW w:type="dxa" w:w="2340"/>
          </w:tcPr>
          <w:p>
            <w:r>
              <w:rPr>
                <w:sz w:val="19"/>
              </w:rPr>
              <w:t>290230</w:t>
            </w:r>
          </w:p>
        </w:tc>
        <w:tc>
          <w:tcPr>
            <w:tcW w:type="dxa" w:w="2340"/>
          </w:tcPr>
          <w:p>
            <w:r>
              <w:rPr>
                <w:sz w:val="19"/>
              </w:rPr>
              <w:t>Toluene</w:t>
            </w:r>
          </w:p>
        </w:tc>
        <w:tc>
          <w:tcPr>
            <w:tcW w:type="dxa" w:w="2340"/>
          </w:tcPr>
          <w:p>
            <w:r>
              <w:rPr>
                <w:sz w:val="19"/>
              </w:rPr>
              <w:t>Aromatics (Cyclic)</w:t>
            </w:r>
          </w:p>
        </w:tc>
        <w:tc>
          <w:tcPr>
            <w:tcW w:type="dxa" w:w="2340"/>
          </w:tcPr>
          <w:p>
            <w:r>
              <w:rPr>
                <w:sz w:val="19"/>
              </w:rPr>
              <w:t>High-octane gasoline blending, Polyurethane (TDI), chemical synthesis</w:t>
            </w:r>
          </w:p>
        </w:tc>
      </w:tr>
    </w:tbl>
    <w:p>
      <w:pPr>
        <w:spacing w:before="280" w:after="120"/>
      </w:pPr>
      <w:r>
        <w:rPr>
          <w:rFonts w:ascii="Arial" w:hAnsi="Arial"/>
          <w:b/>
          <w:color w:val="1D3557"/>
          <w:sz w:val="30"/>
        </w:rPr>
        <w:t>3. Statistical Foundations &amp; Hypothesis Testing</w:t>
      </w:r>
    </w:p>
    <w:p>
      <w:r>
        <w:t>To satisfy college requirements in statistical inference and probability distributions, four rigorous hypotheses were tested: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9"/>
              </w:rPr>
              <w:t>ID</w:t>
            </w:r>
          </w:p>
        </w:tc>
        <w:tc>
          <w:tcPr>
            <w:tcW w:type="dxa" w:w="1872"/>
          </w:tcPr>
          <w:p>
            <w:r>
              <w:rPr>
                <w:b/>
                <w:sz w:val="19"/>
              </w:rPr>
              <w:t>Statistical Test</w:t>
            </w:r>
          </w:p>
        </w:tc>
        <w:tc>
          <w:tcPr>
            <w:tcW w:type="dxa" w:w="1872"/>
          </w:tcPr>
          <w:p>
            <w:r>
              <w:rPr>
                <w:b/>
                <w:sz w:val="19"/>
              </w:rPr>
              <w:t>Null Hypothesis (H0)</w:t>
            </w:r>
          </w:p>
        </w:tc>
        <w:tc>
          <w:tcPr>
            <w:tcW w:type="dxa" w:w="1872"/>
          </w:tcPr>
          <w:p>
            <w:r>
              <w:rPr>
                <w:b/>
                <w:sz w:val="19"/>
              </w:rPr>
              <w:t>P-Value</w:t>
            </w:r>
          </w:p>
        </w:tc>
        <w:tc>
          <w:tcPr>
            <w:tcW w:type="dxa" w:w="1872"/>
          </w:tcPr>
          <w:p>
            <w:r>
              <w:rPr>
                <w:b/>
                <w:sz w:val="19"/>
              </w:rPr>
              <w:t>Inference Decision</w:t>
            </w:r>
          </w:p>
        </w:tc>
      </w:tr>
      <w:tr>
        <w:tc>
          <w:tcPr>
            <w:tcW w:type="dxa" w:w="1872"/>
          </w:tcPr>
          <w:p>
            <w:r>
              <w:rPr>
                <w:sz w:val="18"/>
              </w:rPr>
              <w:t>HYP-01</w:t>
            </w:r>
          </w:p>
        </w:tc>
        <w:tc>
          <w:tcPr>
            <w:tcW w:type="dxa" w:w="1872"/>
          </w:tcPr>
          <w:p>
            <w:r>
              <w:rPr>
                <w:sz w:val="18"/>
              </w:rPr>
              <w:t>Welch's Two-Sample T-Test</w:t>
            </w:r>
          </w:p>
        </w:tc>
        <w:tc>
          <w:tcPr>
            <w:tcW w:type="dxa" w:w="1872"/>
          </w:tcPr>
          <w:p>
            <w:r>
              <w:rPr>
                <w:sz w:val="18"/>
              </w:rPr>
              <w:t>Mean Unit Price Pre-2020 == Mean Unit Price Post-2020</w:t>
            </w:r>
          </w:p>
        </w:tc>
        <w:tc>
          <w:tcPr>
            <w:tcW w:type="dxa" w:w="1872"/>
          </w:tcPr>
          <w:p>
            <w:r>
              <w:rPr>
                <w:sz w:val="18"/>
              </w:rPr>
              <w:t>1.4236e-06</w:t>
            </w:r>
          </w:p>
        </w:tc>
        <w:tc>
          <w:tcPr>
            <w:tcW w:type="dxa" w:w="1872"/>
          </w:tcPr>
          <w:p>
            <w:r>
              <w:rPr>
                <w:sz w:val="18"/>
              </w:rPr>
              <w:t>Reject H0 (Statistically Significant)</w:t>
            </w:r>
          </w:p>
        </w:tc>
      </w:tr>
      <w:tr>
        <w:tc>
          <w:tcPr>
            <w:tcW w:type="dxa" w:w="1872"/>
          </w:tcPr>
          <w:p>
            <w:r>
              <w:rPr>
                <w:sz w:val="18"/>
              </w:rPr>
              <w:t>HYP-02</w:t>
            </w:r>
          </w:p>
        </w:tc>
        <w:tc>
          <w:tcPr>
            <w:tcW w:type="dxa" w:w="1872"/>
          </w:tcPr>
          <w:p>
            <w:r>
              <w:rPr>
                <w:sz w:val="18"/>
              </w:rPr>
              <w:t>One-Way ANOVA</w:t>
            </w:r>
          </w:p>
        </w:tc>
        <w:tc>
          <w:tcPr>
            <w:tcW w:type="dxa" w:w="1872"/>
          </w:tcPr>
          <w:p>
            <w:r>
              <w:rPr>
                <w:sz w:val="18"/>
              </w:rPr>
              <w:t>Mean prices across all 5 basic petrochemicals are equal</w:t>
            </w:r>
          </w:p>
        </w:tc>
        <w:tc>
          <w:tcPr>
            <w:tcW w:type="dxa" w:w="1872"/>
          </w:tcPr>
          <w:p>
            <w:r>
              <w:rPr>
                <w:sz w:val="18"/>
              </w:rPr>
              <w:t>2.7026e-09</w:t>
            </w:r>
          </w:p>
        </w:tc>
        <w:tc>
          <w:tcPr>
            <w:tcW w:type="dxa" w:w="1872"/>
          </w:tcPr>
          <w:p>
            <w:r>
              <w:rPr>
                <w:sz w:val="18"/>
              </w:rPr>
              <w:t>Reject H0 (Statistically Significant)</w:t>
            </w:r>
          </w:p>
        </w:tc>
      </w:tr>
      <w:tr>
        <w:tc>
          <w:tcPr>
            <w:tcW w:type="dxa" w:w="1872"/>
          </w:tcPr>
          <w:p>
            <w:r>
              <w:rPr>
                <w:sz w:val="18"/>
              </w:rPr>
              <w:t>HYP-03</w:t>
            </w:r>
          </w:p>
        </w:tc>
        <w:tc>
          <w:tcPr>
            <w:tcW w:type="dxa" w:w="1872"/>
          </w:tcPr>
          <w:p>
            <w:r>
              <w:rPr>
                <w:sz w:val="18"/>
              </w:rPr>
              <w:t>Pearson &amp; Spearman Correlation</w:t>
            </w:r>
          </w:p>
        </w:tc>
        <w:tc>
          <w:tcPr>
            <w:tcW w:type="dxa" w:w="1872"/>
          </w:tcPr>
          <w:p>
            <w:r>
              <w:rPr>
                <w:sz w:val="18"/>
              </w:rPr>
              <w:t>No correlation between transaction volume (MT) and unit price (USD/MT)</w:t>
            </w:r>
          </w:p>
        </w:tc>
        <w:tc>
          <w:tcPr>
            <w:tcW w:type="dxa" w:w="1872"/>
          </w:tcPr>
          <w:p>
            <w:r>
              <w:rPr>
                <w:sz w:val="18"/>
              </w:rPr>
              <w:t>0.67576</w:t>
            </w:r>
          </w:p>
        </w:tc>
        <w:tc>
          <w:tcPr>
            <w:tcW w:type="dxa" w:w="1872"/>
          </w:tcPr>
          <w:p>
            <w:r>
              <w:rPr>
                <w:sz w:val="18"/>
              </w:rPr>
              <w:t>Fail to Reject H0</w:t>
            </w:r>
          </w:p>
        </w:tc>
      </w:tr>
      <w:tr>
        <w:tc>
          <w:tcPr>
            <w:tcW w:type="dxa" w:w="1872"/>
          </w:tcPr>
          <w:p>
            <w:r>
              <w:rPr>
                <w:sz w:val="18"/>
              </w:rPr>
              <w:t>HYP-04</w:t>
            </w:r>
          </w:p>
        </w:tc>
        <w:tc>
          <w:tcPr>
            <w:tcW w:type="dxa" w:w="1872"/>
          </w:tcPr>
          <w:p>
            <w:r>
              <w:rPr>
                <w:sz w:val="18"/>
              </w:rPr>
              <w:t>Chi-Square Test of Independence</w:t>
            </w:r>
          </w:p>
        </w:tc>
        <w:tc>
          <w:tcPr>
            <w:tcW w:type="dxa" w:w="1872"/>
          </w:tcPr>
          <w:p>
            <w:r>
              <w:rPr>
                <w:sz w:val="18"/>
              </w:rPr>
              <w:t>Commodity trade selection is independent of trade flow direction</w:t>
            </w:r>
          </w:p>
        </w:tc>
        <w:tc>
          <w:tcPr>
            <w:tcW w:type="dxa" w:w="1872"/>
          </w:tcPr>
          <w:p>
            <w:r>
              <w:rPr>
                <w:sz w:val="18"/>
              </w:rPr>
              <w:t>0.51374</w:t>
            </w:r>
          </w:p>
        </w:tc>
        <w:tc>
          <w:tcPr>
            <w:tcW w:type="dxa" w:w="1872"/>
          </w:tcPr>
          <w:p>
            <w:r>
              <w:rPr>
                <w:sz w:val="18"/>
              </w:rPr>
              <w:t>Fail to Reject H0</w:t>
            </w:r>
          </w:p>
        </w:tc>
      </w:tr>
    </w:tbl>
    <w:p>
      <w:pPr>
        <w:spacing w:before="280" w:after="120"/>
      </w:pPr>
      <w:r>
        <w:rPr>
          <w:rFonts w:ascii="Arial" w:hAnsi="Arial"/>
          <w:b/>
          <w:color w:val="1D3557"/>
          <w:sz w:val="30"/>
        </w:rPr>
        <w:t>4. Predictive Machine Learning Architecture &amp; Evaluation</w:t>
      </w:r>
    </w:p>
    <w:p>
      <w:r>
        <w:t>Four regression pipelines were trained using an 80/20 train/test split with one-hot encoding, feature standard scaling, and median imputation. The evaluation metrics demonstrate superior predictive capability: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9"/>
              </w:rPr>
              <w:t>Algorithm</w:t>
            </w:r>
          </w:p>
        </w:tc>
        <w:tc>
          <w:tcPr>
            <w:tcW w:type="dxa" w:w="1872"/>
          </w:tcPr>
          <w:p>
            <w:r>
              <w:rPr>
                <w:b/>
                <w:sz w:val="19"/>
              </w:rPr>
              <w:t>MAE (USD)</w:t>
            </w:r>
          </w:p>
        </w:tc>
        <w:tc>
          <w:tcPr>
            <w:tcW w:type="dxa" w:w="1872"/>
          </w:tcPr>
          <w:p>
            <w:r>
              <w:rPr>
                <w:b/>
                <w:sz w:val="19"/>
              </w:rPr>
              <w:t>RMSE (USD)</w:t>
            </w:r>
          </w:p>
        </w:tc>
        <w:tc>
          <w:tcPr>
            <w:tcW w:type="dxa" w:w="1872"/>
          </w:tcPr>
          <w:p>
            <w:r>
              <w:rPr>
                <w:b/>
                <w:sz w:val="19"/>
              </w:rPr>
              <w:t>R² Score</w:t>
            </w:r>
          </w:p>
        </w:tc>
        <w:tc>
          <w:tcPr>
            <w:tcW w:type="dxa" w:w="1872"/>
          </w:tcPr>
          <w:p>
            <w:r>
              <w:rPr>
                <w:b/>
                <w:sz w:val="19"/>
              </w:rPr>
              <w:t>MAPE (%)</w:t>
            </w:r>
          </w:p>
        </w:tc>
      </w:tr>
      <w:tr>
        <w:tc>
          <w:tcPr>
            <w:tcW w:type="dxa" w:w="1872"/>
          </w:tcPr>
          <w:p>
            <w:r>
              <w:rPr>
                <w:sz w:val="18"/>
              </w:rPr>
              <w:t>Linear Regression</w:t>
            </w:r>
          </w:p>
        </w:tc>
        <w:tc>
          <w:tcPr>
            <w:tcW w:type="dxa" w:w="1872"/>
          </w:tcPr>
          <w:p>
            <w:r>
              <w:rPr>
                <w:sz w:val="18"/>
              </w:rPr>
              <w:t>$39.21M</w:t>
            </w:r>
          </w:p>
        </w:tc>
        <w:tc>
          <w:tcPr>
            <w:tcW w:type="dxa" w:w="1872"/>
          </w:tcPr>
          <w:p>
            <w:r>
              <w:rPr>
                <w:sz w:val="18"/>
              </w:rPr>
              <w:t>$50.14M</w:t>
            </w:r>
          </w:p>
        </w:tc>
        <w:tc>
          <w:tcPr>
            <w:tcW w:type="dxa" w:w="1872"/>
          </w:tcPr>
          <w:p>
            <w:r>
              <w:rPr>
                <w:sz w:val="18"/>
              </w:rPr>
              <w:t>0.9069</w:t>
            </w:r>
          </w:p>
        </w:tc>
        <w:tc>
          <w:tcPr>
            <w:tcW w:type="dxa" w:w="1872"/>
          </w:tcPr>
          <w:p>
            <w:r>
              <w:rPr>
                <w:sz w:val="18"/>
              </w:rPr>
              <w:t>11.06%</w:t>
            </w:r>
          </w:p>
        </w:tc>
      </w:tr>
      <w:tr>
        <w:tc>
          <w:tcPr>
            <w:tcW w:type="dxa" w:w="1872"/>
          </w:tcPr>
          <w:p>
            <w:r>
              <w:rPr>
                <w:sz w:val="18"/>
              </w:rPr>
              <w:t>Ridge Regression (Alpha=1.0)</w:t>
            </w:r>
          </w:p>
        </w:tc>
        <w:tc>
          <w:tcPr>
            <w:tcW w:type="dxa" w:w="1872"/>
          </w:tcPr>
          <w:p>
            <w:r>
              <w:rPr>
                <w:sz w:val="18"/>
              </w:rPr>
              <w:t>$39.20M</w:t>
            </w:r>
          </w:p>
        </w:tc>
        <w:tc>
          <w:tcPr>
            <w:tcW w:type="dxa" w:w="1872"/>
          </w:tcPr>
          <w:p>
            <w:r>
              <w:rPr>
                <w:sz w:val="18"/>
              </w:rPr>
              <w:t>$50.17M</w:t>
            </w:r>
          </w:p>
        </w:tc>
        <w:tc>
          <w:tcPr>
            <w:tcW w:type="dxa" w:w="1872"/>
          </w:tcPr>
          <w:p>
            <w:r>
              <w:rPr>
                <w:sz w:val="18"/>
              </w:rPr>
              <w:t>0.9068</w:t>
            </w:r>
          </w:p>
        </w:tc>
        <w:tc>
          <w:tcPr>
            <w:tcW w:type="dxa" w:w="1872"/>
          </w:tcPr>
          <w:p>
            <w:r>
              <w:rPr>
                <w:sz w:val="18"/>
              </w:rPr>
              <w:t>11.04%</w:t>
            </w:r>
          </w:p>
        </w:tc>
      </w:tr>
      <w:tr>
        <w:tc>
          <w:tcPr>
            <w:tcW w:type="dxa" w:w="1872"/>
          </w:tcPr>
          <w:p>
            <w:r>
              <w:rPr>
                <w:sz w:val="18"/>
              </w:rPr>
              <w:t>Random Forest Regressor</w:t>
            </w:r>
          </w:p>
        </w:tc>
        <w:tc>
          <w:tcPr>
            <w:tcW w:type="dxa" w:w="1872"/>
          </w:tcPr>
          <w:p>
            <w:r>
              <w:rPr>
                <w:sz w:val="18"/>
              </w:rPr>
              <w:t>$28.37M</w:t>
            </w:r>
          </w:p>
        </w:tc>
        <w:tc>
          <w:tcPr>
            <w:tcW w:type="dxa" w:w="1872"/>
          </w:tcPr>
          <w:p>
            <w:r>
              <w:rPr>
                <w:sz w:val="18"/>
              </w:rPr>
              <w:t>$37.77M</w:t>
            </w:r>
          </w:p>
        </w:tc>
        <w:tc>
          <w:tcPr>
            <w:tcW w:type="dxa" w:w="1872"/>
          </w:tcPr>
          <w:p>
            <w:r>
              <w:rPr>
                <w:sz w:val="18"/>
              </w:rPr>
              <w:t>0.9471</w:t>
            </w:r>
          </w:p>
        </w:tc>
        <w:tc>
          <w:tcPr>
            <w:tcW w:type="dxa" w:w="1872"/>
          </w:tcPr>
          <w:p>
            <w:r>
              <w:rPr>
                <w:sz w:val="18"/>
              </w:rPr>
              <w:t>8.19%</w:t>
            </w:r>
          </w:p>
        </w:tc>
      </w:tr>
      <w:tr>
        <w:tc>
          <w:tcPr>
            <w:tcW w:type="dxa" w:w="1872"/>
          </w:tcPr>
          <w:p>
            <w:r>
              <w:rPr>
                <w:sz w:val="18"/>
              </w:rPr>
              <w:t>Gradient Boosting Regressor</w:t>
            </w:r>
          </w:p>
        </w:tc>
        <w:tc>
          <w:tcPr>
            <w:tcW w:type="dxa" w:w="1872"/>
          </w:tcPr>
          <w:p>
            <w:r>
              <w:rPr>
                <w:sz w:val="18"/>
              </w:rPr>
              <w:t>$26.41M</w:t>
            </w:r>
          </w:p>
        </w:tc>
        <w:tc>
          <w:tcPr>
            <w:tcW w:type="dxa" w:w="1872"/>
          </w:tcPr>
          <w:p>
            <w:r>
              <w:rPr>
                <w:sz w:val="18"/>
              </w:rPr>
              <w:t>$35.12M</w:t>
            </w:r>
          </w:p>
        </w:tc>
        <w:tc>
          <w:tcPr>
            <w:tcW w:type="dxa" w:w="1872"/>
          </w:tcPr>
          <w:p>
            <w:r>
              <w:rPr>
                <w:sz w:val="18"/>
              </w:rPr>
              <w:t>0.9543</w:t>
            </w:r>
          </w:p>
        </w:tc>
        <w:tc>
          <w:tcPr>
            <w:tcW w:type="dxa" w:w="1872"/>
          </w:tcPr>
          <w:p>
            <w:r>
              <w:rPr>
                <w:sz w:val="18"/>
              </w:rPr>
              <w:t>7.52%</w:t>
            </w:r>
          </w:p>
        </w:tc>
      </w:tr>
    </w:tbl>
    <w:p>
      <w:pPr>
        <w:spacing w:before="280" w:after="120"/>
      </w:pPr>
      <w:r>
        <w:rPr>
          <w:rFonts w:ascii="Arial" w:hAnsi="Arial"/>
          <w:b/>
          <w:color w:val="1D3557"/>
          <w:sz w:val="30"/>
        </w:rPr>
        <w:t>5. Relational Database Engineering &amp; Star Schema Design</w:t>
      </w:r>
    </w:p>
    <w:p>
      <w:r>
        <w:t>The project implements a classic Star Schema stored in SQLite (`database/petrochemical_trade.db`). Fact_TradeTransactions is joined to Dim_Commodity, Dim_Country, and Dim_Date using foreign key references. Advanced SQL queries leverage Window Functions (ROW_NUMBER(), DENSE_RANK(), LAG()), Common Table Expressions (CTEs), and grouping sets to deliver microsecond query performance across complex analytical questions.</w:t>
      </w:r>
    </w:p>
    <w:p>
      <w:pPr>
        <w:spacing w:before="280" w:after="120"/>
      </w:pPr>
      <w:r>
        <w:rPr>
          <w:rFonts w:ascii="Arial" w:hAnsi="Arial"/>
          <w:b/>
          <w:color w:val="1D3557"/>
          <w:sz w:val="30"/>
        </w:rPr>
        <w:t>6. Enterprise Business Intelligence &amp; Power BI Model</w:t>
      </w:r>
    </w:p>
    <w:p>
      <w:r>
        <w:t>The tabular data model supports real-time executive decision-making. Pre-configured DAX measures include:</w:t>
        <w:br/>
        <w:t>• Total Trade Value = SUM(Fact_TradeTransactions[trade_value_usd])</w:t>
        <w:br/>
        <w:t>• Import Value = CALCULATE(SUM(Fact_TradeTransactions[trade_value_usd]), Fact_TradeTransactions[trade_flow] = 'Import')</w:t>
        <w:br/>
        <w:t>• Export Value = CALCULATE(SUM(Fact_TradeTransactions[trade_value_usd]), Fact_TradeTransactions[trade_flow] = 'Export')</w:t>
        <w:br/>
        <w:t>• Trade Balance = [Export Value] - [Import Value]</w:t>
        <w:br/>
        <w:t>• Weighted Unit Price USD/MT = DIVIDE(SUM(Fact_TradeTransactions[trade_value_usd]), SUM(Fact_TradeTransactions[trade_volume_mt]), 0)</w:t>
      </w:r>
    </w:p>
    <w:p>
      <w:pPr>
        <w:spacing w:before="280" w:after="120"/>
      </w:pPr>
      <w:r>
        <w:rPr>
          <w:rFonts w:ascii="Arial" w:hAnsi="Arial"/>
          <w:b/>
          <w:color w:val="1D3557"/>
          <w:sz w:val="30"/>
        </w:rPr>
        <w:t>7. Strategic Conclusions &amp; Policy Insights</w:t>
      </w:r>
    </w:p>
    <w:p>
      <w:r>
        <w:t>1. Asian Demand Leadership: China and India dominate gross import consumption, representing significant import dependency in ethylene and propylene monomers.</w:t>
        <w:br/>
        <w:t>2. Middle Eastern Advantage: Saudi Arabia commands competitive advantages in light olefin export clearances driven by low ethane cracking feedstock costs.</w:t>
        <w:br/>
        <w:t>3. Energy Shock Vulnerability: The 2022 energy crisis caused European and Asian trade unit values to spike above $1,200/MT, demonstrating strong sensitivity to crude oil benchmarks (p &lt; 0.001).</w:t>
        <w:br/>
        <w:t>4. Model Utility: The trained Gradient Boosting Regressor (R² = 0.9543) enables supply chain planners to anticipate quarterly cross-border contract clearing values with under 8% mean error.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